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87" w:rsidRDefault="00835B87"/>
    <w:p w:rsidR="00757782" w:rsidRDefault="002D4867" w:rsidP="00757782">
      <w:pPr>
        <w:spacing w:after="0" w:line="240" w:lineRule="auto"/>
      </w:pPr>
      <w:r>
        <w:t>A person with “</w:t>
      </w:r>
      <w:r w:rsidR="00472750">
        <w:t xml:space="preserve">chronic mental illness” shall have one or more of the following diagnoses in the </w:t>
      </w:r>
      <w:r w:rsidR="00472750">
        <w:rPr>
          <w:i/>
        </w:rPr>
        <w:t xml:space="preserve">Diagnostic and Statistical Manual of Mental Disorders, </w:t>
      </w:r>
      <w:r w:rsidR="00472750">
        <w:t xml:space="preserve">DSM IVTR, Fourth Edition, Text Revision (2000), published by the American Psychiatric Association: </w:t>
      </w:r>
    </w:p>
    <w:p w:rsidR="00757782" w:rsidRDefault="00472750" w:rsidP="00757782">
      <w:pPr>
        <w:spacing w:after="0" w:line="240" w:lineRule="auto"/>
      </w:pPr>
      <w:r>
        <w:t xml:space="preserve">(a) Pervasive Developmental Disorders (except as covered through Regional Centers; </w:t>
      </w:r>
    </w:p>
    <w:p w:rsidR="00757782" w:rsidRDefault="00757782" w:rsidP="00757782">
      <w:pPr>
        <w:spacing w:after="0" w:line="240" w:lineRule="auto"/>
      </w:pPr>
    </w:p>
    <w:p w:rsidR="00757782" w:rsidRDefault="00472750" w:rsidP="00757782">
      <w:pPr>
        <w:spacing w:after="0" w:line="240" w:lineRule="auto"/>
      </w:pPr>
      <w:r>
        <w:t xml:space="preserve">(b) Attention Deficit and Disruptive Behavior Disorders; </w:t>
      </w:r>
    </w:p>
    <w:p w:rsidR="00757782" w:rsidRDefault="00757782" w:rsidP="00757782">
      <w:pPr>
        <w:spacing w:after="0" w:line="240" w:lineRule="auto"/>
      </w:pPr>
    </w:p>
    <w:p w:rsidR="00757782" w:rsidRDefault="00472750" w:rsidP="00757782">
      <w:pPr>
        <w:spacing w:after="0" w:line="240" w:lineRule="auto"/>
      </w:pPr>
      <w:r>
        <w:t xml:space="preserve">(c) Feeding &amp; Eating Disorder of Infancy or Early Childhood; </w:t>
      </w:r>
    </w:p>
    <w:p w:rsidR="00757782" w:rsidRDefault="00757782" w:rsidP="00757782">
      <w:pPr>
        <w:spacing w:after="0" w:line="240" w:lineRule="auto"/>
      </w:pPr>
    </w:p>
    <w:p w:rsidR="00757782" w:rsidRDefault="00472750" w:rsidP="00757782">
      <w:pPr>
        <w:spacing w:after="0" w:line="240" w:lineRule="auto"/>
      </w:pPr>
      <w:r>
        <w:t xml:space="preserve">(d) Elimination Disorders; </w:t>
      </w:r>
    </w:p>
    <w:p w:rsidR="00757782" w:rsidRDefault="00757782" w:rsidP="00757782">
      <w:pPr>
        <w:spacing w:after="0" w:line="240" w:lineRule="auto"/>
      </w:pPr>
    </w:p>
    <w:p w:rsidR="00757782" w:rsidRDefault="00757782" w:rsidP="00757782">
      <w:pPr>
        <w:spacing w:after="0" w:line="240" w:lineRule="auto"/>
      </w:pPr>
      <w:r>
        <w:t>(e)</w:t>
      </w:r>
      <w:r w:rsidR="00472750">
        <w:t xml:space="preserve"> Other Disorders of Infancy, Childhood, or Adolescence; </w:t>
      </w:r>
    </w:p>
    <w:p w:rsidR="00757782" w:rsidRDefault="00757782" w:rsidP="00757782">
      <w:pPr>
        <w:spacing w:after="0" w:line="240" w:lineRule="auto"/>
      </w:pPr>
    </w:p>
    <w:p w:rsidR="00757782" w:rsidRDefault="00472750" w:rsidP="00757782">
      <w:pPr>
        <w:spacing w:after="0" w:line="240" w:lineRule="auto"/>
      </w:pPr>
      <w:r>
        <w:t xml:space="preserve">(f) Schizophrenia &amp; Other Psychotic Disorders; </w:t>
      </w:r>
    </w:p>
    <w:p w:rsidR="00757782" w:rsidRDefault="00757782" w:rsidP="00757782">
      <w:pPr>
        <w:spacing w:after="0" w:line="240" w:lineRule="auto"/>
      </w:pPr>
    </w:p>
    <w:p w:rsidR="00757782" w:rsidRDefault="00472750" w:rsidP="00757782">
      <w:pPr>
        <w:spacing w:after="0" w:line="240" w:lineRule="auto"/>
      </w:pPr>
      <w:r>
        <w:t xml:space="preserve">(g) Mood Disorder; </w:t>
      </w:r>
    </w:p>
    <w:p w:rsidR="00757782" w:rsidRDefault="00757782" w:rsidP="00757782">
      <w:pPr>
        <w:spacing w:after="0" w:line="240" w:lineRule="auto"/>
      </w:pPr>
    </w:p>
    <w:p w:rsidR="00757782" w:rsidRDefault="00472750" w:rsidP="00757782">
      <w:pPr>
        <w:spacing w:after="0" w:line="240" w:lineRule="auto"/>
      </w:pPr>
      <w:r>
        <w:t xml:space="preserve">(h) Anxiety Disorder; </w:t>
      </w:r>
    </w:p>
    <w:p w:rsidR="00757782" w:rsidRDefault="00757782" w:rsidP="00757782">
      <w:pPr>
        <w:spacing w:after="0" w:line="240" w:lineRule="auto"/>
      </w:pPr>
    </w:p>
    <w:p w:rsidR="00757782" w:rsidRDefault="00472750" w:rsidP="00757782">
      <w:pPr>
        <w:spacing w:after="0" w:line="240" w:lineRule="auto"/>
      </w:pPr>
      <w:r>
        <w:t>(</w:t>
      </w:r>
      <w:proofErr w:type="spellStart"/>
      <w:r>
        <w:t>i</w:t>
      </w:r>
      <w:proofErr w:type="spellEnd"/>
      <w:r>
        <w:t xml:space="preserve">) Somatoform Disorders; </w:t>
      </w:r>
    </w:p>
    <w:p w:rsidR="00757782" w:rsidRDefault="00757782" w:rsidP="00757782">
      <w:pPr>
        <w:spacing w:after="0" w:line="240" w:lineRule="auto"/>
      </w:pPr>
    </w:p>
    <w:p w:rsidR="00757782" w:rsidRDefault="00472750" w:rsidP="00757782">
      <w:pPr>
        <w:spacing w:after="0" w:line="240" w:lineRule="auto"/>
      </w:pPr>
      <w:r>
        <w:t xml:space="preserve">(j) Factitious Disorders; </w:t>
      </w:r>
    </w:p>
    <w:p w:rsidR="00757782" w:rsidRDefault="00757782" w:rsidP="00757782">
      <w:pPr>
        <w:spacing w:after="0" w:line="240" w:lineRule="auto"/>
      </w:pPr>
    </w:p>
    <w:p w:rsidR="00757782" w:rsidRDefault="00472750" w:rsidP="00757782">
      <w:pPr>
        <w:spacing w:after="0" w:line="240" w:lineRule="auto"/>
      </w:pPr>
      <w:r>
        <w:t xml:space="preserve">(k) Dissociative Disorders; </w:t>
      </w:r>
    </w:p>
    <w:p w:rsidR="00757782" w:rsidRDefault="00757782" w:rsidP="00757782">
      <w:pPr>
        <w:spacing w:after="0" w:line="240" w:lineRule="auto"/>
      </w:pPr>
    </w:p>
    <w:p w:rsidR="00757782" w:rsidRDefault="00472750" w:rsidP="00757782">
      <w:pPr>
        <w:spacing w:after="0" w:line="240" w:lineRule="auto"/>
      </w:pPr>
      <w:r>
        <w:t>(l) Paraphilia</w:t>
      </w:r>
      <w:bookmarkStart w:id="0" w:name="_GoBack"/>
      <w:bookmarkEnd w:id="0"/>
      <w:r>
        <w:t>;</w:t>
      </w:r>
    </w:p>
    <w:p w:rsidR="00757782" w:rsidRDefault="00757782" w:rsidP="00757782">
      <w:pPr>
        <w:spacing w:after="0" w:line="240" w:lineRule="auto"/>
      </w:pPr>
    </w:p>
    <w:p w:rsidR="00757782" w:rsidRDefault="00472750" w:rsidP="00757782">
      <w:pPr>
        <w:spacing w:after="0" w:line="240" w:lineRule="auto"/>
      </w:pPr>
      <w:r>
        <w:t xml:space="preserve">(m) Gender </w:t>
      </w:r>
      <w:r w:rsidR="00757782">
        <w:t>Identity</w:t>
      </w:r>
      <w:r>
        <w:t xml:space="preserve"> Disorder</w:t>
      </w:r>
      <w:r w:rsidR="00757782">
        <w:t xml:space="preserve">; </w:t>
      </w:r>
    </w:p>
    <w:p w:rsidR="00757782" w:rsidRDefault="00757782" w:rsidP="00757782">
      <w:pPr>
        <w:spacing w:after="0" w:line="240" w:lineRule="auto"/>
      </w:pPr>
    </w:p>
    <w:p w:rsidR="00757782" w:rsidRDefault="00757782" w:rsidP="00757782">
      <w:pPr>
        <w:spacing w:after="0" w:line="240" w:lineRule="auto"/>
      </w:pPr>
      <w:r>
        <w:t xml:space="preserve">(n) Eating Disorders; </w:t>
      </w:r>
    </w:p>
    <w:p w:rsidR="00757782" w:rsidRDefault="00757782" w:rsidP="00757782">
      <w:pPr>
        <w:spacing w:after="0" w:line="240" w:lineRule="auto"/>
      </w:pPr>
    </w:p>
    <w:p w:rsidR="00757782" w:rsidRDefault="00757782" w:rsidP="00757782">
      <w:pPr>
        <w:spacing w:after="0" w:line="240" w:lineRule="auto"/>
      </w:pPr>
      <w:r>
        <w:t>(</w:t>
      </w:r>
      <w:proofErr w:type="gramStart"/>
      <w:r>
        <w:t>o</w:t>
      </w:r>
      <w:proofErr w:type="gramEnd"/>
      <w:r>
        <w:t xml:space="preserve">) Impulse-Control Disorders Not Elsewhere Classified; </w:t>
      </w:r>
    </w:p>
    <w:p w:rsidR="00757782" w:rsidRDefault="00757782" w:rsidP="00757782">
      <w:pPr>
        <w:spacing w:after="0" w:line="240" w:lineRule="auto"/>
      </w:pPr>
    </w:p>
    <w:p w:rsidR="00757782" w:rsidRDefault="00757782" w:rsidP="00757782">
      <w:pPr>
        <w:spacing w:after="0" w:line="240" w:lineRule="auto"/>
      </w:pPr>
      <w:r>
        <w:t xml:space="preserve">(p) Adjustment Disorders; </w:t>
      </w:r>
    </w:p>
    <w:p w:rsidR="00757782" w:rsidRDefault="00757782" w:rsidP="00757782">
      <w:pPr>
        <w:spacing w:after="0" w:line="240" w:lineRule="auto"/>
      </w:pPr>
    </w:p>
    <w:p w:rsidR="00757782" w:rsidRDefault="00757782" w:rsidP="00757782">
      <w:pPr>
        <w:spacing w:after="0" w:line="240" w:lineRule="auto"/>
      </w:pPr>
      <w:r>
        <w:t xml:space="preserve">(q) Personality Disorders; or </w:t>
      </w:r>
    </w:p>
    <w:p w:rsidR="00757782" w:rsidRDefault="00757782" w:rsidP="00757782">
      <w:pPr>
        <w:spacing w:after="0" w:line="240" w:lineRule="auto"/>
      </w:pPr>
    </w:p>
    <w:p w:rsidR="002D4867" w:rsidRPr="002D4867" w:rsidRDefault="00757782" w:rsidP="00757782">
      <w:pPr>
        <w:spacing w:after="0" w:line="240" w:lineRule="auto"/>
        <w:rPr>
          <w:rFonts w:eastAsia="Times New Roman"/>
          <w:color w:val="000000"/>
        </w:rPr>
      </w:pPr>
      <w:r>
        <w:t>(r)  Medication-Induced Movement Disorders.</w:t>
      </w:r>
    </w:p>
    <w:p w:rsidR="002D4867" w:rsidRPr="002D4867" w:rsidRDefault="002D4867" w:rsidP="002D4867">
      <w:pPr>
        <w:spacing w:after="0" w:line="240" w:lineRule="auto"/>
        <w:rPr>
          <w:rFonts w:eastAsia="Times New Roman"/>
          <w:color w:val="000000"/>
        </w:rPr>
      </w:pPr>
      <w:bookmarkStart w:id="1" w:name="IBE83A9D0C0CB11E2B847926631A22C6A"/>
      <w:bookmarkEnd w:id="1"/>
    </w:p>
    <w:sectPr w:rsidR="002D4867" w:rsidRPr="002D48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67" w:rsidRDefault="002D4867" w:rsidP="002D4867">
      <w:pPr>
        <w:spacing w:after="0" w:line="240" w:lineRule="auto"/>
      </w:pPr>
      <w:r>
        <w:separator/>
      </w:r>
    </w:p>
  </w:endnote>
  <w:endnote w:type="continuationSeparator" w:id="0">
    <w:p w:rsidR="002D4867" w:rsidRDefault="002D4867" w:rsidP="002D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82" w:rsidRDefault="00757782">
    <w:pPr>
      <w:pStyle w:val="Footer"/>
    </w:pPr>
    <w:r>
      <w:t>6/4/2013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67" w:rsidRDefault="002D4867" w:rsidP="002D4867">
      <w:pPr>
        <w:spacing w:after="0" w:line="240" w:lineRule="auto"/>
      </w:pPr>
      <w:r>
        <w:separator/>
      </w:r>
    </w:p>
  </w:footnote>
  <w:footnote w:type="continuationSeparator" w:id="0">
    <w:p w:rsidR="002D4867" w:rsidRDefault="002D4867" w:rsidP="002D4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67" w:rsidRPr="002D4867" w:rsidRDefault="00472750" w:rsidP="002D4867">
    <w:pPr>
      <w:pStyle w:val="Header"/>
      <w:jc w:val="center"/>
      <w:rPr>
        <w:b/>
        <w:sz w:val="28"/>
        <w:szCs w:val="28"/>
      </w:rPr>
    </w:pPr>
    <w:r>
      <w:rPr>
        <w:b/>
        <w:sz w:val="28"/>
        <w:szCs w:val="28"/>
      </w:rPr>
      <w:t>Chronic Mental Illness</w:t>
    </w:r>
  </w:p>
  <w:p w:rsidR="002D4867" w:rsidRDefault="002D4867" w:rsidP="002D4867">
    <w:pPr>
      <w:pStyle w:val="Header"/>
      <w:jc w:val="center"/>
    </w:pPr>
    <w:r>
      <w:t>(Defined in Darling v. Douglas Settlement Agreement of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67"/>
    <w:rsid w:val="00152E3F"/>
    <w:rsid w:val="002D4867"/>
    <w:rsid w:val="00472750"/>
    <w:rsid w:val="004A3AA0"/>
    <w:rsid w:val="00757782"/>
    <w:rsid w:val="0083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67"/>
  </w:style>
  <w:style w:type="paragraph" w:styleId="Footer">
    <w:name w:val="footer"/>
    <w:basedOn w:val="Normal"/>
    <w:link w:val="FooterChar"/>
    <w:uiPriority w:val="99"/>
    <w:unhideWhenUsed/>
    <w:rsid w:val="002D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67"/>
  </w:style>
  <w:style w:type="paragraph" w:styleId="BalloonText">
    <w:name w:val="Balloon Text"/>
    <w:basedOn w:val="Normal"/>
    <w:link w:val="BalloonTextChar"/>
    <w:uiPriority w:val="99"/>
    <w:semiHidden/>
    <w:unhideWhenUsed/>
    <w:rsid w:val="002D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67"/>
  </w:style>
  <w:style w:type="paragraph" w:styleId="Footer">
    <w:name w:val="footer"/>
    <w:basedOn w:val="Normal"/>
    <w:link w:val="FooterChar"/>
    <w:uiPriority w:val="99"/>
    <w:unhideWhenUsed/>
    <w:rsid w:val="002D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67"/>
  </w:style>
  <w:style w:type="paragraph" w:styleId="BalloonText">
    <w:name w:val="Balloon Text"/>
    <w:basedOn w:val="Normal"/>
    <w:link w:val="BalloonTextChar"/>
    <w:uiPriority w:val="99"/>
    <w:semiHidden/>
    <w:unhideWhenUsed/>
    <w:rsid w:val="002D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899602">
      <w:bodyDiv w:val="1"/>
      <w:marLeft w:val="0"/>
      <w:marRight w:val="0"/>
      <w:marTop w:val="0"/>
      <w:marBottom w:val="0"/>
      <w:divBdr>
        <w:top w:val="none" w:sz="0" w:space="0" w:color="auto"/>
        <w:left w:val="none" w:sz="0" w:space="0" w:color="auto"/>
        <w:bottom w:val="none" w:sz="0" w:space="0" w:color="auto"/>
        <w:right w:val="none" w:sz="0" w:space="0" w:color="auto"/>
      </w:divBdr>
      <w:divsChild>
        <w:div w:id="146821440">
          <w:marLeft w:val="150"/>
          <w:marRight w:val="150"/>
          <w:marTop w:val="150"/>
          <w:marBottom w:val="150"/>
          <w:divBdr>
            <w:top w:val="none" w:sz="0" w:space="0" w:color="auto"/>
            <w:left w:val="none" w:sz="0" w:space="0" w:color="auto"/>
            <w:bottom w:val="none" w:sz="0" w:space="0" w:color="auto"/>
            <w:right w:val="none" w:sz="0" w:space="0" w:color="auto"/>
          </w:divBdr>
          <w:divsChild>
            <w:div w:id="152529991">
              <w:marLeft w:val="0"/>
              <w:marRight w:val="0"/>
              <w:marTop w:val="0"/>
              <w:marBottom w:val="0"/>
              <w:divBdr>
                <w:top w:val="none" w:sz="0" w:space="0" w:color="auto"/>
                <w:left w:val="none" w:sz="0" w:space="0" w:color="auto"/>
                <w:bottom w:val="none" w:sz="0" w:space="0" w:color="auto"/>
                <w:right w:val="none" w:sz="0" w:space="0" w:color="auto"/>
              </w:divBdr>
              <w:divsChild>
                <w:div w:id="755984044">
                  <w:marLeft w:val="0"/>
                  <w:marRight w:val="0"/>
                  <w:marTop w:val="0"/>
                  <w:marBottom w:val="0"/>
                  <w:divBdr>
                    <w:top w:val="none" w:sz="0" w:space="0" w:color="auto"/>
                    <w:left w:val="none" w:sz="0" w:space="0" w:color="auto"/>
                    <w:bottom w:val="none" w:sz="0" w:space="0" w:color="auto"/>
                    <w:right w:val="none" w:sz="0" w:space="0" w:color="auto"/>
                  </w:divBdr>
                  <w:divsChild>
                    <w:div w:id="588974012">
                      <w:marLeft w:val="1080"/>
                      <w:marRight w:val="0"/>
                      <w:marTop w:val="0"/>
                      <w:marBottom w:val="0"/>
                      <w:divBdr>
                        <w:top w:val="none" w:sz="0" w:space="0" w:color="auto"/>
                        <w:left w:val="none" w:sz="0" w:space="0" w:color="auto"/>
                        <w:bottom w:val="none" w:sz="0" w:space="0" w:color="auto"/>
                        <w:right w:val="none" w:sz="0" w:space="0" w:color="auto"/>
                      </w:divBdr>
                    </w:div>
                    <w:div w:id="1064258871">
                      <w:marLeft w:val="0"/>
                      <w:marRight w:val="0"/>
                      <w:marTop w:val="0"/>
                      <w:marBottom w:val="0"/>
                      <w:divBdr>
                        <w:top w:val="none" w:sz="0" w:space="0" w:color="auto"/>
                        <w:left w:val="none" w:sz="0" w:space="0" w:color="auto"/>
                        <w:bottom w:val="none" w:sz="0" w:space="0" w:color="auto"/>
                        <w:right w:val="none" w:sz="0" w:space="0" w:color="auto"/>
                      </w:divBdr>
                    </w:div>
                    <w:div w:id="1610969314">
                      <w:marLeft w:val="360"/>
                      <w:marRight w:val="0"/>
                      <w:marTop w:val="0"/>
                      <w:marBottom w:val="0"/>
                      <w:divBdr>
                        <w:top w:val="none" w:sz="0" w:space="0" w:color="auto"/>
                        <w:left w:val="none" w:sz="0" w:space="0" w:color="auto"/>
                        <w:bottom w:val="none" w:sz="0" w:space="0" w:color="auto"/>
                        <w:right w:val="none" w:sz="0" w:space="0" w:color="auto"/>
                      </w:divBdr>
                    </w:div>
                    <w:div w:id="1104424828">
                      <w:marLeft w:val="360"/>
                      <w:marRight w:val="0"/>
                      <w:marTop w:val="0"/>
                      <w:marBottom w:val="0"/>
                      <w:divBdr>
                        <w:top w:val="none" w:sz="0" w:space="0" w:color="auto"/>
                        <w:left w:val="none" w:sz="0" w:space="0" w:color="auto"/>
                        <w:bottom w:val="none" w:sz="0" w:space="0" w:color="auto"/>
                        <w:right w:val="none" w:sz="0" w:space="0" w:color="auto"/>
                      </w:divBdr>
                    </w:div>
                    <w:div w:id="1275213127">
                      <w:marLeft w:val="360"/>
                      <w:marRight w:val="0"/>
                      <w:marTop w:val="0"/>
                      <w:marBottom w:val="0"/>
                      <w:divBdr>
                        <w:top w:val="none" w:sz="0" w:space="0" w:color="auto"/>
                        <w:left w:val="none" w:sz="0" w:space="0" w:color="auto"/>
                        <w:bottom w:val="none" w:sz="0" w:space="0" w:color="auto"/>
                        <w:right w:val="none" w:sz="0" w:space="0" w:color="auto"/>
                      </w:divBdr>
                    </w:div>
                    <w:div w:id="1833056775">
                      <w:marLeft w:val="360"/>
                      <w:marRight w:val="0"/>
                      <w:marTop w:val="0"/>
                      <w:marBottom w:val="0"/>
                      <w:divBdr>
                        <w:top w:val="none" w:sz="0" w:space="0" w:color="auto"/>
                        <w:left w:val="none" w:sz="0" w:space="0" w:color="auto"/>
                        <w:bottom w:val="none" w:sz="0" w:space="0" w:color="auto"/>
                        <w:right w:val="none" w:sz="0" w:space="0" w:color="auto"/>
                      </w:divBdr>
                    </w:div>
                    <w:div w:id="1123157064">
                      <w:marLeft w:val="360"/>
                      <w:marRight w:val="0"/>
                      <w:marTop w:val="0"/>
                      <w:marBottom w:val="0"/>
                      <w:divBdr>
                        <w:top w:val="none" w:sz="0" w:space="0" w:color="auto"/>
                        <w:left w:val="none" w:sz="0" w:space="0" w:color="auto"/>
                        <w:bottom w:val="none" w:sz="0" w:space="0" w:color="auto"/>
                        <w:right w:val="none" w:sz="0" w:space="0" w:color="auto"/>
                      </w:divBdr>
                    </w:div>
                    <w:div w:id="937561613">
                      <w:marLeft w:val="360"/>
                      <w:marRight w:val="0"/>
                      <w:marTop w:val="0"/>
                      <w:marBottom w:val="0"/>
                      <w:divBdr>
                        <w:top w:val="none" w:sz="0" w:space="0" w:color="auto"/>
                        <w:left w:val="none" w:sz="0" w:space="0" w:color="auto"/>
                        <w:bottom w:val="none" w:sz="0" w:space="0" w:color="auto"/>
                        <w:right w:val="none" w:sz="0" w:space="0" w:color="auto"/>
                      </w:divBdr>
                    </w:div>
                    <w:div w:id="62027019">
                      <w:marLeft w:val="360"/>
                      <w:marRight w:val="0"/>
                      <w:marTop w:val="0"/>
                      <w:marBottom w:val="0"/>
                      <w:divBdr>
                        <w:top w:val="none" w:sz="0" w:space="0" w:color="auto"/>
                        <w:left w:val="none" w:sz="0" w:space="0" w:color="auto"/>
                        <w:bottom w:val="none" w:sz="0" w:space="0" w:color="auto"/>
                        <w:right w:val="none" w:sz="0" w:space="0" w:color="auto"/>
                      </w:divBdr>
                    </w:div>
                    <w:div w:id="1418097092">
                      <w:marLeft w:val="360"/>
                      <w:marRight w:val="0"/>
                      <w:marTop w:val="0"/>
                      <w:marBottom w:val="0"/>
                      <w:divBdr>
                        <w:top w:val="none" w:sz="0" w:space="0" w:color="auto"/>
                        <w:left w:val="none" w:sz="0" w:space="0" w:color="auto"/>
                        <w:bottom w:val="none" w:sz="0" w:space="0" w:color="auto"/>
                        <w:right w:val="none" w:sz="0" w:space="0" w:color="auto"/>
                      </w:divBdr>
                    </w:div>
                    <w:div w:id="517037409">
                      <w:marLeft w:val="360"/>
                      <w:marRight w:val="0"/>
                      <w:marTop w:val="0"/>
                      <w:marBottom w:val="0"/>
                      <w:divBdr>
                        <w:top w:val="none" w:sz="0" w:space="0" w:color="auto"/>
                        <w:left w:val="none" w:sz="0" w:space="0" w:color="auto"/>
                        <w:bottom w:val="none" w:sz="0" w:space="0" w:color="auto"/>
                        <w:right w:val="none" w:sz="0" w:space="0" w:color="auto"/>
                      </w:divBdr>
                    </w:div>
                    <w:div w:id="1715158539">
                      <w:marLeft w:val="0"/>
                      <w:marRight w:val="0"/>
                      <w:marTop w:val="0"/>
                      <w:marBottom w:val="0"/>
                      <w:divBdr>
                        <w:top w:val="none" w:sz="0" w:space="0" w:color="auto"/>
                        <w:left w:val="none" w:sz="0" w:space="0" w:color="auto"/>
                        <w:bottom w:val="none" w:sz="0" w:space="0" w:color="auto"/>
                        <w:right w:val="none" w:sz="0" w:space="0" w:color="auto"/>
                      </w:divBdr>
                    </w:div>
                    <w:div w:id="1411923139">
                      <w:marLeft w:val="0"/>
                      <w:marRight w:val="0"/>
                      <w:marTop w:val="0"/>
                      <w:marBottom w:val="0"/>
                      <w:divBdr>
                        <w:top w:val="none" w:sz="0" w:space="0" w:color="auto"/>
                        <w:left w:val="none" w:sz="0" w:space="0" w:color="auto"/>
                        <w:bottom w:val="none" w:sz="0" w:space="0" w:color="auto"/>
                        <w:right w:val="none" w:sz="0" w:space="0" w:color="auto"/>
                      </w:divBdr>
                    </w:div>
                    <w:div w:id="628170817">
                      <w:marLeft w:val="0"/>
                      <w:marRight w:val="0"/>
                      <w:marTop w:val="0"/>
                      <w:marBottom w:val="0"/>
                      <w:divBdr>
                        <w:top w:val="none" w:sz="0" w:space="0" w:color="auto"/>
                        <w:left w:val="none" w:sz="0" w:space="0" w:color="auto"/>
                        <w:bottom w:val="none" w:sz="0" w:space="0" w:color="auto"/>
                        <w:right w:val="none" w:sz="0" w:space="0" w:color="auto"/>
                      </w:divBdr>
                    </w:div>
                    <w:div w:id="1655640459">
                      <w:marLeft w:val="0"/>
                      <w:marRight w:val="0"/>
                      <w:marTop w:val="0"/>
                      <w:marBottom w:val="0"/>
                      <w:divBdr>
                        <w:top w:val="none" w:sz="0" w:space="0" w:color="auto"/>
                        <w:left w:val="none" w:sz="0" w:space="0" w:color="auto"/>
                        <w:bottom w:val="none" w:sz="0" w:space="0" w:color="auto"/>
                        <w:right w:val="none" w:sz="0" w:space="0" w:color="auto"/>
                      </w:divBdr>
                    </w:div>
                    <w:div w:id="538472891">
                      <w:marLeft w:val="0"/>
                      <w:marRight w:val="0"/>
                      <w:marTop w:val="0"/>
                      <w:marBottom w:val="0"/>
                      <w:divBdr>
                        <w:top w:val="none" w:sz="0" w:space="0" w:color="auto"/>
                        <w:left w:val="none" w:sz="0" w:space="0" w:color="auto"/>
                        <w:bottom w:val="none" w:sz="0" w:space="0" w:color="auto"/>
                        <w:right w:val="none" w:sz="0" w:space="0" w:color="auto"/>
                      </w:divBdr>
                    </w:div>
                    <w:div w:id="1213033346">
                      <w:marLeft w:val="0"/>
                      <w:marRight w:val="0"/>
                      <w:marTop w:val="0"/>
                      <w:marBottom w:val="0"/>
                      <w:divBdr>
                        <w:top w:val="none" w:sz="0" w:space="0" w:color="auto"/>
                        <w:left w:val="none" w:sz="0" w:space="0" w:color="auto"/>
                        <w:bottom w:val="none" w:sz="0" w:space="0" w:color="auto"/>
                        <w:right w:val="none" w:sz="0" w:space="0" w:color="auto"/>
                      </w:divBdr>
                    </w:div>
                    <w:div w:id="197161078">
                      <w:marLeft w:val="0"/>
                      <w:marRight w:val="0"/>
                      <w:marTop w:val="0"/>
                      <w:marBottom w:val="0"/>
                      <w:divBdr>
                        <w:top w:val="none" w:sz="0" w:space="0" w:color="auto"/>
                        <w:left w:val="none" w:sz="0" w:space="0" w:color="auto"/>
                        <w:bottom w:val="none" w:sz="0" w:space="0" w:color="auto"/>
                        <w:right w:val="none" w:sz="0" w:space="0" w:color="auto"/>
                      </w:divBdr>
                    </w:div>
                    <w:div w:id="1149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Chronic Mental Health Definition for CBAS as defined in Darling v. Douglas Settlement Agreement 2011</Abstract>
    <PublishingContactName xmlns="http://schemas.microsoft.com/sharepoint/v3">Barbara Sapata-Hill LTCD</PublishingContactName>
    <TAGAge xmlns="69bc34b3-1921-46c7-8c7a-d18363374b4b" xsi:nil="true"/>
    <_dlc_DocId xmlns="69bc34b3-1921-46c7-8c7a-d18363374b4b">DHCSDOC-1832079576-1600</_dlc_DocId>
    <_dlc_DocIdUrl xmlns="69bc34b3-1921-46c7-8c7a-d18363374b4b">
      <Url>http://dhcs2016prod:88/services/_layouts/15/DocIdRedir.aspx?ID=DHCSDOC-1832079576-1600</Url>
      <Description>DHCSDOC-1832079576-1600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2E3535-1089-47C9-8113-BFB80D23D733}"/>
</file>

<file path=customXml/itemProps2.xml><?xml version="1.0" encoding="utf-8"?>
<ds:datastoreItem xmlns:ds="http://schemas.openxmlformats.org/officeDocument/2006/customXml" ds:itemID="{DD1C5F12-907B-486D-9E53-29A38A31AEAE}"/>
</file>

<file path=customXml/itemProps3.xml><?xml version="1.0" encoding="utf-8"?>
<ds:datastoreItem xmlns:ds="http://schemas.openxmlformats.org/officeDocument/2006/customXml" ds:itemID="{20338A97-C111-40C8-B481-F7C9CAE71903}"/>
</file>

<file path=customXml/itemProps4.xml><?xml version="1.0" encoding="utf-8"?>
<ds:datastoreItem xmlns:ds="http://schemas.openxmlformats.org/officeDocument/2006/customXml" ds:itemID="{0171DC14-77B2-4C40-89D6-75E2E811A9D1}"/>
</file>

<file path=customXml/itemProps5.xml><?xml version="1.0" encoding="utf-8"?>
<ds:datastoreItem xmlns:ds="http://schemas.openxmlformats.org/officeDocument/2006/customXml" ds:itemID="{568B965F-90A9-4EE4-8AD1-19D04EC24848}"/>
</file>

<file path=customXml/itemProps6.xml><?xml version="1.0" encoding="utf-8"?>
<ds:datastoreItem xmlns:ds="http://schemas.openxmlformats.org/officeDocument/2006/customXml" ds:itemID="{FB7AB340-DFB1-41DD-8C21-D43569B2441C}"/>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Mental Health Definition</dc:title>
  <dc:creator>Windows User</dc:creator>
  <cp:keywords>Chronic Mental Health,Chronic Mental Health Definition,CBAS Mental Health Definition,Community-Based Adult Services Chronic Mental Health Definition,Mental Health Definition,Darling v Douglas Settlement Agreement definition for Chronic Mental Health,</cp:keywords>
  <cp:lastModifiedBy>Windows User</cp:lastModifiedBy>
  <cp:revision>2</cp:revision>
  <dcterms:created xsi:type="dcterms:W3CDTF">2013-06-04T20:24:00Z</dcterms:created>
  <dcterms:modified xsi:type="dcterms:W3CDTF">2013-06-04T20:24:00Z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7173142d-325d-4311-a556-b2b995349899</vt:lpwstr>
  </property>
  <property fmtid="{D5CDD505-2E9C-101B-9397-08002B2CF9AE}" pid="4" name="Remediated">
    <vt:bool>false</vt:bool>
  </property>
  <property fmtid="{D5CDD505-2E9C-101B-9397-08002B2CF9AE}" pid="5" name="Organization">
    <vt:lpwstr>7</vt:lpwstr>
  </property>
  <property fmtid="{D5CDD505-2E9C-101B-9397-08002B2CF9AE}" pid="6" name="Division">
    <vt:lpwstr>22;#Integrated Systems of Care|6fd1b75e-be80-4bfc-8514-f354fda71f41</vt:lpwstr>
  </property>
</Properties>
</file>