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B87" w:rsidRDefault="00835B87"/>
    <w:p w:rsidR="002D4867" w:rsidRDefault="002D4867">
      <w:r>
        <w:t>A person with a “developmental disability” shall have a disability meeting the definitions and requirements set forth in title 17, section 54001(a) of the California Code of Regulation (CCR), as determined by a Regional Center under contract with the Department of Developmental Services.</w:t>
      </w:r>
    </w:p>
    <w:p w:rsidR="002D4867" w:rsidRPr="002D4867" w:rsidRDefault="004A3AA0" w:rsidP="002D4867">
      <w:pPr>
        <w:rPr>
          <w:rFonts w:eastAsia="Times New Roman"/>
          <w:color w:val="000000"/>
        </w:rPr>
      </w:pPr>
      <w:r>
        <w:t>Title 17, Section 54001</w:t>
      </w:r>
      <w:r w:rsidR="002D4867">
        <w:t xml:space="preserve">, CCR:    </w:t>
      </w:r>
      <w:r w:rsidR="002D4867" w:rsidRPr="002D4867">
        <w:rPr>
          <w:rFonts w:eastAsia="Times New Roman"/>
          <w:b/>
          <w:bCs/>
          <w:color w:val="000000"/>
        </w:rPr>
        <w:t>Substantial Disability</w:t>
      </w:r>
    </w:p>
    <w:p w:rsidR="002D4867" w:rsidRPr="002D4867" w:rsidRDefault="002D4867" w:rsidP="002D4867">
      <w:pPr>
        <w:spacing w:after="0" w:line="240" w:lineRule="auto"/>
        <w:rPr>
          <w:rFonts w:eastAsia="Times New Roman"/>
          <w:color w:val="000000"/>
        </w:rPr>
      </w:pPr>
      <w:bookmarkStart w:id="0" w:name="IBE824A42C0CB11E2B847926631A22C6A"/>
      <w:bookmarkStart w:id="1" w:name="IBE824A43C0CB11E2B847926631A22C6A"/>
      <w:bookmarkStart w:id="2" w:name="IBE8816A0C0CB11E2B847926631A22C6A"/>
      <w:bookmarkEnd w:id="0"/>
      <w:bookmarkEnd w:id="1"/>
      <w:bookmarkEnd w:id="2"/>
      <w:r w:rsidRPr="002D4867">
        <w:rPr>
          <w:rFonts w:eastAsia="Times New Roman"/>
          <w:color w:val="000000"/>
        </w:rPr>
        <w:t>(a) “Substantial disability” means:</w:t>
      </w:r>
      <w:bookmarkStart w:id="3" w:name="IBE827150C0CB11E2B847926631A22C6A"/>
      <w:bookmarkStart w:id="4" w:name="IBE827151C0CB11E2B847926631A22C6A"/>
      <w:bookmarkEnd w:id="3"/>
      <w:bookmarkEnd w:id="4"/>
    </w:p>
    <w:p w:rsidR="002D4867" w:rsidRPr="002D4867" w:rsidRDefault="002D4867" w:rsidP="002D4867">
      <w:pPr>
        <w:spacing w:after="0" w:line="240" w:lineRule="auto"/>
        <w:rPr>
          <w:rFonts w:eastAsia="Times New Roman"/>
          <w:color w:val="000000"/>
        </w:rPr>
      </w:pPr>
      <w:r w:rsidRPr="002D4867">
        <w:rPr>
          <w:rFonts w:eastAsia="Times New Roman"/>
          <w:color w:val="000000"/>
        </w:rPr>
        <w:t xml:space="preserve">(1) A condition which results in major impairment of cognitive and/or social functioning, representing sufficient impairment to require interdisciplinary planning and coordination of special or generic services to assist the individual in achieving maximum potential; and </w:t>
      </w:r>
      <w:bookmarkStart w:id="5" w:name="IBE827152C0CB11E2B847926631A22C6A"/>
      <w:bookmarkStart w:id="6" w:name="IBE827153C0CB11E2B847926631A22C6A"/>
      <w:bookmarkEnd w:id="5"/>
      <w:bookmarkEnd w:id="6"/>
    </w:p>
    <w:p w:rsidR="002D4867" w:rsidRPr="002D4867" w:rsidRDefault="002D4867" w:rsidP="002D4867">
      <w:pPr>
        <w:spacing w:after="0" w:line="240" w:lineRule="auto"/>
        <w:rPr>
          <w:rFonts w:eastAsia="Times New Roman"/>
          <w:color w:val="000000"/>
        </w:rPr>
      </w:pPr>
      <w:r w:rsidRPr="002D4867">
        <w:rPr>
          <w:rFonts w:eastAsia="Times New Roman"/>
          <w:color w:val="000000"/>
        </w:rPr>
        <w:t xml:space="preserve">(2) The existence of significant functional limitations, as determined by the regional center, in three or more of the following areas of major life activity, as appropriate to the person's age: </w:t>
      </w:r>
      <w:bookmarkStart w:id="7" w:name="IBE829860C0CB11E2B847926631A22C6A"/>
      <w:bookmarkStart w:id="8" w:name="IBE829861C0CB11E2B847926631A22C6A"/>
      <w:bookmarkEnd w:id="7"/>
      <w:bookmarkEnd w:id="8"/>
    </w:p>
    <w:p w:rsidR="002D4867" w:rsidRPr="002D4867" w:rsidRDefault="002D4867" w:rsidP="002D4867">
      <w:pPr>
        <w:spacing w:after="0" w:line="240" w:lineRule="auto"/>
        <w:rPr>
          <w:rFonts w:eastAsia="Times New Roman"/>
          <w:color w:val="000000"/>
        </w:rPr>
      </w:pPr>
      <w:r w:rsidRPr="002D4867">
        <w:rPr>
          <w:rFonts w:eastAsia="Times New Roman"/>
          <w:color w:val="000000"/>
        </w:rPr>
        <w:t xml:space="preserve">(A) Receptive and expressive language; </w:t>
      </w:r>
      <w:bookmarkStart w:id="9" w:name="IBE829862C0CB11E2B847926631A22C6A"/>
      <w:bookmarkStart w:id="10" w:name="IBE829863C0CB11E2B847926631A22C6A"/>
      <w:bookmarkEnd w:id="9"/>
      <w:bookmarkEnd w:id="10"/>
    </w:p>
    <w:p w:rsidR="002D4867" w:rsidRPr="002D4867" w:rsidRDefault="002D4867" w:rsidP="002D4867">
      <w:pPr>
        <w:spacing w:after="0" w:line="240" w:lineRule="auto"/>
        <w:rPr>
          <w:rFonts w:eastAsia="Times New Roman"/>
          <w:color w:val="000000"/>
        </w:rPr>
      </w:pPr>
      <w:r w:rsidRPr="002D4867">
        <w:rPr>
          <w:rFonts w:eastAsia="Times New Roman"/>
          <w:color w:val="000000"/>
        </w:rPr>
        <w:t xml:space="preserve">(B) Learning; </w:t>
      </w:r>
      <w:bookmarkStart w:id="11" w:name="IBE829864C0CB11E2B847926631A22C6A"/>
      <w:bookmarkStart w:id="12" w:name="IBE829865C0CB11E2B847926631A22C6A"/>
      <w:bookmarkEnd w:id="11"/>
      <w:bookmarkEnd w:id="12"/>
    </w:p>
    <w:p w:rsidR="002D4867" w:rsidRPr="002D4867" w:rsidRDefault="002D4867" w:rsidP="002D4867">
      <w:pPr>
        <w:spacing w:after="0" w:line="240" w:lineRule="auto"/>
        <w:rPr>
          <w:rFonts w:eastAsia="Times New Roman"/>
          <w:color w:val="000000"/>
        </w:rPr>
      </w:pPr>
      <w:r w:rsidRPr="002D4867">
        <w:rPr>
          <w:rFonts w:eastAsia="Times New Roman"/>
          <w:color w:val="000000"/>
        </w:rPr>
        <w:t xml:space="preserve">(C) Self-care; </w:t>
      </w:r>
      <w:bookmarkStart w:id="13" w:name="IBE82BF70C0CB11E2B847926631A22C6A"/>
      <w:bookmarkStart w:id="14" w:name="IBE82BF71C0CB11E2B847926631A22C6A"/>
      <w:bookmarkEnd w:id="13"/>
      <w:bookmarkEnd w:id="14"/>
    </w:p>
    <w:p w:rsidR="002D4867" w:rsidRPr="002D4867" w:rsidRDefault="002D4867" w:rsidP="002D4867">
      <w:pPr>
        <w:spacing w:after="0" w:line="240" w:lineRule="auto"/>
        <w:rPr>
          <w:rFonts w:eastAsia="Times New Roman"/>
          <w:color w:val="000000"/>
        </w:rPr>
      </w:pPr>
      <w:r w:rsidRPr="002D4867">
        <w:rPr>
          <w:rFonts w:eastAsia="Times New Roman"/>
          <w:color w:val="000000"/>
        </w:rPr>
        <w:t xml:space="preserve">(D) Mobility; </w:t>
      </w:r>
      <w:bookmarkStart w:id="15" w:name="IBE82BF72C0CB11E2B847926631A22C6A"/>
      <w:bookmarkStart w:id="16" w:name="IBE82BF73C0CB11E2B847926631A22C6A"/>
      <w:bookmarkEnd w:id="15"/>
      <w:bookmarkEnd w:id="16"/>
    </w:p>
    <w:p w:rsidR="002D4867" w:rsidRPr="002D4867" w:rsidRDefault="002D4867" w:rsidP="002D4867">
      <w:pPr>
        <w:spacing w:after="0" w:line="240" w:lineRule="auto"/>
        <w:rPr>
          <w:rFonts w:eastAsia="Times New Roman"/>
          <w:color w:val="000000"/>
        </w:rPr>
      </w:pPr>
      <w:r w:rsidRPr="002D4867">
        <w:rPr>
          <w:rFonts w:eastAsia="Times New Roman"/>
          <w:color w:val="000000"/>
        </w:rPr>
        <w:t xml:space="preserve">(E) Self-direction; </w:t>
      </w:r>
      <w:bookmarkStart w:id="17" w:name="IBE82BF74C0CB11E2B847926631A22C6A"/>
      <w:bookmarkStart w:id="18" w:name="IBE82E680C0CB11E2B847926631A22C6A"/>
      <w:bookmarkEnd w:id="17"/>
      <w:bookmarkEnd w:id="18"/>
    </w:p>
    <w:p w:rsidR="002D4867" w:rsidRPr="002D4867" w:rsidRDefault="002D4867" w:rsidP="002D4867">
      <w:pPr>
        <w:spacing w:after="0" w:line="240" w:lineRule="auto"/>
        <w:rPr>
          <w:rFonts w:eastAsia="Times New Roman"/>
          <w:color w:val="000000"/>
        </w:rPr>
      </w:pPr>
      <w:r w:rsidRPr="002D4867">
        <w:rPr>
          <w:rFonts w:eastAsia="Times New Roman"/>
          <w:color w:val="000000"/>
        </w:rPr>
        <w:t xml:space="preserve">(F) Capacity for independent living; </w:t>
      </w:r>
      <w:bookmarkStart w:id="19" w:name="IBE82E681C0CB11E2B847926631A22C6A"/>
      <w:bookmarkStart w:id="20" w:name="IBE82E682C0CB11E2B847926631A22C6A"/>
      <w:bookmarkEnd w:id="19"/>
      <w:bookmarkEnd w:id="20"/>
    </w:p>
    <w:p w:rsidR="002D4867" w:rsidRDefault="002D4867" w:rsidP="002D4867">
      <w:pPr>
        <w:spacing w:after="0" w:line="240" w:lineRule="auto"/>
        <w:rPr>
          <w:rFonts w:eastAsia="Times New Roman"/>
          <w:color w:val="000000"/>
        </w:rPr>
      </w:pPr>
      <w:r w:rsidRPr="002D4867">
        <w:rPr>
          <w:rFonts w:eastAsia="Times New Roman"/>
          <w:color w:val="000000"/>
        </w:rPr>
        <w:t xml:space="preserve">(G) Economic self-sufficiency. </w:t>
      </w:r>
      <w:bookmarkStart w:id="21" w:name="IBE82E683C0CB11E2B847926631A22C6A"/>
      <w:bookmarkStart w:id="22" w:name="IBE82E684C0CB11E2B847926631A22C6A"/>
      <w:bookmarkEnd w:id="21"/>
      <w:bookmarkEnd w:id="22"/>
    </w:p>
    <w:p w:rsidR="004A3AA0" w:rsidRPr="002D4867" w:rsidRDefault="004A3AA0" w:rsidP="002D4867">
      <w:pPr>
        <w:spacing w:after="0" w:line="240" w:lineRule="auto"/>
        <w:rPr>
          <w:rFonts w:eastAsia="Times New Roman"/>
          <w:color w:val="000000"/>
        </w:rPr>
      </w:pPr>
    </w:p>
    <w:p w:rsidR="002D4867" w:rsidRDefault="002D4867" w:rsidP="002D4867">
      <w:pPr>
        <w:spacing w:after="0" w:line="240" w:lineRule="auto"/>
        <w:rPr>
          <w:rFonts w:eastAsia="Times New Roman"/>
          <w:color w:val="000000"/>
        </w:rPr>
      </w:pPr>
      <w:r w:rsidRPr="002D4867">
        <w:rPr>
          <w:rFonts w:eastAsia="Times New Roman"/>
          <w:color w:val="000000"/>
        </w:rPr>
        <w:t>(b) The assessment of substantial disability shall be made by a group of Regional Center professionals of differing disciplines and shall include consideration of similar qualification appraisals performed by other interdisciplinary bodies of the Department serving the potential client. The group shall include as a minimum a program coordinator, a physician, and a psychologist.</w:t>
      </w:r>
      <w:bookmarkStart w:id="23" w:name="IBE830D90C0CB11E2B847926631A22C6A"/>
      <w:bookmarkStart w:id="24" w:name="IBE830D91C0CB11E2B847926631A22C6A"/>
      <w:bookmarkEnd w:id="23"/>
      <w:bookmarkEnd w:id="24"/>
    </w:p>
    <w:p w:rsidR="004A3AA0" w:rsidRPr="002D4867" w:rsidRDefault="004A3AA0" w:rsidP="002D4867">
      <w:pPr>
        <w:spacing w:after="0" w:line="240" w:lineRule="auto"/>
        <w:rPr>
          <w:rFonts w:eastAsia="Times New Roman"/>
          <w:color w:val="000000"/>
        </w:rPr>
      </w:pPr>
    </w:p>
    <w:p w:rsidR="002D4867" w:rsidRDefault="002D4867" w:rsidP="002D4867">
      <w:pPr>
        <w:spacing w:after="0" w:line="240" w:lineRule="auto"/>
        <w:rPr>
          <w:rFonts w:eastAsia="Times New Roman"/>
          <w:color w:val="000000"/>
        </w:rPr>
      </w:pPr>
      <w:r w:rsidRPr="002D4867">
        <w:rPr>
          <w:rFonts w:eastAsia="Times New Roman"/>
          <w:color w:val="000000"/>
        </w:rPr>
        <w:t>(c) The Regional Center professional group shall consult the potential client, parents, guardians/conservators, educators, advocates, and other client representatives to the extent that they are willing and available to participate in its deliberations and to the extent that the appropriate consent is obtained.</w:t>
      </w:r>
      <w:bookmarkStart w:id="25" w:name="IBE830D92C0CB11E2B847926631A22C6A"/>
      <w:bookmarkStart w:id="26" w:name="IBE830D93C0CB11E2B847926631A22C6A"/>
      <w:bookmarkEnd w:id="25"/>
      <w:bookmarkEnd w:id="26"/>
    </w:p>
    <w:p w:rsidR="004A3AA0" w:rsidRPr="002D4867" w:rsidRDefault="004A3AA0" w:rsidP="002D4867">
      <w:pPr>
        <w:spacing w:after="0" w:line="240" w:lineRule="auto"/>
        <w:rPr>
          <w:rFonts w:eastAsia="Times New Roman"/>
          <w:color w:val="000000"/>
        </w:rPr>
      </w:pPr>
    </w:p>
    <w:p w:rsidR="002D4867" w:rsidRPr="002D4867" w:rsidRDefault="002D4867" w:rsidP="002D4867">
      <w:pPr>
        <w:spacing w:after="0" w:line="240" w:lineRule="auto"/>
        <w:rPr>
          <w:rFonts w:eastAsia="Times New Roman"/>
          <w:color w:val="000000"/>
        </w:rPr>
      </w:pPr>
      <w:r w:rsidRPr="002D4867">
        <w:rPr>
          <w:rFonts w:eastAsia="Times New Roman"/>
          <w:color w:val="000000"/>
        </w:rPr>
        <w:t>(d) Any reassessment of substantial disability for purposes of continuing eligibility shall utilize the same criteria under which the individual was originally made eligible.</w:t>
      </w:r>
    </w:p>
    <w:p w:rsidR="002D4867" w:rsidRPr="002D4867" w:rsidRDefault="002D4867" w:rsidP="002D4867">
      <w:pPr>
        <w:spacing w:after="0" w:line="240" w:lineRule="auto"/>
        <w:rPr>
          <w:rFonts w:eastAsia="Times New Roman"/>
          <w:color w:val="000000"/>
        </w:rPr>
      </w:pPr>
      <w:bookmarkStart w:id="27" w:name="IBE8382C0C0CB11E2B847926631A22C6A"/>
      <w:bookmarkStart w:id="28" w:name="IBE8382C3C0CB11E2B847926631A22C6A"/>
      <w:bookmarkEnd w:id="27"/>
      <w:bookmarkEnd w:id="28"/>
    </w:p>
    <w:p w:rsidR="002D4867" w:rsidRPr="002D4867" w:rsidRDefault="002D4867" w:rsidP="002D4867">
      <w:pPr>
        <w:spacing w:after="0" w:line="240" w:lineRule="auto"/>
        <w:rPr>
          <w:rFonts w:eastAsia="Times New Roman"/>
          <w:color w:val="000000"/>
        </w:rPr>
      </w:pPr>
      <w:r w:rsidRPr="002D4867">
        <w:rPr>
          <w:rFonts w:eastAsia="Times New Roman"/>
          <w:color w:val="000000"/>
        </w:rPr>
        <w:t>Note: Authority cited: Section 4512, Welfare and Institutions Code. Reference: Section 4512, Welfare and Institutions Code.</w:t>
      </w:r>
    </w:p>
    <w:p w:rsidR="002D4867" w:rsidRPr="002D4867" w:rsidRDefault="002D4867" w:rsidP="002D4867">
      <w:pPr>
        <w:spacing w:after="0" w:line="240" w:lineRule="auto"/>
        <w:rPr>
          <w:rFonts w:eastAsia="Times New Roman"/>
          <w:color w:val="000000"/>
        </w:rPr>
      </w:pPr>
      <w:bookmarkStart w:id="29" w:name="IBE83A9D0C0CB11E2B847926631A22C6A"/>
      <w:bookmarkStart w:id="30" w:name="_GoBack"/>
      <w:bookmarkEnd w:id="29"/>
      <w:bookmarkEnd w:id="30"/>
    </w:p>
    <w:sectPr w:rsidR="002D4867" w:rsidRPr="002D486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867" w:rsidRDefault="002D4867" w:rsidP="002D4867">
      <w:pPr>
        <w:spacing w:after="0" w:line="240" w:lineRule="auto"/>
      </w:pPr>
      <w:r>
        <w:separator/>
      </w:r>
    </w:p>
  </w:endnote>
  <w:endnote w:type="continuationSeparator" w:id="0">
    <w:p w:rsidR="002D4867" w:rsidRDefault="002D4867" w:rsidP="002D4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4FF" w:rsidRDefault="00DE74FF">
    <w:pPr>
      <w:pStyle w:val="Footer"/>
    </w:pPr>
    <w:r>
      <w:t>6/4/2013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867" w:rsidRDefault="002D4867" w:rsidP="002D4867">
      <w:pPr>
        <w:spacing w:after="0" w:line="240" w:lineRule="auto"/>
      </w:pPr>
      <w:r>
        <w:separator/>
      </w:r>
    </w:p>
  </w:footnote>
  <w:footnote w:type="continuationSeparator" w:id="0">
    <w:p w:rsidR="002D4867" w:rsidRDefault="002D4867" w:rsidP="002D48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867" w:rsidRPr="002D4867" w:rsidRDefault="002D4867" w:rsidP="002D4867">
    <w:pPr>
      <w:pStyle w:val="Header"/>
      <w:jc w:val="center"/>
      <w:rPr>
        <w:b/>
        <w:sz w:val="28"/>
        <w:szCs w:val="28"/>
      </w:rPr>
    </w:pPr>
    <w:r w:rsidRPr="002D4867">
      <w:rPr>
        <w:b/>
        <w:sz w:val="28"/>
        <w:szCs w:val="28"/>
      </w:rPr>
      <w:t>Developmental Disability</w:t>
    </w:r>
  </w:p>
  <w:p w:rsidR="002D4867" w:rsidRDefault="002D4867" w:rsidP="002D4867">
    <w:pPr>
      <w:pStyle w:val="Header"/>
      <w:jc w:val="center"/>
    </w:pPr>
    <w:r>
      <w:t>(Defined in Darling v. Douglas Settlement Agreement of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867"/>
    <w:rsid w:val="00152E3F"/>
    <w:rsid w:val="002D4867"/>
    <w:rsid w:val="004A3AA0"/>
    <w:rsid w:val="00835B87"/>
    <w:rsid w:val="00DE7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867"/>
  </w:style>
  <w:style w:type="paragraph" w:styleId="Footer">
    <w:name w:val="footer"/>
    <w:basedOn w:val="Normal"/>
    <w:link w:val="FooterChar"/>
    <w:uiPriority w:val="99"/>
    <w:unhideWhenUsed/>
    <w:rsid w:val="002D4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867"/>
  </w:style>
  <w:style w:type="paragraph" w:styleId="BalloonText">
    <w:name w:val="Balloon Text"/>
    <w:basedOn w:val="Normal"/>
    <w:link w:val="BalloonTextChar"/>
    <w:uiPriority w:val="99"/>
    <w:semiHidden/>
    <w:unhideWhenUsed/>
    <w:rsid w:val="002D48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8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867"/>
  </w:style>
  <w:style w:type="paragraph" w:styleId="Footer">
    <w:name w:val="footer"/>
    <w:basedOn w:val="Normal"/>
    <w:link w:val="FooterChar"/>
    <w:uiPriority w:val="99"/>
    <w:unhideWhenUsed/>
    <w:rsid w:val="002D4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867"/>
  </w:style>
  <w:style w:type="paragraph" w:styleId="BalloonText">
    <w:name w:val="Balloon Text"/>
    <w:basedOn w:val="Normal"/>
    <w:link w:val="BalloonTextChar"/>
    <w:uiPriority w:val="99"/>
    <w:semiHidden/>
    <w:unhideWhenUsed/>
    <w:rsid w:val="002D48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8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899602">
      <w:bodyDiv w:val="1"/>
      <w:marLeft w:val="0"/>
      <w:marRight w:val="0"/>
      <w:marTop w:val="0"/>
      <w:marBottom w:val="0"/>
      <w:divBdr>
        <w:top w:val="none" w:sz="0" w:space="0" w:color="auto"/>
        <w:left w:val="none" w:sz="0" w:space="0" w:color="auto"/>
        <w:bottom w:val="none" w:sz="0" w:space="0" w:color="auto"/>
        <w:right w:val="none" w:sz="0" w:space="0" w:color="auto"/>
      </w:divBdr>
      <w:divsChild>
        <w:div w:id="146821440">
          <w:marLeft w:val="150"/>
          <w:marRight w:val="150"/>
          <w:marTop w:val="150"/>
          <w:marBottom w:val="150"/>
          <w:divBdr>
            <w:top w:val="none" w:sz="0" w:space="0" w:color="auto"/>
            <w:left w:val="none" w:sz="0" w:space="0" w:color="auto"/>
            <w:bottom w:val="none" w:sz="0" w:space="0" w:color="auto"/>
            <w:right w:val="none" w:sz="0" w:space="0" w:color="auto"/>
          </w:divBdr>
          <w:divsChild>
            <w:div w:id="152529991">
              <w:marLeft w:val="0"/>
              <w:marRight w:val="0"/>
              <w:marTop w:val="0"/>
              <w:marBottom w:val="0"/>
              <w:divBdr>
                <w:top w:val="none" w:sz="0" w:space="0" w:color="auto"/>
                <w:left w:val="none" w:sz="0" w:space="0" w:color="auto"/>
                <w:bottom w:val="none" w:sz="0" w:space="0" w:color="auto"/>
                <w:right w:val="none" w:sz="0" w:space="0" w:color="auto"/>
              </w:divBdr>
              <w:divsChild>
                <w:div w:id="755984044">
                  <w:marLeft w:val="0"/>
                  <w:marRight w:val="0"/>
                  <w:marTop w:val="0"/>
                  <w:marBottom w:val="0"/>
                  <w:divBdr>
                    <w:top w:val="none" w:sz="0" w:space="0" w:color="auto"/>
                    <w:left w:val="none" w:sz="0" w:space="0" w:color="auto"/>
                    <w:bottom w:val="none" w:sz="0" w:space="0" w:color="auto"/>
                    <w:right w:val="none" w:sz="0" w:space="0" w:color="auto"/>
                  </w:divBdr>
                  <w:divsChild>
                    <w:div w:id="588974012">
                      <w:marLeft w:val="1080"/>
                      <w:marRight w:val="0"/>
                      <w:marTop w:val="0"/>
                      <w:marBottom w:val="0"/>
                      <w:divBdr>
                        <w:top w:val="none" w:sz="0" w:space="0" w:color="auto"/>
                        <w:left w:val="none" w:sz="0" w:space="0" w:color="auto"/>
                        <w:bottom w:val="none" w:sz="0" w:space="0" w:color="auto"/>
                        <w:right w:val="none" w:sz="0" w:space="0" w:color="auto"/>
                      </w:divBdr>
                    </w:div>
                    <w:div w:id="1064258871">
                      <w:marLeft w:val="0"/>
                      <w:marRight w:val="0"/>
                      <w:marTop w:val="0"/>
                      <w:marBottom w:val="0"/>
                      <w:divBdr>
                        <w:top w:val="none" w:sz="0" w:space="0" w:color="auto"/>
                        <w:left w:val="none" w:sz="0" w:space="0" w:color="auto"/>
                        <w:bottom w:val="none" w:sz="0" w:space="0" w:color="auto"/>
                        <w:right w:val="none" w:sz="0" w:space="0" w:color="auto"/>
                      </w:divBdr>
                    </w:div>
                    <w:div w:id="1610969314">
                      <w:marLeft w:val="360"/>
                      <w:marRight w:val="0"/>
                      <w:marTop w:val="0"/>
                      <w:marBottom w:val="0"/>
                      <w:divBdr>
                        <w:top w:val="none" w:sz="0" w:space="0" w:color="auto"/>
                        <w:left w:val="none" w:sz="0" w:space="0" w:color="auto"/>
                        <w:bottom w:val="none" w:sz="0" w:space="0" w:color="auto"/>
                        <w:right w:val="none" w:sz="0" w:space="0" w:color="auto"/>
                      </w:divBdr>
                    </w:div>
                    <w:div w:id="1104424828">
                      <w:marLeft w:val="360"/>
                      <w:marRight w:val="0"/>
                      <w:marTop w:val="0"/>
                      <w:marBottom w:val="0"/>
                      <w:divBdr>
                        <w:top w:val="none" w:sz="0" w:space="0" w:color="auto"/>
                        <w:left w:val="none" w:sz="0" w:space="0" w:color="auto"/>
                        <w:bottom w:val="none" w:sz="0" w:space="0" w:color="auto"/>
                        <w:right w:val="none" w:sz="0" w:space="0" w:color="auto"/>
                      </w:divBdr>
                    </w:div>
                    <w:div w:id="1275213127">
                      <w:marLeft w:val="360"/>
                      <w:marRight w:val="0"/>
                      <w:marTop w:val="0"/>
                      <w:marBottom w:val="0"/>
                      <w:divBdr>
                        <w:top w:val="none" w:sz="0" w:space="0" w:color="auto"/>
                        <w:left w:val="none" w:sz="0" w:space="0" w:color="auto"/>
                        <w:bottom w:val="none" w:sz="0" w:space="0" w:color="auto"/>
                        <w:right w:val="none" w:sz="0" w:space="0" w:color="auto"/>
                      </w:divBdr>
                    </w:div>
                    <w:div w:id="1833056775">
                      <w:marLeft w:val="360"/>
                      <w:marRight w:val="0"/>
                      <w:marTop w:val="0"/>
                      <w:marBottom w:val="0"/>
                      <w:divBdr>
                        <w:top w:val="none" w:sz="0" w:space="0" w:color="auto"/>
                        <w:left w:val="none" w:sz="0" w:space="0" w:color="auto"/>
                        <w:bottom w:val="none" w:sz="0" w:space="0" w:color="auto"/>
                        <w:right w:val="none" w:sz="0" w:space="0" w:color="auto"/>
                      </w:divBdr>
                    </w:div>
                    <w:div w:id="1123157064">
                      <w:marLeft w:val="360"/>
                      <w:marRight w:val="0"/>
                      <w:marTop w:val="0"/>
                      <w:marBottom w:val="0"/>
                      <w:divBdr>
                        <w:top w:val="none" w:sz="0" w:space="0" w:color="auto"/>
                        <w:left w:val="none" w:sz="0" w:space="0" w:color="auto"/>
                        <w:bottom w:val="none" w:sz="0" w:space="0" w:color="auto"/>
                        <w:right w:val="none" w:sz="0" w:space="0" w:color="auto"/>
                      </w:divBdr>
                    </w:div>
                    <w:div w:id="937561613">
                      <w:marLeft w:val="360"/>
                      <w:marRight w:val="0"/>
                      <w:marTop w:val="0"/>
                      <w:marBottom w:val="0"/>
                      <w:divBdr>
                        <w:top w:val="none" w:sz="0" w:space="0" w:color="auto"/>
                        <w:left w:val="none" w:sz="0" w:space="0" w:color="auto"/>
                        <w:bottom w:val="none" w:sz="0" w:space="0" w:color="auto"/>
                        <w:right w:val="none" w:sz="0" w:space="0" w:color="auto"/>
                      </w:divBdr>
                    </w:div>
                    <w:div w:id="62027019">
                      <w:marLeft w:val="360"/>
                      <w:marRight w:val="0"/>
                      <w:marTop w:val="0"/>
                      <w:marBottom w:val="0"/>
                      <w:divBdr>
                        <w:top w:val="none" w:sz="0" w:space="0" w:color="auto"/>
                        <w:left w:val="none" w:sz="0" w:space="0" w:color="auto"/>
                        <w:bottom w:val="none" w:sz="0" w:space="0" w:color="auto"/>
                        <w:right w:val="none" w:sz="0" w:space="0" w:color="auto"/>
                      </w:divBdr>
                    </w:div>
                    <w:div w:id="1418097092">
                      <w:marLeft w:val="360"/>
                      <w:marRight w:val="0"/>
                      <w:marTop w:val="0"/>
                      <w:marBottom w:val="0"/>
                      <w:divBdr>
                        <w:top w:val="none" w:sz="0" w:space="0" w:color="auto"/>
                        <w:left w:val="none" w:sz="0" w:space="0" w:color="auto"/>
                        <w:bottom w:val="none" w:sz="0" w:space="0" w:color="auto"/>
                        <w:right w:val="none" w:sz="0" w:space="0" w:color="auto"/>
                      </w:divBdr>
                    </w:div>
                    <w:div w:id="517037409">
                      <w:marLeft w:val="360"/>
                      <w:marRight w:val="0"/>
                      <w:marTop w:val="0"/>
                      <w:marBottom w:val="0"/>
                      <w:divBdr>
                        <w:top w:val="none" w:sz="0" w:space="0" w:color="auto"/>
                        <w:left w:val="none" w:sz="0" w:space="0" w:color="auto"/>
                        <w:bottom w:val="none" w:sz="0" w:space="0" w:color="auto"/>
                        <w:right w:val="none" w:sz="0" w:space="0" w:color="auto"/>
                      </w:divBdr>
                    </w:div>
                    <w:div w:id="1715158539">
                      <w:marLeft w:val="0"/>
                      <w:marRight w:val="0"/>
                      <w:marTop w:val="0"/>
                      <w:marBottom w:val="0"/>
                      <w:divBdr>
                        <w:top w:val="none" w:sz="0" w:space="0" w:color="auto"/>
                        <w:left w:val="none" w:sz="0" w:space="0" w:color="auto"/>
                        <w:bottom w:val="none" w:sz="0" w:space="0" w:color="auto"/>
                        <w:right w:val="none" w:sz="0" w:space="0" w:color="auto"/>
                      </w:divBdr>
                    </w:div>
                    <w:div w:id="1411923139">
                      <w:marLeft w:val="0"/>
                      <w:marRight w:val="0"/>
                      <w:marTop w:val="0"/>
                      <w:marBottom w:val="0"/>
                      <w:divBdr>
                        <w:top w:val="none" w:sz="0" w:space="0" w:color="auto"/>
                        <w:left w:val="none" w:sz="0" w:space="0" w:color="auto"/>
                        <w:bottom w:val="none" w:sz="0" w:space="0" w:color="auto"/>
                        <w:right w:val="none" w:sz="0" w:space="0" w:color="auto"/>
                      </w:divBdr>
                    </w:div>
                    <w:div w:id="628170817">
                      <w:marLeft w:val="0"/>
                      <w:marRight w:val="0"/>
                      <w:marTop w:val="0"/>
                      <w:marBottom w:val="0"/>
                      <w:divBdr>
                        <w:top w:val="none" w:sz="0" w:space="0" w:color="auto"/>
                        <w:left w:val="none" w:sz="0" w:space="0" w:color="auto"/>
                        <w:bottom w:val="none" w:sz="0" w:space="0" w:color="auto"/>
                        <w:right w:val="none" w:sz="0" w:space="0" w:color="auto"/>
                      </w:divBdr>
                    </w:div>
                    <w:div w:id="1655640459">
                      <w:marLeft w:val="0"/>
                      <w:marRight w:val="0"/>
                      <w:marTop w:val="0"/>
                      <w:marBottom w:val="0"/>
                      <w:divBdr>
                        <w:top w:val="none" w:sz="0" w:space="0" w:color="auto"/>
                        <w:left w:val="none" w:sz="0" w:space="0" w:color="auto"/>
                        <w:bottom w:val="none" w:sz="0" w:space="0" w:color="auto"/>
                        <w:right w:val="none" w:sz="0" w:space="0" w:color="auto"/>
                      </w:divBdr>
                    </w:div>
                    <w:div w:id="538472891">
                      <w:marLeft w:val="0"/>
                      <w:marRight w:val="0"/>
                      <w:marTop w:val="0"/>
                      <w:marBottom w:val="0"/>
                      <w:divBdr>
                        <w:top w:val="none" w:sz="0" w:space="0" w:color="auto"/>
                        <w:left w:val="none" w:sz="0" w:space="0" w:color="auto"/>
                        <w:bottom w:val="none" w:sz="0" w:space="0" w:color="auto"/>
                        <w:right w:val="none" w:sz="0" w:space="0" w:color="auto"/>
                      </w:divBdr>
                    </w:div>
                    <w:div w:id="1213033346">
                      <w:marLeft w:val="0"/>
                      <w:marRight w:val="0"/>
                      <w:marTop w:val="0"/>
                      <w:marBottom w:val="0"/>
                      <w:divBdr>
                        <w:top w:val="none" w:sz="0" w:space="0" w:color="auto"/>
                        <w:left w:val="none" w:sz="0" w:space="0" w:color="auto"/>
                        <w:bottom w:val="none" w:sz="0" w:space="0" w:color="auto"/>
                        <w:right w:val="none" w:sz="0" w:space="0" w:color="auto"/>
                      </w:divBdr>
                    </w:div>
                    <w:div w:id="197161078">
                      <w:marLeft w:val="0"/>
                      <w:marRight w:val="0"/>
                      <w:marTop w:val="0"/>
                      <w:marBottom w:val="0"/>
                      <w:divBdr>
                        <w:top w:val="none" w:sz="0" w:space="0" w:color="auto"/>
                        <w:left w:val="none" w:sz="0" w:space="0" w:color="auto"/>
                        <w:bottom w:val="none" w:sz="0" w:space="0" w:color="auto"/>
                        <w:right w:val="none" w:sz="0" w:space="0" w:color="auto"/>
                      </w:divBdr>
                    </w:div>
                    <w:div w:id="11495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22</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Integrated Systems of Care</TermName>
          <TermId xmlns="http://schemas.microsoft.com/office/infopath/2007/PartnerControls">6fd1b75e-be80-4bfc-8514-f354fda71f41</TermId>
        </TermInfo>
      </Terms>
    </o68eaf9243684232b2418c37bbb152dc>
    <Abstract xmlns="69bc34b3-1921-46c7-8c7a-d18363374b4b">Developmental Disabled Definition as defined in the Darling v. Douglas Settlement Agreement.</Abstract>
    <PublishingContactName xmlns="http://schemas.microsoft.com/sharepoint/v3">Barbara Sapata-Hill LTCD</PublishingContactName>
    <TAGAge xmlns="69bc34b3-1921-46c7-8c7a-d18363374b4b" xsi:nil="true"/>
    <_dlc_DocId xmlns="69bc34b3-1921-46c7-8c7a-d18363374b4b">DHCSDOC-1832079576-1601</_dlc_DocId>
    <_dlc_DocIdUrl xmlns="69bc34b3-1921-46c7-8c7a-d18363374b4b">
      <Url>http://dhcs2016prod:88/services/_layouts/15/DocIdRedir.aspx?ID=DHCSDOC-1832079576-1601</Url>
      <Description>DHCSDOC-1832079576-1601</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HCS Document" ma:contentTypeID="0x010100EEE380F46F125946A8B4C4C90D9FFCDC00EF7B5F1A49D6C44F9EF3E441EAB6FA91" ma:contentTypeVersion="22" ma:contentTypeDescription="This is the Custom Document Type for use by DHCS" ma:contentTypeScope="" ma:versionID="e70d46d328756a8e1bb047c02c366b19">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HCS Document" ma:contentTypeID="0x010100EEE380F46F125946A8B4C4C90D9FFCDC00EF7B5F1A49D6C44F9EF3E441EAB6FA91" ma:contentTypeVersion="36" ma:contentTypeDescription="This is the Custom Document Type for use by DHCS" ma:contentTypeScope="" ma:versionID="dd9e60763d672dfd6005b7d42a358f16">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09FF54-B0ED-4DF4-B1A6-3FE9344C442B}"/>
</file>

<file path=customXml/itemProps2.xml><?xml version="1.0" encoding="utf-8"?>
<ds:datastoreItem xmlns:ds="http://schemas.openxmlformats.org/officeDocument/2006/customXml" ds:itemID="{E8F2730D-CFF0-448A-B0FE-198811D1D0F3}"/>
</file>

<file path=customXml/itemProps3.xml><?xml version="1.0" encoding="utf-8"?>
<ds:datastoreItem xmlns:ds="http://schemas.openxmlformats.org/officeDocument/2006/customXml" ds:itemID="{B6575280-C8F2-4461-B35A-CF482FAA8485}"/>
</file>

<file path=customXml/itemProps4.xml><?xml version="1.0" encoding="utf-8"?>
<ds:datastoreItem xmlns:ds="http://schemas.openxmlformats.org/officeDocument/2006/customXml" ds:itemID="{D1E965B6-A1CB-45DC-803C-574EF9B69893}"/>
</file>

<file path=customXml/itemProps5.xml><?xml version="1.0" encoding="utf-8"?>
<ds:datastoreItem xmlns:ds="http://schemas.openxmlformats.org/officeDocument/2006/customXml" ds:itemID="{07374801-7FF8-4A9B-B1FB-B9E71125A4EC}"/>
</file>

<file path=customXml/itemProps6.xml><?xml version="1.0" encoding="utf-8"?>
<ds:datastoreItem xmlns:ds="http://schemas.openxmlformats.org/officeDocument/2006/customXml" ds:itemID="{2E9C0718-8AFB-4AE8-B663-8175B622EE9C}"/>
</file>

<file path=docProps/app.xml><?xml version="1.0" encoding="utf-8"?>
<Properties xmlns="http://schemas.openxmlformats.org/officeDocument/2006/extended-properties" xmlns:vt="http://schemas.openxmlformats.org/officeDocument/2006/docPropsVTypes">
  <Template>Normal.dotm</Template>
  <TotalTime>15</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Disabled Definition</dc:title>
  <dc:creator>Windows User</dc:creator>
  <cp:keywords>Developmental Disabled Definition,DD Definition,CBAS DD Definition,Community-Based Adult Services DD Definition,</cp:keywords>
  <cp:lastModifiedBy>Windows User</cp:lastModifiedBy>
  <cp:revision>2</cp:revision>
  <dcterms:created xsi:type="dcterms:W3CDTF">2013-06-04T19:57:00Z</dcterms:created>
  <dcterms:modified xsi:type="dcterms:W3CDTF">2013-06-04T21:00:00Z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0x010100EEE380F46F125946A8B4C4C90D9FFCDC00EF7B5F1A49D6C44F9EF3E441EAB6FA91</vt:lpwstr>
  </property>
  <property fmtid="{D5CDD505-2E9C-101B-9397-08002B2CF9AE}" pid="3" name="_dlc_DocIdItemGuid">
    <vt:lpwstr>b8a54d44-f1b0-401d-992f-8263a7c84de2</vt:lpwstr>
  </property>
  <property fmtid="{D5CDD505-2E9C-101B-9397-08002B2CF9AE}" pid="4" name="Remediated">
    <vt:bool>false</vt:bool>
  </property>
  <property fmtid="{D5CDD505-2E9C-101B-9397-08002B2CF9AE}" pid="5" name="Organization">
    <vt:lpwstr>7</vt:lpwstr>
  </property>
  <property fmtid="{D5CDD505-2E9C-101B-9397-08002B2CF9AE}" pid="6" name="Division">
    <vt:lpwstr>22;#Integrated Systems of Care|6fd1b75e-be80-4bfc-8514-f354fda71f41</vt:lpwstr>
  </property>
</Properties>
</file>