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AED0C" w14:textId="77777777" w:rsidR="00E00B3B" w:rsidRPr="00BF143D" w:rsidRDefault="000D4E4E" w:rsidP="00AC72A9">
      <w:pPr>
        <w:pStyle w:val="ColorfulList-Accent1"/>
        <w:spacing w:after="0" w:line="240" w:lineRule="auto"/>
        <w:jc w:val="center"/>
        <w:rPr>
          <w:b/>
        </w:rPr>
      </w:pPr>
      <w:r w:rsidRPr="00BF143D">
        <w:rPr>
          <w:b/>
        </w:rPr>
        <w:t>Template Language for Memorandum of Understanding between Duals Demonstration Health Plans and County Behavioral Health Department(s)</w:t>
      </w:r>
    </w:p>
    <w:p w14:paraId="70A4D60D" w14:textId="77777777" w:rsidR="000D4E4E" w:rsidRPr="00BF143D" w:rsidRDefault="000D4E4E" w:rsidP="00E00B3B">
      <w:pPr>
        <w:widowControl w:val="0"/>
        <w:autoSpaceDE w:val="0"/>
        <w:autoSpaceDN w:val="0"/>
        <w:adjustRightInd w:val="0"/>
        <w:spacing w:before="120"/>
        <w:rPr>
          <w:i/>
        </w:rPr>
      </w:pPr>
    </w:p>
    <w:p w14:paraId="7EB4A8D4" w14:textId="77777777" w:rsidR="00E00B3B" w:rsidRPr="00BF143D" w:rsidRDefault="00AE6683" w:rsidP="00E00B3B">
      <w:pPr>
        <w:widowControl w:val="0"/>
        <w:autoSpaceDE w:val="0"/>
        <w:autoSpaceDN w:val="0"/>
        <w:adjustRightInd w:val="0"/>
        <w:spacing w:before="120"/>
      </w:pPr>
      <w:r w:rsidRPr="00BF143D">
        <w:t>Note</w:t>
      </w:r>
      <w:r w:rsidR="00907248" w:rsidRPr="00BF143D">
        <w:t>:</w:t>
      </w:r>
      <w:r w:rsidRPr="00BF143D">
        <w:t xml:space="preserve"> </w:t>
      </w:r>
      <w:r w:rsidR="00E00B3B" w:rsidRPr="00BF143D">
        <w:t xml:space="preserve">In the </w:t>
      </w:r>
      <w:proofErr w:type="gramStart"/>
      <w:r w:rsidR="00E00B3B" w:rsidRPr="00BF143D">
        <w:t>duals</w:t>
      </w:r>
      <w:proofErr w:type="gramEnd"/>
      <w:r w:rsidR="00E00B3B" w:rsidRPr="00BF143D">
        <w:t xml:space="preserve"> demonstration, participating health p</w:t>
      </w:r>
      <w:r w:rsidR="00DB6C1E" w:rsidRPr="00BF143D">
        <w:t xml:space="preserve">lans will be responsible for providing enrollees access to all medically necessary behavioral health </w:t>
      </w:r>
      <w:r w:rsidR="000D4E4E" w:rsidRPr="00BF143D">
        <w:t xml:space="preserve">services </w:t>
      </w:r>
      <w:r w:rsidR="00DB6C1E" w:rsidRPr="00BF143D">
        <w:t xml:space="preserve">(mental health and substance </w:t>
      </w:r>
      <w:r w:rsidR="000D4E4E" w:rsidRPr="00BF143D">
        <w:t>use disorder</w:t>
      </w:r>
      <w:r w:rsidR="00DB6C1E" w:rsidRPr="00BF143D">
        <w:t xml:space="preserve"> treatment) currently covered by Medicare and Medicaid. </w:t>
      </w:r>
      <w:r w:rsidR="00E00B3B" w:rsidRPr="00BF143D">
        <w:t>The state requires that participating health plans execute Memoranda of Understanding (MOUs) with their local county Mental Health Plan</w:t>
      </w:r>
      <w:r w:rsidR="000D70CE" w:rsidRPr="00BF143D">
        <w:t xml:space="preserve"> (MHP)</w:t>
      </w:r>
      <w:r w:rsidR="00E00B3B" w:rsidRPr="00BF143D">
        <w:t xml:space="preserve"> </w:t>
      </w:r>
      <w:r w:rsidR="000D70CE" w:rsidRPr="00BF143D">
        <w:t>and</w:t>
      </w:r>
      <w:r w:rsidR="00E00B3B" w:rsidRPr="00BF143D">
        <w:t xml:space="preserve"> </w:t>
      </w:r>
      <w:r w:rsidR="000D70CE" w:rsidRPr="00BF143D">
        <w:t xml:space="preserve">the county department responsible for alcohol and drug services </w:t>
      </w:r>
      <w:r w:rsidR="00E00B3B" w:rsidRPr="00BF143D">
        <w:t xml:space="preserve">(if the entities are separate) </w:t>
      </w:r>
      <w:r w:rsidR="000D4E4E" w:rsidRPr="00BF143D">
        <w:t>that</w:t>
      </w:r>
      <w:r w:rsidR="00E00B3B" w:rsidRPr="00BF143D">
        <w:t xml:space="preserve"> include the following concepts specific to the demonstration:</w:t>
      </w:r>
    </w:p>
    <w:p w14:paraId="73BDD3CF" w14:textId="77777777" w:rsidR="00E00B3B" w:rsidRPr="00BF143D" w:rsidRDefault="00E00B3B" w:rsidP="000D70CE">
      <w:pPr>
        <w:pStyle w:val="ColorfulList-Accent1"/>
        <w:spacing w:after="0" w:line="240" w:lineRule="auto"/>
        <w:ind w:left="990" w:hanging="270"/>
      </w:pPr>
      <w:r w:rsidRPr="00BF143D">
        <w:t xml:space="preserve">1) Delineation of roles and responsibilities; </w:t>
      </w:r>
    </w:p>
    <w:p w14:paraId="5473A3B5" w14:textId="77777777" w:rsidR="00E00B3B" w:rsidRPr="00BF143D" w:rsidRDefault="00E00B3B" w:rsidP="000D70CE">
      <w:pPr>
        <w:pStyle w:val="ColorfulList-Accent1"/>
        <w:spacing w:after="0" w:line="240" w:lineRule="auto"/>
        <w:ind w:left="990" w:hanging="270"/>
      </w:pPr>
      <w:r w:rsidRPr="00BF143D">
        <w:t xml:space="preserve">2) Policies and procedures for sharing information; </w:t>
      </w:r>
    </w:p>
    <w:p w14:paraId="735C4C2A" w14:textId="77777777" w:rsidR="00E00B3B" w:rsidRPr="00BF143D" w:rsidRDefault="00E00B3B" w:rsidP="000D70CE">
      <w:pPr>
        <w:pStyle w:val="ColorfulList-Accent1"/>
        <w:spacing w:after="0" w:line="240" w:lineRule="auto"/>
        <w:ind w:left="990" w:hanging="270"/>
      </w:pPr>
      <w:r w:rsidRPr="00BF143D">
        <w:t>3) Policies and procedures for care coordination; and</w:t>
      </w:r>
    </w:p>
    <w:p w14:paraId="36E2D94D" w14:textId="77777777" w:rsidR="00E00B3B" w:rsidRPr="00BF143D" w:rsidRDefault="00E00B3B" w:rsidP="000D70CE">
      <w:pPr>
        <w:pStyle w:val="ColorfulList-Accent1"/>
        <w:spacing w:after="0" w:line="240" w:lineRule="auto"/>
        <w:ind w:left="990" w:hanging="270"/>
      </w:pPr>
      <w:r w:rsidRPr="00BF143D">
        <w:t xml:space="preserve">4) </w:t>
      </w:r>
      <w:r w:rsidR="00ED1CEC" w:rsidRPr="00BF143D">
        <w:t>Agreement on</w:t>
      </w:r>
      <w:r w:rsidR="00AD7B40" w:rsidRPr="00BF143D">
        <w:t xml:space="preserve"> the specifically described </w:t>
      </w:r>
      <w:r w:rsidR="00ED1CEC" w:rsidRPr="00BF143D">
        <w:t>s</w:t>
      </w:r>
      <w:r w:rsidRPr="00BF143D">
        <w:t>hared accountability performance measures and</w:t>
      </w:r>
      <w:r w:rsidR="00AD7B40" w:rsidRPr="00BF143D">
        <w:t xml:space="preserve"> financial</w:t>
      </w:r>
      <w:r w:rsidRPr="00BF143D">
        <w:t xml:space="preserve"> incentives</w:t>
      </w:r>
      <w:r w:rsidR="00ED1CEC" w:rsidRPr="00BF143D">
        <w:t xml:space="preserve"> tied to</w:t>
      </w:r>
      <w:r w:rsidR="00AD7B40" w:rsidRPr="00BF143D">
        <w:t xml:space="preserve"> achieving</w:t>
      </w:r>
      <w:r w:rsidR="00ED1CEC" w:rsidRPr="00BF143D">
        <w:t xml:space="preserve"> the quality withhold</w:t>
      </w:r>
      <w:r w:rsidR="00C504D1" w:rsidRPr="00BF143D">
        <w:t xml:space="preserve"> (these measures will be finalized</w:t>
      </w:r>
      <w:r w:rsidR="00AD7B40" w:rsidRPr="00BF143D">
        <w:t xml:space="preserve"> and included</w:t>
      </w:r>
      <w:r w:rsidR="00C504D1" w:rsidRPr="00BF143D">
        <w:t xml:space="preserve"> in the three-way contracts between DCHS, CMS, and the </w:t>
      </w:r>
      <w:r w:rsidR="00192FFC" w:rsidRPr="00BF143D">
        <w:t>health</w:t>
      </w:r>
      <w:r w:rsidR="00C504D1" w:rsidRPr="00BF143D">
        <w:t xml:space="preserve"> plans.)</w:t>
      </w:r>
    </w:p>
    <w:p w14:paraId="37B72422" w14:textId="77777777" w:rsidR="00ED1CEC" w:rsidRPr="00BF143D" w:rsidRDefault="00907248" w:rsidP="00E00B3B">
      <w:pPr>
        <w:widowControl w:val="0"/>
        <w:autoSpaceDE w:val="0"/>
        <w:autoSpaceDN w:val="0"/>
        <w:adjustRightInd w:val="0"/>
        <w:spacing w:before="120"/>
      </w:pPr>
      <w:r w:rsidRPr="00BF143D">
        <w:t>This document contains</w:t>
      </w:r>
      <w:r w:rsidR="00AE6683" w:rsidRPr="00BF143D">
        <w:t xml:space="preserve"> optional language </w:t>
      </w:r>
      <w:r w:rsidR="000D4E4E" w:rsidRPr="00BF143D">
        <w:t>that duals d</w:t>
      </w:r>
      <w:r w:rsidRPr="00BF143D">
        <w:t>emonstration health plans and</w:t>
      </w:r>
      <w:r w:rsidR="00AE6683" w:rsidRPr="00BF143D">
        <w:t xml:space="preserve"> county</w:t>
      </w:r>
      <w:r w:rsidR="000D70CE" w:rsidRPr="00BF143D">
        <w:t xml:space="preserve"> MHP</w:t>
      </w:r>
      <w:r w:rsidR="000D4E4E" w:rsidRPr="00BF143D">
        <w:t>s</w:t>
      </w:r>
      <w:r w:rsidRPr="00BF143D">
        <w:t xml:space="preserve"> and </w:t>
      </w:r>
      <w:r w:rsidR="00AD7B40" w:rsidRPr="00BF143D">
        <w:t xml:space="preserve">county department responsible for alcohol and drug services </w:t>
      </w:r>
      <w:r w:rsidRPr="00BF143D">
        <w:t xml:space="preserve">may use to update their existing </w:t>
      </w:r>
      <w:r w:rsidR="00ED1CEC" w:rsidRPr="00BF143D">
        <w:t>MOUs (or create one in the case one does not exist)</w:t>
      </w:r>
      <w:r w:rsidR="000D70CE" w:rsidRPr="00BF143D">
        <w:t>.</w:t>
      </w:r>
      <w:r w:rsidR="00ED1CEC" w:rsidRPr="00BF143D">
        <w:t xml:space="preserve"> </w:t>
      </w:r>
      <w:r w:rsidRPr="00BF143D">
        <w:t xml:space="preserve">This addendum pertains to beneficiaries participating in the Demonstration who also receive Medi-Cal specialty mental health and/or Drug Medi-Cal services. </w:t>
      </w:r>
    </w:p>
    <w:p w14:paraId="07F1F8EF" w14:textId="77777777" w:rsidR="00AD7B40" w:rsidRPr="00BF143D" w:rsidRDefault="00AD7B40" w:rsidP="00AD7B40">
      <w:pPr>
        <w:widowControl w:val="0"/>
        <w:autoSpaceDE w:val="0"/>
        <w:autoSpaceDN w:val="0"/>
        <w:adjustRightInd w:val="0"/>
        <w:spacing w:before="120"/>
      </w:pPr>
      <w:r w:rsidRPr="00BF143D">
        <w:t>During the health plan readiness assessments conducted prior to implementation, basic policies and procedures will be required for plan participation. Per one</w:t>
      </w:r>
      <w:r w:rsidR="000D70CE" w:rsidRPr="00BF143D">
        <w:t xml:space="preserve"> proposed</w:t>
      </w:r>
      <w:r w:rsidRPr="00BF143D">
        <w:t xml:space="preserve"> quality withhold measure, these policies and procedures will need to be revised and expanded by</w:t>
      </w:r>
      <w:r w:rsidR="000D70CE" w:rsidRPr="00BF143D">
        <w:t xml:space="preserve"> 12/31/13 to reflect additional details related to</w:t>
      </w:r>
      <w:r w:rsidRPr="00BF143D">
        <w:t xml:space="preserve"> behavi</w:t>
      </w:r>
      <w:r w:rsidR="000D70CE" w:rsidRPr="00BF143D">
        <w:t xml:space="preserve">oral health care coordination, </w:t>
      </w:r>
      <w:r w:rsidRPr="00BF143D">
        <w:t>including assessment, referrals, information exchange, care coordinatio</w:t>
      </w:r>
      <w:r w:rsidR="000D70CE" w:rsidRPr="00BF143D">
        <w:t>n and authorization of services</w:t>
      </w:r>
      <w:r w:rsidRPr="00BF143D">
        <w:t>.</w:t>
      </w:r>
    </w:p>
    <w:p w14:paraId="68E78E5C" w14:textId="77777777" w:rsidR="00DE0583" w:rsidRPr="00BF143D" w:rsidRDefault="00DE0583" w:rsidP="00DE0583">
      <w:pPr>
        <w:pStyle w:val="ColorfulList-Accent1"/>
        <w:spacing w:after="0" w:line="240" w:lineRule="auto"/>
      </w:pPr>
    </w:p>
    <w:p w14:paraId="164D5FB4" w14:textId="77777777" w:rsidR="007E6706" w:rsidRPr="00BF143D" w:rsidRDefault="00907248" w:rsidP="007E6706">
      <w:pPr>
        <w:pStyle w:val="ColorfulList-Accent1"/>
        <w:numPr>
          <w:ilvl w:val="0"/>
          <w:numId w:val="1"/>
        </w:numPr>
        <w:ind w:left="360"/>
        <w:rPr>
          <w:b/>
          <w:bCs/>
        </w:rPr>
      </w:pPr>
      <w:r w:rsidRPr="00BF143D">
        <w:rPr>
          <w:b/>
          <w:bCs/>
        </w:rPr>
        <w:t>PARTIES</w:t>
      </w:r>
    </w:p>
    <w:p w14:paraId="315D2EAB" w14:textId="77777777" w:rsidR="006C651A" w:rsidRPr="00BF143D" w:rsidRDefault="006250E4" w:rsidP="007E6706">
      <w:pPr>
        <w:widowControl w:val="0"/>
      </w:pPr>
      <w:r w:rsidRPr="00BF143D">
        <w:t>This</w:t>
      </w:r>
      <w:r w:rsidR="00C81BCD" w:rsidRPr="00BF143D">
        <w:t xml:space="preserve"> (or </w:t>
      </w:r>
      <w:r w:rsidR="00E305E6" w:rsidRPr="00BF143D">
        <w:t>addendum</w:t>
      </w:r>
      <w:r w:rsidR="00C81BCD" w:rsidRPr="00BF143D">
        <w:t xml:space="preserve"> to existing MOU)</w:t>
      </w:r>
      <w:r w:rsidR="007E6706" w:rsidRPr="00BF143D">
        <w:t xml:space="preserve"> is entered into by and between the [INSERT </w:t>
      </w:r>
      <w:r w:rsidRPr="00BF143D">
        <w:t>DEMOSNTRATION HEALTH</w:t>
      </w:r>
      <w:r w:rsidR="007E6706" w:rsidRPr="00BF143D">
        <w:t xml:space="preserve"> PLAN NAME] hereinafter referred to as “PLAN”, </w:t>
      </w:r>
      <w:r w:rsidRPr="00BF143D">
        <w:t>and the [INSERT COUNTY NAME] department responsible for the provision of Medi-Cal specialty mental health and/or Drug Medi-Cal services (if separate) hereinafter referred to as “COUNTY.”</w:t>
      </w:r>
    </w:p>
    <w:p w14:paraId="5ED42B63" w14:textId="77777777" w:rsidR="0011101D" w:rsidRPr="00BF143D" w:rsidRDefault="0011101D" w:rsidP="00D64638">
      <w:pPr>
        <w:pStyle w:val="NormalWeb"/>
        <w:numPr>
          <w:ilvl w:val="0"/>
          <w:numId w:val="1"/>
        </w:numPr>
        <w:spacing w:after="240"/>
        <w:ind w:left="360"/>
        <w:rPr>
          <w:rFonts w:ascii="Arial" w:eastAsia="Calibri" w:hAnsi="Arial" w:cs="Arial"/>
          <w:b/>
          <w:iCs/>
        </w:rPr>
      </w:pPr>
      <w:r w:rsidRPr="00BF143D">
        <w:rPr>
          <w:rFonts w:ascii="Arial" w:eastAsia="Calibri" w:hAnsi="Arial" w:cs="Arial"/>
          <w:b/>
          <w:iCs/>
        </w:rPr>
        <w:t>TERMS</w:t>
      </w:r>
    </w:p>
    <w:p w14:paraId="0C9169EE" w14:textId="77777777" w:rsidR="006C651A" w:rsidRPr="00BF143D" w:rsidRDefault="006C651A" w:rsidP="00AC72A9">
      <w:pPr>
        <w:pStyle w:val="NormalWeb"/>
        <w:jc w:val="left"/>
        <w:rPr>
          <w:rFonts w:ascii="Arial" w:eastAsia="Calibri" w:hAnsi="Arial" w:cs="Arial"/>
        </w:rPr>
      </w:pPr>
      <w:r w:rsidRPr="00BF143D">
        <w:rPr>
          <w:rFonts w:ascii="Arial" w:eastAsia="Calibri" w:hAnsi="Arial" w:cs="Arial"/>
          <w:iCs/>
        </w:rPr>
        <w:t xml:space="preserve">This memorandum shall commence on June 1, 2013 and shall continue </w:t>
      </w:r>
      <w:r w:rsidR="00AC63F3" w:rsidRPr="00BF143D">
        <w:rPr>
          <w:rFonts w:ascii="Arial" w:eastAsia="Calibri" w:hAnsi="Arial" w:cs="Arial"/>
          <w:iCs/>
        </w:rPr>
        <w:t xml:space="preserve">through </w:t>
      </w:r>
      <w:r w:rsidRPr="00BF143D">
        <w:rPr>
          <w:rFonts w:ascii="Arial" w:eastAsia="Calibri" w:hAnsi="Arial" w:cs="Arial"/>
          <w:iCs/>
        </w:rPr>
        <w:t>December 2016.</w:t>
      </w:r>
    </w:p>
    <w:p w14:paraId="419997B1" w14:textId="77777777" w:rsidR="006C651A" w:rsidRPr="00BF143D" w:rsidRDefault="006C651A" w:rsidP="00017226">
      <w:pPr>
        <w:pStyle w:val="ColorfulList-Accent1"/>
        <w:numPr>
          <w:ilvl w:val="0"/>
          <w:numId w:val="1"/>
        </w:numPr>
        <w:ind w:left="360"/>
      </w:pPr>
      <w:r w:rsidRPr="00BF143D">
        <w:rPr>
          <w:b/>
          <w:bCs/>
        </w:rPr>
        <w:lastRenderedPageBreak/>
        <w:t>TASKS, RESPONSIBILITIES AND/OR OBLIGATIONS</w:t>
      </w:r>
    </w:p>
    <w:p w14:paraId="3C5D3F09" w14:textId="77777777" w:rsidR="002476BA" w:rsidRPr="00BF143D" w:rsidRDefault="002476BA" w:rsidP="002476BA">
      <w:pPr>
        <w:rPr>
          <w:b/>
          <w:bCs/>
        </w:rPr>
      </w:pPr>
      <w:r w:rsidRPr="00BF143D">
        <w:rPr>
          <w:b/>
          <w:bCs/>
        </w:rPr>
        <w:t xml:space="preserve">A. </w:t>
      </w:r>
      <w:r w:rsidR="006C651A" w:rsidRPr="00BF143D">
        <w:rPr>
          <w:b/>
          <w:bCs/>
        </w:rPr>
        <w:t>Roles and Responsibilities</w:t>
      </w:r>
    </w:p>
    <w:p w14:paraId="60481F06" w14:textId="77777777" w:rsidR="006C651A" w:rsidRPr="00BF143D" w:rsidRDefault="00F467FF" w:rsidP="002476BA">
      <w:pPr>
        <w:pStyle w:val="ColorfulList-Accent1"/>
        <w:numPr>
          <w:ilvl w:val="2"/>
          <w:numId w:val="1"/>
        </w:numPr>
        <w:ind w:left="1080"/>
      </w:pPr>
      <w:r w:rsidRPr="00BF143D">
        <w:t>Covered Service</w:t>
      </w:r>
      <w:r w:rsidR="00E305E6" w:rsidRPr="00BF143D">
        <w:t xml:space="preserve">s </w:t>
      </w:r>
      <w:r w:rsidR="00C84036" w:rsidRPr="00BF143D">
        <w:t xml:space="preserve">are listed in </w:t>
      </w:r>
      <w:r w:rsidR="00017226" w:rsidRPr="00BF143D">
        <w:t>the “</w:t>
      </w:r>
      <w:r w:rsidR="0046149D" w:rsidRPr="00BF143D">
        <w:t>Behavioral</w:t>
      </w:r>
      <w:r w:rsidR="00017226" w:rsidRPr="00BF143D">
        <w:t xml:space="preserve"> Health Benefits in the Duals Demonstra</w:t>
      </w:r>
      <w:r w:rsidR="0046149D" w:rsidRPr="00BF143D">
        <w:t>tion” matrix developed by DHCS</w:t>
      </w:r>
      <w:r w:rsidR="00085121" w:rsidRPr="00BF143D">
        <w:t>. PARTIES may include this matrix as an</w:t>
      </w:r>
      <w:r w:rsidR="0046149D" w:rsidRPr="00BF143D">
        <w:t xml:space="preserve"> attachment to </w:t>
      </w:r>
      <w:r w:rsidRPr="00BF143D">
        <w:t>this</w:t>
      </w:r>
      <w:r w:rsidR="0046149D" w:rsidRPr="00BF143D">
        <w:t xml:space="preserve"> MOU</w:t>
      </w:r>
      <w:r w:rsidR="00C84036" w:rsidRPr="00BF143D">
        <w:t xml:space="preserve"> addendum</w:t>
      </w:r>
      <w:r w:rsidR="0046149D" w:rsidRPr="00BF143D">
        <w:t>.</w:t>
      </w:r>
      <w:r w:rsidR="00085121" w:rsidRPr="00BF143D">
        <w:t xml:space="preserve"> </w:t>
      </w:r>
    </w:p>
    <w:p w14:paraId="49DB1274" w14:textId="77777777" w:rsidR="00017226" w:rsidRPr="00BF143D" w:rsidRDefault="006C651A" w:rsidP="002476BA">
      <w:pPr>
        <w:pStyle w:val="ColorfulList-Accent1"/>
        <w:numPr>
          <w:ilvl w:val="2"/>
          <w:numId w:val="1"/>
        </w:numPr>
        <w:ind w:left="1080"/>
      </w:pPr>
      <w:r w:rsidRPr="00BF143D">
        <w:t>Determination of Medical Necessity</w:t>
      </w:r>
    </w:p>
    <w:p w14:paraId="745FCDD8" w14:textId="77777777" w:rsidR="00017226" w:rsidRPr="00BF143D" w:rsidRDefault="00017226" w:rsidP="002476BA">
      <w:pPr>
        <w:pStyle w:val="ColorfulList-Accent1"/>
        <w:widowControl w:val="0"/>
        <w:numPr>
          <w:ilvl w:val="1"/>
          <w:numId w:val="13"/>
        </w:numPr>
        <w:autoSpaceDE w:val="0"/>
        <w:autoSpaceDN w:val="0"/>
        <w:adjustRightInd w:val="0"/>
        <w:spacing w:before="120"/>
      </w:pPr>
      <w:r w:rsidRPr="00BF143D">
        <w:t xml:space="preserve">The </w:t>
      </w:r>
      <w:r w:rsidR="006250E4" w:rsidRPr="00BF143D">
        <w:t xml:space="preserve">PLAN and COUNTY </w:t>
      </w:r>
      <w:r w:rsidRPr="00BF143D">
        <w:t>will follow the medical necessity criteria for specialty mental health 1915</w:t>
      </w:r>
      <w:r w:rsidR="00C84036" w:rsidRPr="00BF143D">
        <w:t>(</w:t>
      </w:r>
      <w:r w:rsidRPr="00BF143D">
        <w:t>b</w:t>
      </w:r>
      <w:r w:rsidR="00C84036" w:rsidRPr="00BF143D">
        <w:t>)</w:t>
      </w:r>
      <w:r w:rsidRPr="00BF143D">
        <w:t xml:space="preserve"> waiver services described in Title 9, California Code of Regulations (CCR), Sections 18</w:t>
      </w:r>
      <w:r w:rsidR="007E6706" w:rsidRPr="00BF143D">
        <w:t>20.205, 1830.205, and 1830.210.</w:t>
      </w:r>
    </w:p>
    <w:p w14:paraId="1A68D247" w14:textId="77777777" w:rsidR="006C651A" w:rsidRPr="00BF143D" w:rsidRDefault="00017226" w:rsidP="002476BA">
      <w:pPr>
        <w:pStyle w:val="ColorfulList-Accent1"/>
        <w:widowControl w:val="0"/>
        <w:numPr>
          <w:ilvl w:val="1"/>
          <w:numId w:val="13"/>
        </w:numPr>
        <w:autoSpaceDE w:val="0"/>
        <w:autoSpaceDN w:val="0"/>
        <w:adjustRightInd w:val="0"/>
        <w:spacing w:before="120"/>
      </w:pPr>
      <w:r w:rsidRPr="00BF143D">
        <w:t xml:space="preserve">To determine medical necessity for Drug Medi-Cal Substance Abuse Services, the </w:t>
      </w:r>
      <w:r w:rsidR="00C00EC1" w:rsidRPr="00BF143D">
        <w:t>PARTIES</w:t>
      </w:r>
      <w:r w:rsidRPr="00BF143D">
        <w:t xml:space="preserve"> will follow Title 22, California Code of Regulations Section 51303 and 54301. Services shall be prescribed by a physician, and are subject to utilization controls, as set forth in Title 22 Section 51159. </w:t>
      </w:r>
    </w:p>
    <w:p w14:paraId="4257BC8B" w14:textId="77777777" w:rsidR="00C81BCD" w:rsidRPr="00BF143D" w:rsidRDefault="00C81BCD" w:rsidP="002476BA">
      <w:pPr>
        <w:pStyle w:val="ColorfulList-Accent1"/>
        <w:numPr>
          <w:ilvl w:val="2"/>
          <w:numId w:val="1"/>
        </w:numPr>
        <w:ind w:left="1080"/>
      </w:pPr>
      <w:r w:rsidRPr="00BF143D">
        <w:t>Assessment Process</w:t>
      </w:r>
    </w:p>
    <w:p w14:paraId="3AE8F6AA" w14:textId="77777777" w:rsidR="00C81BCD" w:rsidRPr="00BF143D" w:rsidRDefault="00C81BCD" w:rsidP="002476BA">
      <w:pPr>
        <w:pStyle w:val="ColorfulList-Accent1"/>
        <w:ind w:left="1440"/>
      </w:pPr>
      <w:r w:rsidRPr="00BF143D">
        <w:t xml:space="preserve">The </w:t>
      </w:r>
      <w:r w:rsidR="006250E4" w:rsidRPr="00BF143D">
        <w:t>PLAN and COUNTY</w:t>
      </w:r>
      <w:r w:rsidRPr="00BF143D">
        <w:t xml:space="preserve"> shall develop </w:t>
      </w:r>
      <w:r w:rsidR="00D64638" w:rsidRPr="00BF143D">
        <w:t xml:space="preserve">and agree to </w:t>
      </w:r>
      <w:r w:rsidRPr="00BF143D">
        <w:t xml:space="preserve">written policies and procedures regarding agreed-upon screening and assessment processes. </w:t>
      </w:r>
    </w:p>
    <w:p w14:paraId="164BAD41" w14:textId="77777777" w:rsidR="00D64638" w:rsidRPr="00BF143D" w:rsidRDefault="00C81BCD" w:rsidP="002476BA">
      <w:pPr>
        <w:pStyle w:val="ColorfulList-Accent1"/>
        <w:numPr>
          <w:ilvl w:val="2"/>
          <w:numId w:val="1"/>
        </w:numPr>
        <w:ind w:left="1080"/>
      </w:pPr>
      <w:r w:rsidRPr="00BF143D">
        <w:t>Referrals</w:t>
      </w:r>
      <w:r w:rsidR="00D64638" w:rsidRPr="00BF143D">
        <w:tab/>
      </w:r>
    </w:p>
    <w:p w14:paraId="704253C1" w14:textId="77777777" w:rsidR="00D64638" w:rsidRPr="00BF143D" w:rsidRDefault="00085121" w:rsidP="00D64638">
      <w:pPr>
        <w:pStyle w:val="ColorfulList-Accent1"/>
        <w:numPr>
          <w:ilvl w:val="4"/>
          <w:numId w:val="1"/>
        </w:numPr>
        <w:ind w:left="1890"/>
      </w:pPr>
      <w:r w:rsidRPr="00BF143D">
        <w:t xml:space="preserve">The </w:t>
      </w:r>
      <w:r w:rsidR="006250E4" w:rsidRPr="00BF143D">
        <w:t xml:space="preserve">PLAN and COUNTY </w:t>
      </w:r>
      <w:r w:rsidRPr="00BF143D">
        <w:t>shall develop</w:t>
      </w:r>
      <w:r w:rsidR="00D64638" w:rsidRPr="00BF143D">
        <w:t xml:space="preserve"> and agree to</w:t>
      </w:r>
      <w:r w:rsidRPr="00BF143D">
        <w:t xml:space="preserve"> w</w:t>
      </w:r>
      <w:r w:rsidR="00C81BCD" w:rsidRPr="00BF143D">
        <w:t xml:space="preserve">ritten policies and procedures regarding referral processes, including the following: </w:t>
      </w:r>
      <w:r w:rsidR="00D64638" w:rsidRPr="00BF143D">
        <w:tab/>
      </w:r>
    </w:p>
    <w:p w14:paraId="3B93F558" w14:textId="77777777" w:rsidR="00D64638" w:rsidRPr="00BF143D" w:rsidRDefault="00C81BCD" w:rsidP="00D64638">
      <w:pPr>
        <w:pStyle w:val="ColorfulList-Accent1"/>
        <w:numPr>
          <w:ilvl w:val="5"/>
          <w:numId w:val="1"/>
        </w:numPr>
        <w:ind w:left="2340"/>
      </w:pPr>
      <w:r w:rsidRPr="00BF143D">
        <w:t xml:space="preserve">COUNTY accepts referrals from PLAN staff, providers and members’ self-referral for determination of medical necessity. </w:t>
      </w:r>
    </w:p>
    <w:p w14:paraId="36380FE7" w14:textId="77777777" w:rsidR="00C81BCD" w:rsidRPr="00BF143D" w:rsidRDefault="00C81BCD" w:rsidP="00D64638">
      <w:pPr>
        <w:pStyle w:val="ColorfulList-Accent1"/>
        <w:numPr>
          <w:ilvl w:val="5"/>
          <w:numId w:val="1"/>
        </w:numPr>
        <w:ind w:left="2340"/>
      </w:pPr>
      <w:r w:rsidRPr="00BF143D">
        <w:t>PLAN accepts referrals from the COUNTY when the service needed is one provided by the PLAN and not the COUNTY</w:t>
      </w:r>
      <w:r w:rsidR="009D0A84" w:rsidRPr="00BF143D">
        <w:t xml:space="preserve"> and when it has been determined by the COUNTY that the beneficiary does not meet the specialty mental health and/or Drug Medi-Cal medical necessity criteria.</w:t>
      </w:r>
    </w:p>
    <w:p w14:paraId="1FC6F014" w14:textId="77777777" w:rsidR="0000768E" w:rsidRPr="00BF143D" w:rsidRDefault="006C651A" w:rsidP="00D64638">
      <w:pPr>
        <w:pStyle w:val="ColorfulList-Accent1"/>
        <w:numPr>
          <w:ilvl w:val="0"/>
          <w:numId w:val="19"/>
        </w:numPr>
      </w:pPr>
      <w:r w:rsidRPr="00BF143D">
        <w:t>Authorization of Services</w:t>
      </w:r>
    </w:p>
    <w:p w14:paraId="2DF4FCF8" w14:textId="77777777" w:rsidR="006C651A" w:rsidRPr="00BF143D" w:rsidRDefault="0000768E" w:rsidP="002476BA">
      <w:pPr>
        <w:pStyle w:val="ColorfulList-Accent1"/>
        <w:ind w:left="1440"/>
      </w:pPr>
      <w:r w:rsidRPr="00BF143D">
        <w:t xml:space="preserve">The </w:t>
      </w:r>
      <w:r w:rsidR="00073140" w:rsidRPr="00BF143D">
        <w:t xml:space="preserve">PLAN will notify the COUNTY </w:t>
      </w:r>
      <w:r w:rsidRPr="00BF143D">
        <w:t xml:space="preserve">of </w:t>
      </w:r>
      <w:r w:rsidR="00073140" w:rsidRPr="00BF143D">
        <w:t xml:space="preserve">psychiatric treatment </w:t>
      </w:r>
      <w:r w:rsidRPr="00BF143D">
        <w:t>authorization decisions made as expeditiously and as timely as the beneficiary’s condition requires</w:t>
      </w:r>
      <w:r w:rsidR="00073140" w:rsidRPr="00BF143D">
        <w:t>.</w:t>
      </w:r>
    </w:p>
    <w:p w14:paraId="2A99776F" w14:textId="77777777" w:rsidR="007E6706" w:rsidRPr="00BF143D" w:rsidRDefault="006C651A" w:rsidP="00D64638">
      <w:pPr>
        <w:pStyle w:val="ColorfulList-Accent1"/>
        <w:numPr>
          <w:ilvl w:val="0"/>
          <w:numId w:val="19"/>
        </w:numPr>
      </w:pPr>
      <w:r w:rsidRPr="00BF143D">
        <w:t>Provider Credentialing</w:t>
      </w:r>
    </w:p>
    <w:p w14:paraId="5C879FC9" w14:textId="77777777" w:rsidR="007E6706" w:rsidRPr="00BF143D" w:rsidRDefault="007E6706" w:rsidP="002476BA">
      <w:pPr>
        <w:pStyle w:val="ColorfulList-Accent1"/>
        <w:ind w:left="1440"/>
      </w:pPr>
      <w:r w:rsidRPr="00BF143D">
        <w:lastRenderedPageBreak/>
        <w:t xml:space="preserve">The </w:t>
      </w:r>
      <w:r w:rsidR="00C81BCD" w:rsidRPr="00BF143D">
        <w:t>COUNTY</w:t>
      </w:r>
      <w:r w:rsidRPr="00BF143D">
        <w:t xml:space="preserve"> will provide verification of professional licensure, the National Provider Identifier (NPI), and other information as needed to confirm </w:t>
      </w:r>
      <w:r w:rsidR="00C81BCD" w:rsidRPr="00BF143D">
        <w:t>COUNTY</w:t>
      </w:r>
      <w:r w:rsidRPr="00BF143D">
        <w:t xml:space="preserve"> and its contractors are </w:t>
      </w:r>
      <w:r w:rsidR="00C84036" w:rsidRPr="00BF143D">
        <w:t>Medicare eligible and certified providers</w:t>
      </w:r>
      <w:r w:rsidR="00073140" w:rsidRPr="00BF143D">
        <w:t xml:space="preserve"> </w:t>
      </w:r>
      <w:r w:rsidR="00C81BCD" w:rsidRPr="00BF143D">
        <w:t xml:space="preserve">eligible </w:t>
      </w:r>
      <w:r w:rsidRPr="00BF143D">
        <w:t>provider</w:t>
      </w:r>
      <w:r w:rsidR="002476BA" w:rsidRPr="00BF143D">
        <w:t>s.</w:t>
      </w:r>
      <w:r w:rsidRPr="00BF143D">
        <w:t xml:space="preserve"> </w:t>
      </w:r>
    </w:p>
    <w:p w14:paraId="5A09C047" w14:textId="77777777" w:rsidR="00005404" w:rsidRPr="00BF143D" w:rsidRDefault="006C651A" w:rsidP="00D64638">
      <w:pPr>
        <w:pStyle w:val="ColorfulList-Accent1"/>
        <w:numPr>
          <w:ilvl w:val="0"/>
          <w:numId w:val="19"/>
        </w:numPr>
      </w:pPr>
      <w:r w:rsidRPr="00BF143D">
        <w:t>Payment Mechanism</w:t>
      </w:r>
    </w:p>
    <w:p w14:paraId="432250F7" w14:textId="77777777" w:rsidR="006C651A" w:rsidRPr="00BF143D" w:rsidRDefault="007E6706" w:rsidP="002476BA">
      <w:pPr>
        <w:pStyle w:val="ColorfulList-Accent1"/>
        <w:ind w:left="1440"/>
      </w:pPr>
      <w:r w:rsidRPr="00BF143D">
        <w:t xml:space="preserve">The reimbursement mechanism between </w:t>
      </w:r>
      <w:r w:rsidR="009A6661" w:rsidRPr="00BF143D">
        <w:t xml:space="preserve">COUNTY and PLAN </w:t>
      </w:r>
      <w:r w:rsidRPr="00BF143D">
        <w:t>shall be determined locally and agreed upon by both parties</w:t>
      </w:r>
      <w:r w:rsidR="009A6661" w:rsidRPr="00BF143D">
        <w:t xml:space="preserve">, as specified in this MOU </w:t>
      </w:r>
      <w:r w:rsidR="00C84036" w:rsidRPr="00BF143D">
        <w:t>addendum</w:t>
      </w:r>
      <w:r w:rsidR="009A6661" w:rsidRPr="00BF143D">
        <w:t xml:space="preserve"> and </w:t>
      </w:r>
      <w:r w:rsidRPr="00BF143D">
        <w:t xml:space="preserve">subject to federal timeliness and other requirements. </w:t>
      </w:r>
      <w:r w:rsidR="00856274" w:rsidRPr="00BF143D">
        <w:t xml:space="preserve">The PLAN shall reimburse the COUNTY for Medicare covered mental health services rendered by the COUNTY.  </w:t>
      </w:r>
      <w:r w:rsidRPr="00BF143D">
        <w:t xml:space="preserve">The </w:t>
      </w:r>
      <w:r w:rsidR="009A6661" w:rsidRPr="00BF143D">
        <w:t>COUNTY</w:t>
      </w:r>
      <w:r w:rsidRPr="00BF143D">
        <w:t xml:space="preserve"> will recover the federal Medi-Cal reimbursement for </w:t>
      </w:r>
      <w:r w:rsidR="00C84036" w:rsidRPr="00BF143D">
        <w:t>Medicare covered</w:t>
      </w:r>
      <w:r w:rsidR="00073140" w:rsidRPr="00BF143D">
        <w:t xml:space="preserve"> </w:t>
      </w:r>
      <w:r w:rsidR="00C81BCD" w:rsidRPr="00BF143D">
        <w:t xml:space="preserve">specialty </w:t>
      </w:r>
      <w:r w:rsidRPr="00BF143D">
        <w:t xml:space="preserve">mental health services </w:t>
      </w:r>
      <w:r w:rsidR="00C84036" w:rsidRPr="00BF143D">
        <w:t>after</w:t>
      </w:r>
      <w:r w:rsidR="00856274" w:rsidRPr="00BF143D">
        <w:t xml:space="preserve"> receiving the PLAN’S payment</w:t>
      </w:r>
      <w:r w:rsidRPr="00BF143D">
        <w:t xml:space="preserve"> consistent with the provisions of the demonstration and the current Medi-Cal </w:t>
      </w:r>
      <w:r w:rsidR="00C81BCD" w:rsidRPr="00BF143D">
        <w:t xml:space="preserve">specialty </w:t>
      </w:r>
      <w:r w:rsidRPr="00BF143D">
        <w:t xml:space="preserve">mental health </w:t>
      </w:r>
      <w:r w:rsidR="00C81BCD" w:rsidRPr="00BF143D">
        <w:t xml:space="preserve">1915(b) </w:t>
      </w:r>
      <w:r w:rsidRPr="00BF143D">
        <w:t xml:space="preserve">waiver and </w:t>
      </w:r>
      <w:r w:rsidR="00C84036" w:rsidRPr="00BF143D">
        <w:t xml:space="preserve">California’ Medicaid </w:t>
      </w:r>
      <w:r w:rsidRPr="00BF143D">
        <w:t xml:space="preserve">State Plan. The </w:t>
      </w:r>
      <w:r w:rsidR="009A6661" w:rsidRPr="00BF143D">
        <w:t>PLAN</w:t>
      </w:r>
      <w:r w:rsidRPr="00BF143D">
        <w:t xml:space="preserve"> </w:t>
      </w:r>
      <w:r w:rsidR="00856274" w:rsidRPr="00BF143D">
        <w:t>shall</w:t>
      </w:r>
      <w:r w:rsidRPr="00BF143D">
        <w:t xml:space="preserve"> provide information necessary for coordination of benefits in order for the </w:t>
      </w:r>
      <w:r w:rsidR="009A6661" w:rsidRPr="00BF143D">
        <w:t>COUNTY</w:t>
      </w:r>
      <w:r w:rsidRPr="00BF143D">
        <w:t xml:space="preserve"> to obtain appropriate reimbursement under the Medi-Cal program.</w:t>
      </w:r>
    </w:p>
    <w:p w14:paraId="1688E029" w14:textId="77777777" w:rsidR="00005404" w:rsidRPr="00BF143D" w:rsidRDefault="006C651A" w:rsidP="00D64638">
      <w:pPr>
        <w:pStyle w:val="ColorfulList-Accent1"/>
        <w:numPr>
          <w:ilvl w:val="0"/>
          <w:numId w:val="19"/>
        </w:numPr>
      </w:pPr>
      <w:r w:rsidRPr="00BF143D">
        <w:t>Rates</w:t>
      </w:r>
    </w:p>
    <w:p w14:paraId="1C0C42DD" w14:textId="77777777" w:rsidR="006C651A" w:rsidRPr="00BF143D" w:rsidRDefault="00005404" w:rsidP="002476BA">
      <w:pPr>
        <w:pStyle w:val="ColorfulList-Accent1"/>
        <w:ind w:left="1440"/>
      </w:pPr>
      <w:r w:rsidRPr="00BF143D">
        <w:t xml:space="preserve">The </w:t>
      </w:r>
      <w:r w:rsidR="00073140" w:rsidRPr="00BF143D">
        <w:t>PLAN</w:t>
      </w:r>
      <w:r w:rsidRPr="00BF143D">
        <w:t xml:space="preserve"> shall provide the </w:t>
      </w:r>
      <w:r w:rsidR="00C81BCD" w:rsidRPr="00BF143D">
        <w:t>COUNTY</w:t>
      </w:r>
      <w:r w:rsidRPr="00BF143D">
        <w:t xml:space="preserve"> with payment for rendered covered Medicare mental health services at the most current published Medicare rates.</w:t>
      </w:r>
    </w:p>
    <w:p w14:paraId="1D6DD415" w14:textId="77777777" w:rsidR="00005404" w:rsidRPr="00BF143D" w:rsidRDefault="006C651A" w:rsidP="00D64638">
      <w:pPr>
        <w:pStyle w:val="ColorfulList-Accent1"/>
        <w:numPr>
          <w:ilvl w:val="0"/>
          <w:numId w:val="19"/>
        </w:numPr>
      </w:pPr>
      <w:r w:rsidRPr="00BF143D">
        <w:t>Dispute Resolution Proces</w:t>
      </w:r>
      <w:r w:rsidR="00005404" w:rsidRPr="00BF143D">
        <w:t>s</w:t>
      </w:r>
    </w:p>
    <w:p w14:paraId="196DDB29" w14:textId="77777777" w:rsidR="006C651A" w:rsidRPr="00BF143D" w:rsidRDefault="00005404" w:rsidP="00D64638">
      <w:pPr>
        <w:ind w:left="1080"/>
      </w:pPr>
      <w:r w:rsidRPr="00BF143D">
        <w:t xml:space="preserve">The </w:t>
      </w:r>
      <w:r w:rsidR="006250E4" w:rsidRPr="00BF143D">
        <w:t xml:space="preserve">PLAN and COUNTY </w:t>
      </w:r>
      <w:r w:rsidRPr="00BF143D">
        <w:t>agree to</w:t>
      </w:r>
      <w:r w:rsidRPr="00BF143D" w:rsidDel="00977A76">
        <w:t xml:space="preserve"> </w:t>
      </w:r>
      <w:r w:rsidRPr="00BF143D">
        <w:t xml:space="preserve">follow the resolution of dispute process in accordance to Title 9, Section 1850.505, and the contract between the </w:t>
      </w:r>
      <w:r w:rsidR="00C81BCD" w:rsidRPr="00BF143D">
        <w:t xml:space="preserve">PLAN </w:t>
      </w:r>
      <w:r w:rsidRPr="00BF143D">
        <w:t>and the State Department of Health Care Services (DHCS) and Centers for Medicare &amp; Medicaid Services (CMS).</w:t>
      </w:r>
    </w:p>
    <w:p w14:paraId="267D69D8" w14:textId="77777777" w:rsidR="00005404" w:rsidRPr="00BF143D" w:rsidRDefault="006C651A" w:rsidP="00D64638">
      <w:pPr>
        <w:pStyle w:val="ColorfulList-Accent1"/>
        <w:numPr>
          <w:ilvl w:val="0"/>
          <w:numId w:val="19"/>
        </w:numPr>
      </w:pPr>
      <w:r w:rsidRPr="00BF143D">
        <w:t>Telephone Access</w:t>
      </w:r>
    </w:p>
    <w:p w14:paraId="345254EB" w14:textId="77777777" w:rsidR="006C651A" w:rsidRPr="00BF143D" w:rsidRDefault="00005404" w:rsidP="002476BA">
      <w:pPr>
        <w:pStyle w:val="ColorfulList-Accent1"/>
        <w:ind w:left="1440"/>
      </w:pPr>
      <w:r w:rsidRPr="00BF143D">
        <w:t xml:space="preserve">The </w:t>
      </w:r>
      <w:r w:rsidR="00073140" w:rsidRPr="00BF143D">
        <w:t xml:space="preserve">PLAN shall inform members of the </w:t>
      </w:r>
      <w:r w:rsidRPr="00BF143D">
        <w:t xml:space="preserve">24-7 telephone line </w:t>
      </w:r>
      <w:r w:rsidR="00073140" w:rsidRPr="00BF143D">
        <w:t xml:space="preserve">operated by the COUNTY </w:t>
      </w:r>
      <w:r w:rsidRPr="00BF143D">
        <w:t>that provides information and access to services for urgent and routine requests on mental health and substance use disorder services.</w:t>
      </w:r>
    </w:p>
    <w:p w14:paraId="55907FDB" w14:textId="77777777" w:rsidR="002476BA" w:rsidRPr="00BF143D" w:rsidRDefault="0038570D" w:rsidP="002476BA">
      <w:pPr>
        <w:pStyle w:val="ColorfulList-Accent1"/>
        <w:numPr>
          <w:ilvl w:val="0"/>
          <w:numId w:val="14"/>
        </w:numPr>
        <w:rPr>
          <w:b/>
        </w:rPr>
      </w:pPr>
      <w:r w:rsidRPr="00BF143D">
        <w:rPr>
          <w:b/>
        </w:rPr>
        <w:t>Information Exchange</w:t>
      </w:r>
    </w:p>
    <w:p w14:paraId="2385CF26" w14:textId="77777777" w:rsidR="002476BA" w:rsidRPr="00BF143D" w:rsidRDefault="0038570D" w:rsidP="002476BA">
      <w:pPr>
        <w:pStyle w:val="ColorfulList-Accent1"/>
        <w:numPr>
          <w:ilvl w:val="0"/>
          <w:numId w:val="16"/>
        </w:numPr>
        <w:ind w:left="1080"/>
        <w:rPr>
          <w:b/>
        </w:rPr>
      </w:pPr>
      <w:r w:rsidRPr="00BF143D">
        <w:t xml:space="preserve">COUNTY and PLAN will </w:t>
      </w:r>
      <w:r w:rsidR="00073140" w:rsidRPr="00BF143D">
        <w:t>develop</w:t>
      </w:r>
      <w:r w:rsidR="00D64638" w:rsidRPr="00BF143D">
        <w:t xml:space="preserve"> and agree to</w:t>
      </w:r>
      <w:r w:rsidR="00073140" w:rsidRPr="00BF143D">
        <w:t xml:space="preserve"> </w:t>
      </w:r>
      <w:r w:rsidR="00073140" w:rsidRPr="00BF143D">
        <w:rPr>
          <w:rFonts w:eastAsia="Times New Roman" w:cs="Times New Roman"/>
        </w:rPr>
        <w:t xml:space="preserve">Information sharing policies and procedures that include milestones over the three years and </w:t>
      </w:r>
      <w:r w:rsidRPr="00BF143D">
        <w:t>agree</w:t>
      </w:r>
      <w:r w:rsidR="00073140" w:rsidRPr="00BF143D">
        <w:t>d</w:t>
      </w:r>
      <w:r w:rsidRPr="00BF143D">
        <w:t xml:space="preserve"> </w:t>
      </w:r>
      <w:r w:rsidR="00073140" w:rsidRPr="00BF143D">
        <w:t>upon</w:t>
      </w:r>
      <w:r w:rsidRPr="00BF143D">
        <w:t xml:space="preserve"> roles and responsibilities for sharing personal health information (PHI) for the purposes of </w:t>
      </w:r>
      <w:r w:rsidR="00AC72A9" w:rsidRPr="00BF143D">
        <w:t>medical</w:t>
      </w:r>
      <w:r w:rsidR="00F234DF" w:rsidRPr="00BF143D">
        <w:t xml:space="preserve"> and behavioral health </w:t>
      </w:r>
      <w:r w:rsidRPr="00BF143D">
        <w:t xml:space="preserve">care coordination pursuant to Title 9, CCR, Section 1810.370(a)(3) and in compliance with HIPAA and other state </w:t>
      </w:r>
      <w:r w:rsidRPr="00BF143D">
        <w:lastRenderedPageBreak/>
        <w:t>and federal privacy laws.</w:t>
      </w:r>
      <w:r w:rsidR="00073140" w:rsidRPr="00BF143D">
        <w:t xml:space="preserve"> </w:t>
      </w:r>
      <w:r w:rsidR="00D64638" w:rsidRPr="00BF143D">
        <w:t>These policies and procedures shall be</w:t>
      </w:r>
      <w:r w:rsidR="00AD7B40" w:rsidRPr="00BF143D">
        <w:t xml:space="preserve"> attached to the MOU by 12/31/13</w:t>
      </w:r>
      <w:r w:rsidR="00D64638" w:rsidRPr="00BF143D">
        <w:t>.</w:t>
      </w:r>
    </w:p>
    <w:p w14:paraId="5F68AF6F" w14:textId="77777777" w:rsidR="0038570D" w:rsidRPr="00BF143D" w:rsidRDefault="0038570D" w:rsidP="002476BA">
      <w:pPr>
        <w:pStyle w:val="ColorfulList-Accent1"/>
        <w:numPr>
          <w:ilvl w:val="0"/>
          <w:numId w:val="16"/>
        </w:numPr>
        <w:ind w:left="1080"/>
        <w:rPr>
          <w:b/>
        </w:rPr>
      </w:pPr>
      <w:r w:rsidRPr="00BF143D">
        <w:t>The PLAN will create a list of demonstration enrollees who are receiving Medi-Cal specialty mental health and/or Drug Medi-Cal services to track their care coordination and service delivery.</w:t>
      </w:r>
    </w:p>
    <w:p w14:paraId="4E1F0BDE" w14:textId="77777777" w:rsidR="006C651A" w:rsidRPr="00BF143D" w:rsidRDefault="006C651A" w:rsidP="002476BA">
      <w:pPr>
        <w:pStyle w:val="ColorfulList-Accent1"/>
        <w:numPr>
          <w:ilvl w:val="0"/>
          <w:numId w:val="14"/>
        </w:numPr>
        <w:rPr>
          <w:b/>
        </w:rPr>
      </w:pPr>
      <w:r w:rsidRPr="00BF143D">
        <w:rPr>
          <w:b/>
        </w:rPr>
        <w:t>Care Coordination</w:t>
      </w:r>
    </w:p>
    <w:p w14:paraId="1817159F" w14:textId="77777777" w:rsidR="007D5357" w:rsidRPr="00BF143D" w:rsidRDefault="007D5357" w:rsidP="002476BA">
      <w:pPr>
        <w:pStyle w:val="ColorfulList-Accent1"/>
      </w:pPr>
      <w:r w:rsidRPr="00BF143D">
        <w:t xml:space="preserve">The </w:t>
      </w:r>
      <w:r w:rsidR="006250E4" w:rsidRPr="00BF143D">
        <w:t xml:space="preserve">PLAN and COUNTY </w:t>
      </w:r>
      <w:r w:rsidR="00085121" w:rsidRPr="00BF143D">
        <w:t>will</w:t>
      </w:r>
      <w:r w:rsidR="00AE6683" w:rsidRPr="00BF143D">
        <w:t xml:space="preserve"> develop </w:t>
      </w:r>
      <w:r w:rsidR="00D64638" w:rsidRPr="00BF143D">
        <w:t xml:space="preserve">and agree to </w:t>
      </w:r>
      <w:r w:rsidR="00085121" w:rsidRPr="00BF143D">
        <w:t xml:space="preserve">policies and procedures for coordinating </w:t>
      </w:r>
      <w:r w:rsidR="00AC72A9" w:rsidRPr="00BF143D">
        <w:t>medical</w:t>
      </w:r>
      <w:r w:rsidR="00F234DF" w:rsidRPr="00BF143D">
        <w:t xml:space="preserve"> and behavioral health </w:t>
      </w:r>
      <w:r w:rsidR="0038570D" w:rsidRPr="00BF143D">
        <w:t xml:space="preserve">care for </w:t>
      </w:r>
      <w:r w:rsidRPr="00BF143D">
        <w:t xml:space="preserve">beneficiaries enrolled in the </w:t>
      </w:r>
      <w:r w:rsidR="00532258" w:rsidRPr="00BF143D">
        <w:t>PLAN</w:t>
      </w:r>
      <w:r w:rsidRPr="00BF143D">
        <w:t xml:space="preserve"> and receiving </w:t>
      </w:r>
      <w:r w:rsidR="00C81BCD" w:rsidRPr="00BF143D">
        <w:t xml:space="preserve">Medi-Cal </w:t>
      </w:r>
      <w:r w:rsidRPr="00BF143D">
        <w:t xml:space="preserve">specialty mental health or Drug Medi-Cal services </w:t>
      </w:r>
      <w:r w:rsidR="00532258" w:rsidRPr="00BF143D">
        <w:t xml:space="preserve">through the COUNTY </w:t>
      </w:r>
      <w:r w:rsidRPr="00BF143D">
        <w:t xml:space="preserve">that </w:t>
      </w:r>
      <w:r w:rsidR="0038570D" w:rsidRPr="00BF143D">
        <w:t xml:space="preserve">may </w:t>
      </w:r>
      <w:r w:rsidRPr="00BF143D">
        <w:t>include the following</w:t>
      </w:r>
      <w:r w:rsidR="00D64638" w:rsidRPr="00BF143D">
        <w:t>. These policies and procedures shall be</w:t>
      </w:r>
      <w:r w:rsidR="00AD7B40" w:rsidRPr="00BF143D">
        <w:t xml:space="preserve"> attached to the MOU by 12/31/13</w:t>
      </w:r>
      <w:r w:rsidR="00D64638" w:rsidRPr="00BF143D">
        <w:t>.</w:t>
      </w:r>
    </w:p>
    <w:p w14:paraId="48A543A9" w14:textId="77777777" w:rsidR="00532258" w:rsidRPr="00BF143D" w:rsidRDefault="00532258" w:rsidP="002476BA">
      <w:pPr>
        <w:pStyle w:val="ColorfulList-Accent1"/>
        <w:widowControl w:val="0"/>
        <w:numPr>
          <w:ilvl w:val="3"/>
          <w:numId w:val="14"/>
        </w:numPr>
        <w:tabs>
          <w:tab w:val="left" w:pos="2340"/>
        </w:tabs>
        <w:autoSpaceDE w:val="0"/>
        <w:autoSpaceDN w:val="0"/>
        <w:adjustRightInd w:val="0"/>
        <w:spacing w:before="120"/>
        <w:ind w:left="1080"/>
      </w:pPr>
      <w:r w:rsidRPr="00BF143D">
        <w:t xml:space="preserve">An identified point of contact from </w:t>
      </w:r>
      <w:r w:rsidR="00856274" w:rsidRPr="00BF143D">
        <w:t xml:space="preserve">each </w:t>
      </w:r>
      <w:r w:rsidRPr="00BF143D">
        <w:t>PART</w:t>
      </w:r>
      <w:r w:rsidR="00856274" w:rsidRPr="00BF143D">
        <w:t>Y</w:t>
      </w:r>
      <w:r w:rsidRPr="00BF143D">
        <w:t xml:space="preserve"> who will initiate and maintain ongoing care coordination</w:t>
      </w:r>
      <w:r w:rsidR="0038570D" w:rsidRPr="00BF143D">
        <w:t>, including agreement on who has primary responsibility for care planning</w:t>
      </w:r>
      <w:r w:rsidRPr="00BF143D">
        <w:t>.</w:t>
      </w:r>
    </w:p>
    <w:p w14:paraId="07218E81" w14:textId="77777777" w:rsidR="007D5357" w:rsidRPr="00BF143D" w:rsidRDefault="00165A54" w:rsidP="002476BA">
      <w:pPr>
        <w:pStyle w:val="ColorfulList-Accent1"/>
        <w:numPr>
          <w:ilvl w:val="3"/>
          <w:numId w:val="14"/>
        </w:numPr>
        <w:tabs>
          <w:tab w:val="left" w:pos="2340"/>
        </w:tabs>
        <w:ind w:left="1080"/>
      </w:pPr>
      <w:r w:rsidRPr="00BF143D">
        <w:t>For members identified as needing</w:t>
      </w:r>
      <w:r w:rsidR="007D5357" w:rsidRPr="00BF143D">
        <w:t xml:space="preserve"> an In</w:t>
      </w:r>
      <w:r w:rsidRPr="00BF143D">
        <w:t xml:space="preserve">terdisciplinary Care Team (ICT), </w:t>
      </w:r>
      <w:r w:rsidR="0038570D" w:rsidRPr="00BF143D">
        <w:t xml:space="preserve">the PLAN would request participation from </w:t>
      </w:r>
      <w:r w:rsidR="004C5243" w:rsidRPr="00BF143D">
        <w:t xml:space="preserve">a </w:t>
      </w:r>
      <w:r w:rsidR="00532258" w:rsidRPr="00BF143D">
        <w:t>COUNTY</w:t>
      </w:r>
      <w:r w:rsidR="004C5243" w:rsidRPr="00BF143D">
        <w:t xml:space="preserve"> </w:t>
      </w:r>
      <w:r w:rsidR="00532258" w:rsidRPr="00BF143D">
        <w:t>behavioral health provider.</w:t>
      </w:r>
    </w:p>
    <w:p w14:paraId="2D6491C1" w14:textId="77777777" w:rsidR="00165A54" w:rsidRPr="00BF143D" w:rsidRDefault="0038570D" w:rsidP="002476BA">
      <w:pPr>
        <w:pStyle w:val="ColorfulList-Accent1"/>
        <w:numPr>
          <w:ilvl w:val="3"/>
          <w:numId w:val="14"/>
        </w:numPr>
        <w:tabs>
          <w:tab w:val="left" w:pos="2340"/>
        </w:tabs>
        <w:ind w:left="1080"/>
      </w:pPr>
      <w:r w:rsidRPr="00BF143D">
        <w:t>The PLAN will have</w:t>
      </w:r>
      <w:r w:rsidR="00AD7B40" w:rsidRPr="00BF143D">
        <w:t xml:space="preserve"> a</w:t>
      </w:r>
      <w:r w:rsidRPr="00BF143D">
        <w:t xml:space="preserve"> </w:t>
      </w:r>
      <w:r w:rsidR="007D5357" w:rsidRPr="00BF143D">
        <w:t xml:space="preserve">process for </w:t>
      </w:r>
      <w:r w:rsidR="00165A54" w:rsidRPr="00BF143D">
        <w:t xml:space="preserve">reviewing and updating the care plan as </w:t>
      </w:r>
      <w:r w:rsidR="00856274" w:rsidRPr="00BF143D">
        <w:t>clinically indicated</w:t>
      </w:r>
      <w:r w:rsidRPr="00BF143D">
        <w:t>, such as following a hospitalization,</w:t>
      </w:r>
      <w:r w:rsidR="00856274" w:rsidRPr="00BF143D">
        <w:t xml:space="preserve"> </w:t>
      </w:r>
      <w:r w:rsidR="00073140" w:rsidRPr="00BF143D">
        <w:t>and</w:t>
      </w:r>
      <w:r w:rsidRPr="00BF143D">
        <w:t xml:space="preserve"> </w:t>
      </w:r>
      <w:r w:rsidR="00AD7B40" w:rsidRPr="00BF143D">
        <w:t xml:space="preserve">for </w:t>
      </w:r>
      <w:r w:rsidR="00073140" w:rsidRPr="00BF143D">
        <w:t>coordinat</w:t>
      </w:r>
      <w:r w:rsidR="00AD7B40" w:rsidRPr="00BF143D">
        <w:t>ing</w:t>
      </w:r>
      <w:r w:rsidR="00073140" w:rsidRPr="00BF143D">
        <w:t xml:space="preserve"> with</w:t>
      </w:r>
      <w:r w:rsidRPr="00BF143D">
        <w:t xml:space="preserve"> the COUNTY behavioral health provider</w:t>
      </w:r>
      <w:r w:rsidR="00AD7B40" w:rsidRPr="00BF143D">
        <w:t>s</w:t>
      </w:r>
      <w:r w:rsidRPr="00BF143D">
        <w:t>, when necessary</w:t>
      </w:r>
      <w:r w:rsidR="00165A54" w:rsidRPr="00BF143D">
        <w:t>.</w:t>
      </w:r>
    </w:p>
    <w:p w14:paraId="06385702" w14:textId="77777777" w:rsidR="00A9083F" w:rsidRPr="00BF143D" w:rsidRDefault="00AD7B40" w:rsidP="002476BA">
      <w:pPr>
        <w:pStyle w:val="ColorfulList-Accent1"/>
        <w:numPr>
          <w:ilvl w:val="3"/>
          <w:numId w:val="14"/>
        </w:numPr>
        <w:tabs>
          <w:tab w:val="left" w:pos="2340"/>
        </w:tabs>
        <w:ind w:left="1080"/>
      </w:pPr>
      <w:r w:rsidRPr="00BF143D">
        <w:t>The PLAN will have r</w:t>
      </w:r>
      <w:r w:rsidR="0038570D" w:rsidRPr="00BF143D">
        <w:t>egular</w:t>
      </w:r>
      <w:r w:rsidR="00A9083F" w:rsidRPr="00BF143D">
        <w:t xml:space="preserve"> meetings </w:t>
      </w:r>
      <w:r w:rsidR="0038570D" w:rsidRPr="00BF143D">
        <w:t xml:space="preserve">(at least quarterly) </w:t>
      </w:r>
      <w:r w:rsidR="00A9083F" w:rsidRPr="00BF143D">
        <w:t>to review the care coordination process</w:t>
      </w:r>
      <w:r w:rsidR="00F234DF" w:rsidRPr="00BF143D">
        <w:t xml:space="preserve">, </w:t>
      </w:r>
      <w:r w:rsidR="00AC72A9" w:rsidRPr="00BF143D">
        <w:t>such as</w:t>
      </w:r>
      <w:r w:rsidR="00F234DF" w:rsidRPr="00BF143D">
        <w:t xml:space="preserve"> the effectiveness of exchange of </w:t>
      </w:r>
      <w:r w:rsidR="00AC72A9" w:rsidRPr="00BF143D">
        <w:t>patient health information.</w:t>
      </w:r>
    </w:p>
    <w:p w14:paraId="3A6E9C8D" w14:textId="77777777" w:rsidR="007D5357" w:rsidRPr="00BF143D" w:rsidRDefault="0038570D" w:rsidP="002476BA">
      <w:pPr>
        <w:pStyle w:val="ColorfulList-Accent1"/>
        <w:numPr>
          <w:ilvl w:val="3"/>
          <w:numId w:val="14"/>
        </w:numPr>
        <w:tabs>
          <w:tab w:val="left" w:pos="2340"/>
        </w:tabs>
        <w:ind w:left="1080"/>
      </w:pPr>
      <w:r w:rsidRPr="00BF143D">
        <w:t xml:space="preserve">The PLAN will </w:t>
      </w:r>
      <w:proofErr w:type="gramStart"/>
      <w:r w:rsidRPr="00BF143D">
        <w:t>coordinated</w:t>
      </w:r>
      <w:proofErr w:type="gramEnd"/>
      <w:r w:rsidRPr="00BF143D">
        <w:t xml:space="preserve"> with the COUNTY </w:t>
      </w:r>
      <w:r w:rsidR="00AD7B40" w:rsidRPr="00BF143D">
        <w:t xml:space="preserve">to perform </w:t>
      </w:r>
      <w:r w:rsidRPr="00BF143D">
        <w:t>on</w:t>
      </w:r>
      <w:r w:rsidR="00FE23C0" w:rsidRPr="00BF143D">
        <w:t xml:space="preserve"> a</w:t>
      </w:r>
      <w:r w:rsidRPr="00BF143D">
        <w:t xml:space="preserve">n </w:t>
      </w:r>
      <w:r w:rsidR="007D5357" w:rsidRPr="00BF143D">
        <w:t xml:space="preserve">annual review, analysis and evaluation of the effectiveness of the care management program </w:t>
      </w:r>
      <w:r w:rsidR="00265AC4" w:rsidRPr="00BF143D">
        <w:t>to</w:t>
      </w:r>
      <w:r w:rsidR="007D5357" w:rsidRPr="00BF143D">
        <w:t xml:space="preserve"> identify actions to </w:t>
      </w:r>
      <w:r w:rsidR="00265AC4" w:rsidRPr="00BF143D">
        <w:t>implement</w:t>
      </w:r>
      <w:r w:rsidR="007D5357" w:rsidRPr="00BF143D">
        <w:t xml:space="preserve"> </w:t>
      </w:r>
      <w:r w:rsidR="00265AC4" w:rsidRPr="00BF143D">
        <w:t>and</w:t>
      </w:r>
      <w:r w:rsidR="007D5357" w:rsidRPr="00BF143D">
        <w:t xml:space="preserve"> improve the quality of care and delivery of services.</w:t>
      </w:r>
    </w:p>
    <w:p w14:paraId="4078A93C" w14:textId="77777777" w:rsidR="00375261" w:rsidRPr="00BF143D" w:rsidRDefault="00375261" w:rsidP="002476BA">
      <w:pPr>
        <w:pStyle w:val="ColorfulList-Accent1"/>
        <w:numPr>
          <w:ilvl w:val="0"/>
          <w:numId w:val="14"/>
        </w:numPr>
        <w:rPr>
          <w:b/>
        </w:rPr>
      </w:pPr>
      <w:r w:rsidRPr="00BF143D">
        <w:rPr>
          <w:b/>
        </w:rPr>
        <w:t xml:space="preserve">Shared Accountability </w:t>
      </w:r>
    </w:p>
    <w:p w14:paraId="70013EBB" w14:textId="77777777" w:rsidR="00375261" w:rsidRPr="00BF143D" w:rsidRDefault="004954F9" w:rsidP="002476BA">
      <w:pPr>
        <w:ind w:left="720"/>
      </w:pPr>
      <w:r w:rsidRPr="00BF143D">
        <w:t>S</w:t>
      </w:r>
      <w:r w:rsidR="00375261" w:rsidRPr="00BF143D">
        <w:t xml:space="preserve">hared accountability between </w:t>
      </w:r>
      <w:r w:rsidR="00073140" w:rsidRPr="00BF143D">
        <w:t>the PLAN</w:t>
      </w:r>
      <w:r w:rsidR="00375261" w:rsidRPr="00BF143D">
        <w:t xml:space="preserve"> and </w:t>
      </w:r>
      <w:r w:rsidR="00073140" w:rsidRPr="00BF143D">
        <w:t>COUNTY</w:t>
      </w:r>
      <w:r w:rsidR="00375261" w:rsidRPr="00BF143D">
        <w:t xml:space="preserve"> </w:t>
      </w:r>
      <w:r w:rsidRPr="00BF143D">
        <w:t>aims to</w:t>
      </w:r>
      <w:r w:rsidR="00375261" w:rsidRPr="00BF143D">
        <w:t xml:space="preserve"> promote care coordination</w:t>
      </w:r>
      <w:r w:rsidR="00073140" w:rsidRPr="00BF143D">
        <w:t>. Shared accountability</w:t>
      </w:r>
      <w:r w:rsidR="00375261" w:rsidRPr="00BF143D">
        <w:t xml:space="preserve"> builds on the performance-based withhold </w:t>
      </w:r>
      <w:r w:rsidR="00AD7B40" w:rsidRPr="00BF143D">
        <w:t xml:space="preserve">and is reflected in </w:t>
      </w:r>
      <w:r w:rsidR="00375261" w:rsidRPr="00BF143D">
        <w:t xml:space="preserve">the capitation rates of 1%, 2%, and 3% respectively for years one, two and three of the demonstration. </w:t>
      </w:r>
      <w:r w:rsidR="009D0A84" w:rsidRPr="00BF143D">
        <w:t>By meeting specified quality measures, t</w:t>
      </w:r>
      <w:r w:rsidR="00E305E6" w:rsidRPr="00BF143D">
        <w:t xml:space="preserve">he </w:t>
      </w:r>
      <w:r w:rsidR="00C81BCD" w:rsidRPr="00BF143D">
        <w:t>PLAN</w:t>
      </w:r>
      <w:r w:rsidR="00375261" w:rsidRPr="00BF143D">
        <w:t xml:space="preserve"> can earn back the </w:t>
      </w:r>
      <w:r w:rsidR="009D0A84" w:rsidRPr="00BF143D">
        <w:t xml:space="preserve">withheld </w:t>
      </w:r>
      <w:r w:rsidR="00375261" w:rsidRPr="00BF143D">
        <w:t xml:space="preserve">capitation revenue by meeting </w:t>
      </w:r>
      <w:r w:rsidR="00053497" w:rsidRPr="00BF143D">
        <w:t xml:space="preserve">specified </w:t>
      </w:r>
      <w:r w:rsidR="00375261" w:rsidRPr="00BF143D">
        <w:t>quality objectives.</w:t>
      </w:r>
      <w:r w:rsidR="00654577" w:rsidRPr="00BF143D">
        <w:t xml:space="preserve"> </w:t>
      </w:r>
      <w:r w:rsidR="00375261" w:rsidRPr="00BF143D">
        <w:t xml:space="preserve">Under this shared accountability strategy, one </w:t>
      </w:r>
      <w:proofErr w:type="gramStart"/>
      <w:r w:rsidR="00375261" w:rsidRPr="00BF143D">
        <w:t>withhold</w:t>
      </w:r>
      <w:proofErr w:type="gramEnd"/>
      <w:r w:rsidR="00375261" w:rsidRPr="00BF143D">
        <w:t xml:space="preserve"> measure each year will be tied to behavioral health coordination with </w:t>
      </w:r>
      <w:r w:rsidR="00D32448" w:rsidRPr="00BF143D">
        <w:t>the COUNT</w:t>
      </w:r>
      <w:r w:rsidR="00396C47" w:rsidRPr="00BF143D">
        <w:t>Y</w:t>
      </w:r>
      <w:r w:rsidR="00375261" w:rsidRPr="00BF143D">
        <w:t>.</w:t>
      </w:r>
    </w:p>
    <w:p w14:paraId="7AD08743" w14:textId="77777777" w:rsidR="00AC72A9" w:rsidRPr="00BF143D" w:rsidRDefault="00375261" w:rsidP="00AC72A9">
      <w:pPr>
        <w:pStyle w:val="ColorfulList-Accent1"/>
        <w:numPr>
          <w:ilvl w:val="3"/>
          <w:numId w:val="14"/>
        </w:numPr>
        <w:ind w:left="1170"/>
      </w:pPr>
      <w:r w:rsidRPr="00BF143D">
        <w:t xml:space="preserve">The </w:t>
      </w:r>
      <w:r w:rsidR="006250E4" w:rsidRPr="00BF143D">
        <w:t xml:space="preserve">PLAN and COUNTY </w:t>
      </w:r>
      <w:r w:rsidRPr="00BF143D">
        <w:t xml:space="preserve">agree to </w:t>
      </w:r>
      <w:r w:rsidR="00434F15" w:rsidRPr="00BF143D">
        <w:t xml:space="preserve">the </w:t>
      </w:r>
      <w:r w:rsidR="00073140" w:rsidRPr="00BF143D">
        <w:t xml:space="preserve">Shared Accountability </w:t>
      </w:r>
      <w:r w:rsidR="006C651A" w:rsidRPr="00BF143D">
        <w:t>Performance Metrics</w:t>
      </w:r>
      <w:r w:rsidR="00D24516" w:rsidRPr="00BF143D">
        <w:t xml:space="preserve">, </w:t>
      </w:r>
      <w:r w:rsidR="00073140" w:rsidRPr="00BF143D">
        <w:t xml:space="preserve">as </w:t>
      </w:r>
      <w:r w:rsidR="00D24516" w:rsidRPr="00BF143D">
        <w:t xml:space="preserve">specified in the three-way contracts between CMS, DHCS and the </w:t>
      </w:r>
      <w:r w:rsidR="00073140" w:rsidRPr="00BF143D">
        <w:lastRenderedPageBreak/>
        <w:t>PLAN</w:t>
      </w:r>
      <w:r w:rsidR="00D24516" w:rsidRPr="00BF143D">
        <w:t xml:space="preserve">. </w:t>
      </w:r>
      <w:r w:rsidR="00073140" w:rsidRPr="00BF143D">
        <w:t>These measures</w:t>
      </w:r>
      <w:r w:rsidR="00D24516" w:rsidRPr="00BF143D">
        <w:t xml:space="preserve"> wi</w:t>
      </w:r>
      <w:r w:rsidR="00073140" w:rsidRPr="00BF143D">
        <w:t xml:space="preserve">ll be updated upon confirmation, but </w:t>
      </w:r>
      <w:r w:rsidR="00D24516" w:rsidRPr="00BF143D">
        <w:t>generally include:</w:t>
      </w:r>
    </w:p>
    <w:p w14:paraId="2CE214F2" w14:textId="77777777" w:rsidR="00F234DF" w:rsidRPr="00BF143D" w:rsidRDefault="003803CB" w:rsidP="00AC72A9">
      <w:pPr>
        <w:pStyle w:val="ColorfulList-Accent1"/>
        <w:numPr>
          <w:ilvl w:val="4"/>
          <w:numId w:val="14"/>
        </w:numPr>
        <w:ind w:left="1440"/>
      </w:pPr>
      <w:r w:rsidRPr="00BF143D">
        <w:t xml:space="preserve">Year 1 </w:t>
      </w:r>
      <w:r w:rsidR="00073140" w:rsidRPr="00BF143D">
        <w:t xml:space="preserve">Phase </w:t>
      </w:r>
      <w:r w:rsidRPr="00BF143D">
        <w:t>A (</w:t>
      </w:r>
      <w:r w:rsidRPr="00BF143D">
        <w:rPr>
          <w:rFonts w:eastAsia="Times New Roman" w:cs="Times New Roman"/>
        </w:rPr>
        <w:t>6/1/13</w:t>
      </w:r>
      <w:r w:rsidR="00D32448" w:rsidRPr="00BF143D">
        <w:rPr>
          <w:rFonts w:eastAsia="Times New Roman" w:cs="Times New Roman"/>
        </w:rPr>
        <w:t xml:space="preserve"> </w:t>
      </w:r>
      <w:r w:rsidRPr="00BF143D">
        <w:rPr>
          <w:rFonts w:eastAsia="Times New Roman" w:cs="Times New Roman"/>
        </w:rPr>
        <w:t>- 12/31/1</w:t>
      </w:r>
      <w:r w:rsidR="00BD65A4" w:rsidRPr="00BF143D">
        <w:rPr>
          <w:rFonts w:eastAsia="Times New Roman" w:cs="Times New Roman"/>
        </w:rPr>
        <w:t>3</w:t>
      </w:r>
      <w:r w:rsidRPr="00BF143D">
        <w:rPr>
          <w:rFonts w:eastAsia="Times New Roman" w:cs="Times New Roman"/>
        </w:rPr>
        <w:t>):</w:t>
      </w:r>
      <w:r w:rsidR="00C00EC1" w:rsidRPr="00BF143D">
        <w:rPr>
          <w:rFonts w:eastAsia="Times New Roman" w:cs="Times New Roman"/>
        </w:rPr>
        <w:t xml:space="preserve"> </w:t>
      </w:r>
    </w:p>
    <w:p w14:paraId="784A4846" w14:textId="77777777" w:rsidR="00AC72A9" w:rsidRPr="00BF143D" w:rsidRDefault="00C00EC1" w:rsidP="00AC72A9">
      <w:pPr>
        <w:pStyle w:val="ColorfulList-Accent1"/>
        <w:numPr>
          <w:ilvl w:val="2"/>
          <w:numId w:val="14"/>
        </w:numPr>
        <w:rPr>
          <w:rFonts w:eastAsia="Times New Roman" w:cs="Times New Roman"/>
        </w:rPr>
      </w:pPr>
      <w:r w:rsidRPr="00BF143D">
        <w:rPr>
          <w:rFonts w:eastAsia="Times New Roman" w:cs="Times New Roman"/>
        </w:rPr>
        <w:t>E</w:t>
      </w:r>
      <w:r w:rsidR="009D2C44" w:rsidRPr="00BF143D">
        <w:rPr>
          <w:rFonts w:eastAsia="Times New Roman" w:cs="Times New Roman"/>
        </w:rPr>
        <w:t xml:space="preserve">xecution of the MOU by </w:t>
      </w:r>
      <w:r w:rsidR="00BD65A4" w:rsidRPr="00BF143D">
        <w:rPr>
          <w:rFonts w:eastAsia="Times New Roman" w:cs="Times New Roman"/>
        </w:rPr>
        <w:t>2</w:t>
      </w:r>
      <w:r w:rsidR="009D2C44" w:rsidRPr="00BF143D">
        <w:rPr>
          <w:rFonts w:eastAsia="Times New Roman" w:cs="Times New Roman"/>
        </w:rPr>
        <w:t>/1/13;</w:t>
      </w:r>
    </w:p>
    <w:p w14:paraId="54C3A6C1" w14:textId="77777777" w:rsidR="00AC72A9" w:rsidRPr="00BF143D" w:rsidRDefault="00ED1CEC" w:rsidP="00AC72A9">
      <w:pPr>
        <w:pStyle w:val="ColorfulList-Accent1"/>
        <w:numPr>
          <w:ilvl w:val="2"/>
          <w:numId w:val="14"/>
        </w:numPr>
        <w:rPr>
          <w:rFonts w:eastAsia="Times New Roman" w:cs="Times New Roman"/>
        </w:rPr>
      </w:pPr>
      <w:r w:rsidRPr="00BF143D">
        <w:rPr>
          <w:rFonts w:eastAsia="Times New Roman" w:cs="Times New Roman"/>
        </w:rPr>
        <w:t>By 12/31/13, e</w:t>
      </w:r>
      <w:r w:rsidR="00C00EC1" w:rsidRPr="00BF143D">
        <w:rPr>
          <w:rFonts w:eastAsia="Times New Roman" w:cs="Times New Roman"/>
        </w:rPr>
        <w:t xml:space="preserve">vidence of </w:t>
      </w:r>
      <w:r w:rsidR="00BD65A4" w:rsidRPr="00BF143D">
        <w:rPr>
          <w:rFonts w:eastAsia="Times New Roman" w:cs="Times New Roman"/>
        </w:rPr>
        <w:t xml:space="preserve">revised </w:t>
      </w:r>
      <w:r w:rsidR="00C00EC1" w:rsidRPr="00BF143D">
        <w:rPr>
          <w:rFonts w:eastAsia="Times New Roman" w:cs="Times New Roman"/>
        </w:rPr>
        <w:t>written policies and procedures</w:t>
      </w:r>
      <w:r w:rsidR="00C81BCD" w:rsidRPr="00BF143D">
        <w:rPr>
          <w:rFonts w:eastAsia="Times New Roman" w:cs="Times New Roman"/>
        </w:rPr>
        <w:t xml:space="preserve"> for</w:t>
      </w:r>
      <w:r w:rsidR="00C00EC1" w:rsidRPr="00BF143D">
        <w:rPr>
          <w:rFonts w:eastAsia="Times New Roman" w:cs="Times New Roman"/>
        </w:rPr>
        <w:t xml:space="preserve"> assessments, referrals, coordinated care plan</w:t>
      </w:r>
      <w:r w:rsidR="003A556F" w:rsidRPr="00BF143D">
        <w:rPr>
          <w:rFonts w:eastAsia="Times New Roman" w:cs="Times New Roman"/>
        </w:rPr>
        <w:t>ning, and information exchange</w:t>
      </w:r>
      <w:r w:rsidR="00BD65A4" w:rsidRPr="00BF143D">
        <w:rPr>
          <w:rFonts w:eastAsia="Times New Roman" w:cs="Times New Roman"/>
        </w:rPr>
        <w:t xml:space="preserve"> to reflect inclusion of behavioral </w:t>
      </w:r>
      <w:r w:rsidRPr="00BF143D">
        <w:rPr>
          <w:rFonts w:eastAsia="Times New Roman" w:cs="Times New Roman"/>
        </w:rPr>
        <w:t>health coordination in the demo</w:t>
      </w:r>
      <w:r w:rsidR="00BD65A4" w:rsidRPr="00BF143D">
        <w:rPr>
          <w:rFonts w:eastAsia="Times New Roman" w:cs="Times New Roman"/>
        </w:rPr>
        <w:t>n</w:t>
      </w:r>
      <w:r w:rsidRPr="00BF143D">
        <w:rPr>
          <w:rFonts w:eastAsia="Times New Roman" w:cs="Times New Roman"/>
        </w:rPr>
        <w:t>s</w:t>
      </w:r>
      <w:r w:rsidR="00BD65A4" w:rsidRPr="00BF143D">
        <w:rPr>
          <w:rFonts w:eastAsia="Times New Roman" w:cs="Times New Roman"/>
        </w:rPr>
        <w:t>tration</w:t>
      </w:r>
      <w:r w:rsidR="00823A03" w:rsidRPr="00BF143D">
        <w:rPr>
          <w:rFonts w:eastAsia="Times New Roman" w:cs="Times New Roman"/>
        </w:rPr>
        <w:t>.</w:t>
      </w:r>
      <w:r w:rsidR="00514D8B" w:rsidRPr="00BF143D">
        <w:rPr>
          <w:rFonts w:eastAsia="Times New Roman" w:cs="Times New Roman"/>
        </w:rPr>
        <w:t xml:space="preserve"> Information sharing </w:t>
      </w:r>
      <w:r w:rsidR="00C81BCD" w:rsidRPr="00BF143D">
        <w:rPr>
          <w:rFonts w:eastAsia="Times New Roman" w:cs="Times New Roman"/>
        </w:rPr>
        <w:t xml:space="preserve">policies and procedures </w:t>
      </w:r>
      <w:r w:rsidR="00514D8B" w:rsidRPr="00BF143D">
        <w:rPr>
          <w:rFonts w:eastAsia="Times New Roman" w:cs="Times New Roman"/>
        </w:rPr>
        <w:t xml:space="preserve">should include milestones </w:t>
      </w:r>
      <w:r w:rsidR="00583F69" w:rsidRPr="00BF143D">
        <w:rPr>
          <w:rFonts w:eastAsia="Times New Roman" w:cs="Times New Roman"/>
        </w:rPr>
        <w:t xml:space="preserve">for increased sharing </w:t>
      </w:r>
      <w:r w:rsidR="00514D8B" w:rsidRPr="00BF143D">
        <w:rPr>
          <w:rFonts w:eastAsia="Times New Roman" w:cs="Times New Roman"/>
        </w:rPr>
        <w:t xml:space="preserve">over the three years, </w:t>
      </w:r>
      <w:r w:rsidR="00583F69" w:rsidRPr="00BF143D">
        <w:rPr>
          <w:rFonts w:eastAsia="Times New Roman" w:cs="Times New Roman"/>
        </w:rPr>
        <w:t xml:space="preserve">and also </w:t>
      </w:r>
      <w:r w:rsidR="00514D8B" w:rsidRPr="00BF143D">
        <w:rPr>
          <w:rFonts w:eastAsia="Times New Roman" w:cs="Times New Roman"/>
        </w:rPr>
        <w:t>includ</w:t>
      </w:r>
      <w:r w:rsidR="00583F69" w:rsidRPr="00BF143D">
        <w:rPr>
          <w:rFonts w:eastAsia="Times New Roman" w:cs="Times New Roman"/>
        </w:rPr>
        <w:t>e</w:t>
      </w:r>
      <w:r w:rsidR="00514D8B" w:rsidRPr="00BF143D">
        <w:rPr>
          <w:rFonts w:eastAsia="Times New Roman" w:cs="Times New Roman"/>
        </w:rPr>
        <w:t xml:space="preserve"> </w:t>
      </w:r>
      <w:r w:rsidR="000216C9" w:rsidRPr="00BF143D">
        <w:rPr>
          <w:rFonts w:eastAsia="Times New Roman" w:cs="Times New Roman"/>
        </w:rPr>
        <w:t xml:space="preserve">a process for </w:t>
      </w:r>
      <w:r w:rsidR="00514D8B" w:rsidRPr="00BF143D">
        <w:rPr>
          <w:rFonts w:eastAsia="Times New Roman" w:cs="Times New Roman"/>
        </w:rPr>
        <w:t>identif</w:t>
      </w:r>
      <w:r w:rsidR="000216C9" w:rsidRPr="00BF143D">
        <w:rPr>
          <w:rFonts w:eastAsia="Times New Roman" w:cs="Times New Roman"/>
        </w:rPr>
        <w:t>ying</w:t>
      </w:r>
      <w:r w:rsidR="00514D8B" w:rsidRPr="00BF143D">
        <w:rPr>
          <w:rFonts w:eastAsia="Times New Roman" w:cs="Times New Roman"/>
        </w:rPr>
        <w:t xml:space="preserve"> and tracking </w:t>
      </w:r>
      <w:r w:rsidR="00C81BCD" w:rsidRPr="00BF143D">
        <w:rPr>
          <w:rFonts w:eastAsia="Times New Roman" w:cs="Times New Roman"/>
        </w:rPr>
        <w:t xml:space="preserve">of </w:t>
      </w:r>
      <w:r w:rsidR="00514D8B" w:rsidRPr="00BF143D">
        <w:rPr>
          <w:rFonts w:eastAsia="Times New Roman" w:cs="Times New Roman"/>
        </w:rPr>
        <w:t>demonstration enrollees who receive behavioral</w:t>
      </w:r>
      <w:r w:rsidR="00C81BCD" w:rsidRPr="00BF143D">
        <w:rPr>
          <w:rFonts w:eastAsia="Times New Roman" w:cs="Times New Roman"/>
        </w:rPr>
        <w:t xml:space="preserve"> health</w:t>
      </w:r>
      <w:r w:rsidR="00514D8B" w:rsidRPr="00BF143D">
        <w:rPr>
          <w:rFonts w:eastAsia="Times New Roman" w:cs="Times New Roman"/>
        </w:rPr>
        <w:t xml:space="preserve"> services through the COUNTY.</w:t>
      </w:r>
    </w:p>
    <w:p w14:paraId="70E127BB" w14:textId="77777777" w:rsidR="00AC72A9" w:rsidRPr="00BF143D" w:rsidRDefault="003803CB" w:rsidP="00AC72A9">
      <w:pPr>
        <w:pStyle w:val="ColorfulList-Accent1"/>
        <w:numPr>
          <w:ilvl w:val="1"/>
          <w:numId w:val="14"/>
        </w:numPr>
        <w:rPr>
          <w:rFonts w:eastAsia="Times New Roman" w:cs="Times New Roman"/>
        </w:rPr>
      </w:pPr>
      <w:r w:rsidRPr="00BF143D">
        <w:t xml:space="preserve">Year 1 </w:t>
      </w:r>
      <w:r w:rsidR="00073140" w:rsidRPr="00BF143D">
        <w:t xml:space="preserve">Phase </w:t>
      </w:r>
      <w:r w:rsidRPr="00BF143D">
        <w:t>B (</w:t>
      </w:r>
      <w:r w:rsidR="00C64A5A" w:rsidRPr="00BF143D">
        <w:rPr>
          <w:rFonts w:eastAsia="Times New Roman" w:cs="Times New Roman"/>
        </w:rPr>
        <w:t>1/1/14 - 12/31/14</w:t>
      </w:r>
      <w:r w:rsidRPr="00BF143D">
        <w:rPr>
          <w:rFonts w:eastAsia="Times New Roman" w:cs="Times New Roman"/>
        </w:rPr>
        <w:t>):</w:t>
      </w:r>
      <w:r w:rsidR="00514D8B" w:rsidRPr="00BF143D">
        <w:rPr>
          <w:rFonts w:eastAsia="Times New Roman" w:cs="Times New Roman"/>
        </w:rPr>
        <w:t xml:space="preserve"> </w:t>
      </w:r>
      <w:r w:rsidR="00514D8B" w:rsidRPr="00BF143D">
        <w:t>[</w:t>
      </w:r>
      <w:r w:rsidR="00514D8B" w:rsidRPr="00BF143D">
        <w:rPr>
          <w:highlight w:val="lightGray"/>
        </w:rPr>
        <w:t>Specified</w:t>
      </w:r>
      <w:r w:rsidR="00514D8B" w:rsidRPr="00BF143D">
        <w:t xml:space="preserve">] </w:t>
      </w:r>
      <w:r w:rsidR="00514D8B" w:rsidRPr="00BF143D">
        <w:rPr>
          <w:rFonts w:eastAsia="Times New Roman" w:cs="Times New Roman"/>
        </w:rPr>
        <w:t>p</w:t>
      </w:r>
      <w:r w:rsidR="003A556F" w:rsidRPr="00BF143D">
        <w:rPr>
          <w:rFonts w:eastAsia="Times New Roman" w:cs="Times New Roman"/>
        </w:rPr>
        <w:t xml:space="preserve">ercent of demonstration enrollees identified as receiving </w:t>
      </w:r>
      <w:r w:rsidR="00C81BCD" w:rsidRPr="00BF143D">
        <w:rPr>
          <w:rFonts w:eastAsia="Times New Roman" w:cs="Times New Roman"/>
        </w:rPr>
        <w:t xml:space="preserve">Medi-Cal </w:t>
      </w:r>
      <w:r w:rsidR="003A556F" w:rsidRPr="00BF143D">
        <w:rPr>
          <w:rFonts w:eastAsia="Times New Roman" w:cs="Times New Roman"/>
        </w:rPr>
        <w:t xml:space="preserve">specialty mental health and/or Drug Medi-Cal services who have care plans that include the signature of the primary behavioral health provider, indicating </w:t>
      </w:r>
      <w:r w:rsidR="00ED1CEC" w:rsidRPr="00BF143D">
        <w:rPr>
          <w:rFonts w:eastAsia="Times New Roman" w:cs="Times New Roman"/>
        </w:rPr>
        <w:t xml:space="preserve">that </w:t>
      </w:r>
      <w:r w:rsidR="006250E4" w:rsidRPr="00BF143D">
        <w:rPr>
          <w:rFonts w:eastAsia="Times New Roman" w:cs="Times New Roman"/>
        </w:rPr>
        <w:t>care is being coordinated between the PARTIES</w:t>
      </w:r>
      <w:r w:rsidR="003A556F" w:rsidRPr="00BF143D">
        <w:rPr>
          <w:rFonts w:eastAsia="Times New Roman" w:cs="Times New Roman"/>
        </w:rPr>
        <w:t>. </w:t>
      </w:r>
    </w:p>
    <w:p w14:paraId="08BE272D" w14:textId="77777777" w:rsidR="00AC72A9" w:rsidRPr="00BF143D" w:rsidRDefault="003803CB" w:rsidP="00AC72A9">
      <w:pPr>
        <w:pStyle w:val="ColorfulList-Accent1"/>
        <w:numPr>
          <w:ilvl w:val="1"/>
          <w:numId w:val="14"/>
        </w:numPr>
        <w:rPr>
          <w:rFonts w:eastAsia="Times New Roman" w:cs="Times New Roman"/>
        </w:rPr>
      </w:pPr>
      <w:r w:rsidRPr="00BF143D">
        <w:t>Year 2</w:t>
      </w:r>
      <w:r w:rsidR="003A556F" w:rsidRPr="00BF143D">
        <w:t xml:space="preserve"> </w:t>
      </w:r>
      <w:r w:rsidR="00C64A5A" w:rsidRPr="00BF143D">
        <w:t>(1/1/15-12/31/16)</w:t>
      </w:r>
      <w:r w:rsidRPr="00BF143D">
        <w:t xml:space="preserve">: </w:t>
      </w:r>
      <w:r w:rsidR="00654577" w:rsidRPr="00BF143D">
        <w:t>[</w:t>
      </w:r>
      <w:r w:rsidR="00654577" w:rsidRPr="00BF143D">
        <w:rPr>
          <w:highlight w:val="lightGray"/>
        </w:rPr>
        <w:t>Specified</w:t>
      </w:r>
      <w:r w:rsidR="00654577" w:rsidRPr="00BF143D">
        <w:t>] p</w:t>
      </w:r>
      <w:r w:rsidR="00D46967" w:rsidRPr="00BF143D">
        <w:t xml:space="preserve">ercent </w:t>
      </w:r>
      <w:r w:rsidR="00053497" w:rsidRPr="00BF143D">
        <w:t xml:space="preserve">reduction in emergency department (ED) visits for beneficiaries with serious mental illness or indication of need for substance use treatment. </w:t>
      </w:r>
      <w:r w:rsidR="00654577" w:rsidRPr="00BF143D">
        <w:t xml:space="preserve">(Denominator = all </w:t>
      </w:r>
      <w:r w:rsidR="009F5C47" w:rsidRPr="00BF143D">
        <w:t>demonstration plan members</w:t>
      </w:r>
      <w:r w:rsidR="00654577" w:rsidRPr="00BF143D">
        <w:t xml:space="preserve">. Numerator = </w:t>
      </w:r>
      <w:r w:rsidR="00B07743" w:rsidRPr="00BF143D">
        <w:t>beneficiaries</w:t>
      </w:r>
      <w:r w:rsidR="00654577" w:rsidRPr="00BF143D">
        <w:t xml:space="preserve"> </w:t>
      </w:r>
      <w:r w:rsidR="00711AAF" w:rsidRPr="00BF143D">
        <w:t>with an</w:t>
      </w:r>
      <w:r w:rsidR="00654577" w:rsidRPr="00BF143D">
        <w:t xml:space="preserve"> indication of need serious mental illness or need for SU (AOD) treatment. Further development of exact specifications for the measure will be reflected in three-way contracts).</w:t>
      </w:r>
    </w:p>
    <w:p w14:paraId="01F18EBE" w14:textId="77777777" w:rsidR="00AC72A9" w:rsidRPr="00BF143D" w:rsidRDefault="003803CB" w:rsidP="00AC72A9">
      <w:pPr>
        <w:pStyle w:val="ColorfulList-Accent1"/>
        <w:numPr>
          <w:ilvl w:val="1"/>
          <w:numId w:val="14"/>
        </w:numPr>
        <w:ind w:left="1350"/>
        <w:rPr>
          <w:rFonts w:eastAsia="Times New Roman" w:cs="Times New Roman"/>
        </w:rPr>
      </w:pPr>
      <w:r w:rsidRPr="00BF143D">
        <w:t>Year 3</w:t>
      </w:r>
      <w:r w:rsidR="00C64A5A" w:rsidRPr="00BF143D">
        <w:t xml:space="preserve"> (1/1/16-12/31/16)</w:t>
      </w:r>
      <w:r w:rsidR="00D46967" w:rsidRPr="00BF143D">
        <w:t xml:space="preserve">: </w:t>
      </w:r>
      <w:r w:rsidR="00654577" w:rsidRPr="00BF143D">
        <w:t>[</w:t>
      </w:r>
      <w:r w:rsidR="00654577" w:rsidRPr="00BF143D">
        <w:rPr>
          <w:highlight w:val="lightGray"/>
        </w:rPr>
        <w:t>Specified</w:t>
      </w:r>
      <w:r w:rsidR="00654577" w:rsidRPr="00BF143D">
        <w:t>] p</w:t>
      </w:r>
      <w:r w:rsidR="00D46967" w:rsidRPr="00BF143D">
        <w:t xml:space="preserve">ercent </w:t>
      </w:r>
      <w:r w:rsidRPr="00BF143D">
        <w:t xml:space="preserve">reduction </w:t>
      </w:r>
      <w:r w:rsidR="00654577" w:rsidRPr="00BF143D">
        <w:t xml:space="preserve">(greater than Year 2) </w:t>
      </w:r>
      <w:r w:rsidR="009D0A84" w:rsidRPr="00BF143D">
        <w:t xml:space="preserve">from the baseline </w:t>
      </w:r>
      <w:r w:rsidRPr="00BF143D">
        <w:t>in emergency department (ED) visits for beneficiaries with serious mental illness or indication of ne</w:t>
      </w:r>
      <w:r w:rsidR="00514D8B" w:rsidRPr="00BF143D">
        <w:t xml:space="preserve">ed for </w:t>
      </w:r>
      <w:r w:rsidR="009D0A84" w:rsidRPr="00BF143D">
        <w:t>substance use treatment</w:t>
      </w:r>
      <w:r w:rsidR="00397AA4" w:rsidRPr="00BF143D">
        <w:t>.</w:t>
      </w:r>
    </w:p>
    <w:p w14:paraId="2AFDB4A4" w14:textId="77777777" w:rsidR="006C651A" w:rsidRPr="00BF143D" w:rsidRDefault="00AC72A9" w:rsidP="00AC72A9">
      <w:pPr>
        <w:pStyle w:val="ColorfulList-Accent1"/>
        <w:ind w:left="1080" w:hanging="270"/>
        <w:rPr>
          <w:rFonts w:eastAsia="Times New Roman" w:cs="Times New Roman"/>
        </w:rPr>
      </w:pPr>
      <w:r w:rsidRPr="00BF143D">
        <w:t xml:space="preserve">2. </w:t>
      </w:r>
      <w:r w:rsidR="00434F15" w:rsidRPr="00BF143D">
        <w:t xml:space="preserve">The </w:t>
      </w:r>
      <w:r w:rsidR="006250E4" w:rsidRPr="00BF143D">
        <w:t xml:space="preserve">PLAN and COUNTY </w:t>
      </w:r>
      <w:r w:rsidR="00434F15" w:rsidRPr="00BF143D">
        <w:t xml:space="preserve">agree that if the specified shared accountability measure is met in each year, the </w:t>
      </w:r>
      <w:r w:rsidR="00E222FF" w:rsidRPr="00BF143D">
        <w:t>PLAN</w:t>
      </w:r>
      <w:r w:rsidR="00434F15" w:rsidRPr="00BF143D">
        <w:t xml:space="preserve"> will provide an incentive payment to the </w:t>
      </w:r>
      <w:r w:rsidR="00E222FF" w:rsidRPr="00BF143D">
        <w:t>COUNTY</w:t>
      </w:r>
      <w:r w:rsidR="00434F15" w:rsidRPr="00BF143D">
        <w:t xml:space="preserve"> </w:t>
      </w:r>
      <w:r w:rsidR="00E222FF" w:rsidRPr="00BF143D">
        <w:t>under mutually a</w:t>
      </w:r>
      <w:r w:rsidR="009D0A84" w:rsidRPr="00BF143D">
        <w:t>greeable terms</w:t>
      </w:r>
      <w:r w:rsidR="00E222FF" w:rsidRPr="00BF143D">
        <w:t>.</w:t>
      </w:r>
      <w:r w:rsidR="000D70CE" w:rsidRPr="00BF143D">
        <w:t xml:space="preserve"> This payment will be structured in a way so it does not offset the county’s Certified Public Expenditure (CPE).</w:t>
      </w:r>
    </w:p>
    <w:p w14:paraId="6207B219" w14:textId="77777777" w:rsidR="00C00EC1" w:rsidRPr="00BF143D" w:rsidRDefault="006C651A" w:rsidP="00AC72A9">
      <w:pPr>
        <w:pStyle w:val="ColorfulList-Accent1"/>
        <w:numPr>
          <w:ilvl w:val="1"/>
          <w:numId w:val="16"/>
        </w:numPr>
        <w:ind w:left="1080"/>
        <w:rPr>
          <w:b/>
        </w:rPr>
      </w:pPr>
      <w:r w:rsidRPr="00BF143D">
        <w:rPr>
          <w:b/>
        </w:rPr>
        <w:t>Provider and Member Education</w:t>
      </w:r>
    </w:p>
    <w:p w14:paraId="5C48549A" w14:textId="77777777" w:rsidR="000D4E4E" w:rsidRPr="00BF143D" w:rsidRDefault="00C00EC1" w:rsidP="00DB6C1E">
      <w:pPr>
        <w:pStyle w:val="ColorfulList-Accent1"/>
        <w:ind w:left="1080"/>
        <w:sectPr w:rsidR="000D4E4E" w:rsidRPr="00BF143D" w:rsidSect="000D4E4E">
          <w:headerReference w:type="even" r:id="rId13"/>
          <w:headerReference w:type="default" r:id="rId14"/>
          <w:footerReference w:type="even" r:id="rId15"/>
          <w:footerReference w:type="default" r:id="rId16"/>
          <w:headerReference w:type="first" r:id="rId17"/>
          <w:footerReference w:type="first" r:id="rId18"/>
          <w:pgSz w:w="12240" w:h="15840"/>
          <w:pgMar w:top="1368" w:right="1368" w:bottom="864" w:left="1296" w:header="288" w:footer="432" w:gutter="0"/>
          <w:cols w:space="720"/>
        </w:sectPr>
      </w:pPr>
      <w:r w:rsidRPr="00BF143D">
        <w:t xml:space="preserve">The </w:t>
      </w:r>
      <w:r w:rsidR="006250E4" w:rsidRPr="00BF143D">
        <w:t xml:space="preserve">PLAN and COUNTY will each </w:t>
      </w:r>
      <w:r w:rsidRPr="00BF143D">
        <w:t>develop</w:t>
      </w:r>
      <w:r w:rsidR="006250E4" w:rsidRPr="00BF143D">
        <w:t>, in coordination with one another,</w:t>
      </w:r>
      <w:r w:rsidRPr="00BF143D">
        <w:t xml:space="preserve"> education materials and programs for </w:t>
      </w:r>
      <w:r w:rsidR="006250E4" w:rsidRPr="00BF143D">
        <w:t xml:space="preserve">their </w:t>
      </w:r>
      <w:r w:rsidRPr="00BF143D">
        <w:t xml:space="preserve">members and providers about the availability of behavioral health services, including </w:t>
      </w:r>
      <w:r w:rsidR="006250E4" w:rsidRPr="00BF143D">
        <w:t xml:space="preserve">roles and responsibilities in the demonstration and </w:t>
      </w:r>
      <w:r w:rsidRPr="00BF143D">
        <w:t xml:space="preserve">care coordination </w:t>
      </w:r>
      <w:r w:rsidR="006250E4" w:rsidRPr="00BF143D">
        <w:t>policies and procedures</w:t>
      </w:r>
      <w:r w:rsidRPr="00BF143D">
        <w:t xml:space="preserve">. </w:t>
      </w:r>
      <w:r w:rsidR="006250E4" w:rsidRPr="00BF143D">
        <w:t>At a minimum, e</w:t>
      </w:r>
      <w:r w:rsidRPr="00BF143D">
        <w:t>ducation will include</w:t>
      </w:r>
      <w:r w:rsidR="006250E4" w:rsidRPr="00BF143D">
        <w:t xml:space="preserve"> i</w:t>
      </w:r>
      <w:r w:rsidRPr="00BF143D">
        <w:t xml:space="preserve">nitial and regularly scheduled provider </w:t>
      </w:r>
      <w:r w:rsidRPr="00BF143D">
        <w:lastRenderedPageBreak/>
        <w:t xml:space="preserve">trainings (at </w:t>
      </w:r>
      <w:r w:rsidR="006250E4" w:rsidRPr="00BF143D">
        <w:t>least</w:t>
      </w:r>
      <w:r w:rsidRPr="00BF143D">
        <w:t xml:space="preserve"> annually)</w:t>
      </w:r>
      <w:r w:rsidR="006250E4" w:rsidRPr="00BF143D">
        <w:t>, and a</w:t>
      </w:r>
      <w:r w:rsidRPr="00BF143D">
        <w:t xml:space="preserve"> provider manual that includes information regarding access to services, the beneficiary problem resolution processes, authorization process, provider cultural and linguistic requirements and regulatory and contractual requirements.</w:t>
      </w:r>
    </w:p>
    <w:p w14:paraId="5DE28AE2" w14:textId="77777777" w:rsidR="00847483" w:rsidRPr="00BF143D" w:rsidRDefault="00847483" w:rsidP="00847483">
      <w:pPr>
        <w:pStyle w:val="Header"/>
        <w:jc w:val="center"/>
        <w:rPr>
          <w:b/>
          <w:sz w:val="28"/>
          <w:szCs w:val="22"/>
        </w:rPr>
      </w:pPr>
      <w:r w:rsidRPr="00BF143D">
        <w:rPr>
          <w:b/>
          <w:sz w:val="28"/>
          <w:szCs w:val="22"/>
        </w:rPr>
        <w:lastRenderedPageBreak/>
        <w:t>Attachment 1: Behavioral Health Benefits in the Duals Demonstration</w:t>
      </w:r>
    </w:p>
    <w:p w14:paraId="56F6F25E" w14:textId="77777777" w:rsidR="00847483" w:rsidRPr="00BF143D" w:rsidRDefault="00847483" w:rsidP="00847483">
      <w:pPr>
        <w:widowControl w:val="0"/>
        <w:autoSpaceDE w:val="0"/>
        <w:autoSpaceDN w:val="0"/>
        <w:adjustRightInd w:val="0"/>
        <w:spacing w:before="120"/>
        <w:jc w:val="center"/>
      </w:pPr>
      <w:r w:rsidRPr="00BF143D">
        <w:t>Coverage Responsibility Matrix</w:t>
      </w:r>
    </w:p>
    <w:p w14:paraId="5ABCDA10" w14:textId="77777777" w:rsidR="00847483" w:rsidRPr="00BF143D" w:rsidRDefault="00847483" w:rsidP="00847483">
      <w:pPr>
        <w:widowControl w:val="0"/>
        <w:autoSpaceDE w:val="0"/>
        <w:autoSpaceDN w:val="0"/>
        <w:adjustRightInd w:val="0"/>
        <w:spacing w:before="120"/>
      </w:pPr>
      <w:r w:rsidRPr="00BF143D">
        <w:t xml:space="preserve">Health Plans will be responsible for providing enrollees access to all medically necessary behavioral health (mental health and substance abuse treatment) services currently covered by Medicare and Medicaid. </w:t>
      </w:r>
    </w:p>
    <w:p w14:paraId="1A067075" w14:textId="77777777" w:rsidR="00847483" w:rsidRPr="00BF143D" w:rsidRDefault="00847483" w:rsidP="00847483">
      <w:pPr>
        <w:widowControl w:val="0"/>
        <w:autoSpaceDE w:val="0"/>
        <w:autoSpaceDN w:val="0"/>
        <w:adjustRightInd w:val="0"/>
        <w:spacing w:before="120"/>
      </w:pPr>
      <w:r w:rsidRPr="00BF143D">
        <w:t xml:space="preserve">While all Medicare-covered behavioral health services will be the responsibility of the health plans under the demonstration, Medi-Cal specialty mental health services that are not covered by Medicare and Drug Medi-Cal benefits will not be included in the capitated payment made to the participating health plans (i.e. they will be “carved out). Demonstration plans will coordinate with county agencies to ensure enrollees have seamless access to these services. </w:t>
      </w:r>
    </w:p>
    <w:p w14:paraId="0414E76A" w14:textId="77777777" w:rsidR="00847483" w:rsidRPr="00BF143D" w:rsidRDefault="00847483" w:rsidP="00847483">
      <w:pPr>
        <w:widowControl w:val="0"/>
        <w:autoSpaceDE w:val="0"/>
        <w:autoSpaceDN w:val="0"/>
        <w:adjustRightInd w:val="0"/>
        <w:spacing w:before="120"/>
      </w:pPr>
      <w:r w:rsidRPr="00BF143D">
        <w:t xml:space="preserve">Attached are two tables </w:t>
      </w:r>
      <w:r w:rsidR="00B272A3" w:rsidRPr="00BF143D">
        <w:t xml:space="preserve">(Coverage Matrix 1+2) </w:t>
      </w:r>
      <w:r w:rsidRPr="00BF143D">
        <w:t>that list the available mental health and substance use benefits and describe whether Medicare or Medi-Cal is the primary payer, and therefore whether the health plan or county will be primarily financially responsible for the services.</w:t>
      </w:r>
    </w:p>
    <w:p w14:paraId="30FE75BF" w14:textId="77777777" w:rsidR="00847483" w:rsidRPr="00BF143D" w:rsidRDefault="00847483" w:rsidP="00847483">
      <w:pPr>
        <w:widowControl w:val="0"/>
        <w:autoSpaceDE w:val="0"/>
        <w:autoSpaceDN w:val="0"/>
        <w:adjustRightInd w:val="0"/>
        <w:spacing w:before="120"/>
      </w:pPr>
      <w:r w:rsidRPr="00BF143D">
        <w:t xml:space="preserve">To determine responsibility for covering Medi-Cal specialty mental health services, health plans and counties will follow the medical necessity criteria for specialty mental health services available per California’s 1915(b) waiver and State Plan Amendments for targeted case management and expanded services under the Rehabilitation Option, described in Title 9, California Code of Regulations (CCR), Sections 1820.205, 1830.205, and 1830.210. </w:t>
      </w:r>
    </w:p>
    <w:p w14:paraId="2CF7E89E" w14:textId="77777777" w:rsidR="00847483" w:rsidRPr="00BF143D" w:rsidRDefault="00847483" w:rsidP="00847483">
      <w:pPr>
        <w:widowControl w:val="0"/>
        <w:autoSpaceDE w:val="0"/>
        <w:autoSpaceDN w:val="0"/>
        <w:adjustRightInd w:val="0"/>
        <w:spacing w:before="120"/>
      </w:pPr>
      <w:r w:rsidRPr="00BF143D">
        <w:t xml:space="preserve">Outpatient medical necessity criteria can be summarized as the following: </w:t>
      </w:r>
    </w:p>
    <w:p w14:paraId="3DA3D322" w14:textId="77777777" w:rsidR="00847483" w:rsidRPr="00BF143D" w:rsidRDefault="00847483" w:rsidP="00847483">
      <w:pPr>
        <w:widowControl w:val="0"/>
        <w:numPr>
          <w:ilvl w:val="0"/>
          <w:numId w:val="17"/>
        </w:numPr>
        <w:autoSpaceDE w:val="0"/>
        <w:autoSpaceDN w:val="0"/>
        <w:adjustRightInd w:val="0"/>
        <w:spacing w:before="120" w:after="0" w:line="240" w:lineRule="auto"/>
      </w:pPr>
      <w:r w:rsidRPr="00BF143D">
        <w:t xml:space="preserve">Diagnosis – one or more of the specified Diagnostic and Statistical Manual of Mental Disorders; </w:t>
      </w:r>
    </w:p>
    <w:p w14:paraId="50E7A21B" w14:textId="77777777" w:rsidR="00847483" w:rsidRPr="00BF143D" w:rsidRDefault="00847483" w:rsidP="00847483">
      <w:pPr>
        <w:widowControl w:val="0"/>
        <w:numPr>
          <w:ilvl w:val="0"/>
          <w:numId w:val="17"/>
        </w:numPr>
        <w:autoSpaceDE w:val="0"/>
        <w:autoSpaceDN w:val="0"/>
        <w:adjustRightInd w:val="0"/>
        <w:spacing w:before="120" w:after="0" w:line="240" w:lineRule="auto"/>
      </w:pPr>
      <w:r w:rsidRPr="00BF143D">
        <w:t xml:space="preserve">Impairment – significant impairment or probability of deterioration in an important area of life functioning, or for children a probability the child won’t progress appropriately; </w:t>
      </w:r>
    </w:p>
    <w:p w14:paraId="6142CF15" w14:textId="77777777" w:rsidR="00847483" w:rsidRPr="00BF143D" w:rsidRDefault="00847483" w:rsidP="00847483">
      <w:pPr>
        <w:widowControl w:val="0"/>
        <w:numPr>
          <w:ilvl w:val="0"/>
          <w:numId w:val="17"/>
        </w:numPr>
        <w:autoSpaceDE w:val="0"/>
        <w:autoSpaceDN w:val="0"/>
        <w:adjustRightInd w:val="0"/>
        <w:spacing w:before="120" w:after="0" w:line="240" w:lineRule="auto"/>
      </w:pPr>
      <w:r w:rsidRPr="00BF143D">
        <w:t xml:space="preserve">Intervention: services must address the impairment, be expected to significantly improve the condition, and the condition is not responsive to physical health </w:t>
      </w:r>
      <w:proofErr w:type="gramStart"/>
      <w:r w:rsidRPr="00BF143D">
        <w:t>care based</w:t>
      </w:r>
      <w:proofErr w:type="gramEnd"/>
      <w:r w:rsidRPr="00BF143D">
        <w:t xml:space="preserve"> treatment.</w:t>
      </w:r>
    </w:p>
    <w:p w14:paraId="5B0F3A56" w14:textId="77777777" w:rsidR="00847483" w:rsidRPr="00BF143D" w:rsidRDefault="00847483" w:rsidP="00847483">
      <w:pPr>
        <w:widowControl w:val="0"/>
        <w:autoSpaceDE w:val="0"/>
        <w:autoSpaceDN w:val="0"/>
        <w:adjustRightInd w:val="0"/>
        <w:spacing w:before="120"/>
      </w:pPr>
      <w:r w:rsidRPr="00BF143D">
        <w:t>To determine medical necessity for Drug Medi-Cal Substance Abuse Services, health plans and counties will follow Title 22, California Code of Regulations Section 51303 and 54301. Services shall be prescribed by a physician</w:t>
      </w:r>
      <w:r w:rsidRPr="00BF143D">
        <w:rPr>
          <w:szCs w:val="18"/>
        </w:rPr>
        <w:t xml:space="preserve">, and are subject to utilization controls, as set forth in Title 22 Section 51159. </w:t>
      </w:r>
    </w:p>
    <w:p w14:paraId="723DC9AF" w14:textId="77777777" w:rsidR="00847483" w:rsidRPr="00BF143D" w:rsidRDefault="00847483" w:rsidP="00847483">
      <w:pPr>
        <w:widowControl w:val="0"/>
        <w:autoSpaceDE w:val="0"/>
        <w:autoSpaceDN w:val="0"/>
        <w:adjustRightInd w:val="0"/>
        <w:spacing w:before="120"/>
      </w:pPr>
      <w:r w:rsidRPr="00BF143D">
        <w:t>To determine medical necessity for Drug Medi-Cal Substance Abuse Services, health plans and counties will follow Title 22, California Code of Regulations Section 51303 and 54301. Services shall be prescribed by a physician</w:t>
      </w:r>
      <w:r w:rsidRPr="00BF143D">
        <w:rPr>
          <w:szCs w:val="18"/>
        </w:rPr>
        <w:t xml:space="preserve">, and are subject to utilization controls, as set forth in Title 22 Section 51159. </w:t>
      </w:r>
    </w:p>
    <w:p w14:paraId="476F339D" w14:textId="77777777" w:rsidR="00847483" w:rsidRPr="00BF143D" w:rsidRDefault="00847483">
      <w:pPr>
        <w:spacing w:after="0" w:line="240" w:lineRule="auto"/>
      </w:pPr>
      <w:r w:rsidRPr="00BF143D">
        <w:br w:type="page"/>
      </w:r>
    </w:p>
    <w:p w14:paraId="101BDD63" w14:textId="77777777" w:rsidR="00847483" w:rsidRPr="00BF143D" w:rsidRDefault="00847483" w:rsidP="00847483">
      <w:pPr>
        <w:jc w:val="center"/>
        <w:rPr>
          <w:b/>
          <w:szCs w:val="22"/>
        </w:rPr>
      </w:pPr>
      <w:r w:rsidRPr="00BF143D">
        <w:rPr>
          <w:b/>
          <w:szCs w:val="22"/>
        </w:rPr>
        <w:lastRenderedPageBreak/>
        <w:t>Coverage Matrix 1: Mental Health Benefits</w:t>
      </w:r>
    </w:p>
    <w:p w14:paraId="1808E028" w14:textId="77777777" w:rsidR="00847483" w:rsidRPr="00BF143D" w:rsidRDefault="00847483" w:rsidP="00847483">
      <w:pPr>
        <w:widowControl w:val="0"/>
        <w:tabs>
          <w:tab w:val="left" w:pos="2780"/>
        </w:tabs>
        <w:autoSpaceDE w:val="0"/>
        <w:autoSpaceDN w:val="0"/>
        <w:adjustRightInd w:val="0"/>
        <w:spacing w:before="120"/>
        <w:rPr>
          <w:sz w:val="20"/>
          <w:szCs w:val="20"/>
        </w:rPr>
      </w:pPr>
    </w:p>
    <w:tbl>
      <w:tblPr>
        <w:tblStyle w:val="GridTable4-Accent3"/>
        <w:tblpPr w:leftFromText="180" w:rightFromText="180" w:vertAnchor="text" w:horzAnchor="page" w:tblpX="649" w:tblpY="-358"/>
        <w:tblW w:w="11268" w:type="dxa"/>
        <w:tblLayout w:type="fixed"/>
        <w:tblLook w:val="00A0" w:firstRow="1" w:lastRow="0" w:firstColumn="1" w:lastColumn="0" w:noHBand="0" w:noVBand="0"/>
      </w:tblPr>
      <w:tblGrid>
        <w:gridCol w:w="2088"/>
        <w:gridCol w:w="4590"/>
        <w:gridCol w:w="1746"/>
        <w:gridCol w:w="2844"/>
      </w:tblGrid>
      <w:tr w:rsidR="00BF143D" w:rsidRPr="00BF143D" w14:paraId="12F99780" w14:textId="77777777" w:rsidTr="00BF143D">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088" w:type="dxa"/>
          </w:tcPr>
          <w:p w14:paraId="278C130F" w14:textId="77777777" w:rsidR="00847483" w:rsidRPr="00BF143D" w:rsidRDefault="00847483" w:rsidP="00847483">
            <w:pPr>
              <w:spacing w:after="0"/>
              <w:jc w:val="center"/>
              <w:rPr>
                <w:b w:val="0"/>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590" w:type="dxa"/>
          </w:tcPr>
          <w:p w14:paraId="43C3E697" w14:textId="77777777" w:rsidR="00847483" w:rsidRPr="00BF143D" w:rsidRDefault="00847483" w:rsidP="00847483">
            <w:pPr>
              <w:spacing w:after="0"/>
              <w:jc w:val="center"/>
              <w:rPr>
                <w:b w:val="0"/>
                <w:color w:val="auto"/>
                <w:sz w:val="22"/>
                <w:szCs w:val="22"/>
              </w:rPr>
            </w:pPr>
            <w:r w:rsidRPr="00BF143D">
              <w:rPr>
                <w:b w:val="0"/>
                <w:color w:val="auto"/>
                <w:sz w:val="22"/>
                <w:szCs w:val="22"/>
              </w:rPr>
              <w:t>Type of Service</w:t>
            </w:r>
          </w:p>
        </w:tc>
        <w:tc>
          <w:tcPr>
            <w:tcW w:w="1746" w:type="dxa"/>
          </w:tcPr>
          <w:p w14:paraId="4D71F4EA" w14:textId="77777777" w:rsidR="00847483" w:rsidRPr="00BF143D" w:rsidRDefault="00847483" w:rsidP="00847483">
            <w:pPr>
              <w:spacing w:after="0"/>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BF143D">
              <w:rPr>
                <w:b w:val="0"/>
                <w:color w:val="auto"/>
                <w:sz w:val="22"/>
                <w:szCs w:val="22"/>
              </w:rPr>
              <w:t>Primary Payer</w:t>
            </w:r>
          </w:p>
        </w:tc>
        <w:tc>
          <w:tcPr>
            <w:cnfStyle w:val="000010000000" w:firstRow="0" w:lastRow="0" w:firstColumn="0" w:lastColumn="0" w:oddVBand="1" w:evenVBand="0" w:oddHBand="0" w:evenHBand="0" w:firstRowFirstColumn="0" w:firstRowLastColumn="0" w:lastRowFirstColumn="0" w:lastRowLastColumn="0"/>
            <w:tcW w:w="2844" w:type="dxa"/>
          </w:tcPr>
          <w:p w14:paraId="27CD887B" w14:textId="77777777" w:rsidR="00847483" w:rsidRPr="00BF143D" w:rsidRDefault="00847483" w:rsidP="00847483">
            <w:pPr>
              <w:spacing w:after="0"/>
              <w:jc w:val="center"/>
              <w:rPr>
                <w:b w:val="0"/>
                <w:color w:val="auto"/>
                <w:sz w:val="22"/>
                <w:szCs w:val="22"/>
              </w:rPr>
            </w:pPr>
            <w:r w:rsidRPr="00BF143D">
              <w:rPr>
                <w:b w:val="0"/>
                <w:color w:val="auto"/>
                <w:sz w:val="22"/>
                <w:szCs w:val="22"/>
              </w:rPr>
              <w:t>Primary financial responsibility under the Demonstration</w:t>
            </w:r>
          </w:p>
        </w:tc>
      </w:tr>
      <w:tr w:rsidR="00BF143D" w:rsidRPr="00BF143D" w14:paraId="57CF7E4F" w14:textId="77777777" w:rsidTr="00BF143D">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088" w:type="dxa"/>
            <w:vMerge w:val="restart"/>
          </w:tcPr>
          <w:p w14:paraId="0C35C18D" w14:textId="77777777" w:rsidR="00847483" w:rsidRPr="00BF143D" w:rsidRDefault="00847483" w:rsidP="00847483">
            <w:pPr>
              <w:spacing w:after="0"/>
              <w:rPr>
                <w:sz w:val="19"/>
                <w:szCs w:val="19"/>
              </w:rPr>
            </w:pPr>
            <w:r w:rsidRPr="00BF143D">
              <w:rPr>
                <w:b w:val="0"/>
                <w:sz w:val="19"/>
                <w:szCs w:val="19"/>
              </w:rPr>
              <w:t>Psychiatric inpatient care in a general acute hospital</w:t>
            </w:r>
            <w:r w:rsidRPr="00BF143D">
              <w:rPr>
                <w:rStyle w:val="FootnoteReference"/>
                <w:b w:val="0"/>
                <w:sz w:val="19"/>
                <w:szCs w:val="19"/>
              </w:rPr>
              <w:footnoteReference w:id="2"/>
            </w:r>
          </w:p>
        </w:tc>
        <w:tc>
          <w:tcPr>
            <w:cnfStyle w:val="000010000000" w:firstRow="0" w:lastRow="0" w:firstColumn="0" w:lastColumn="0" w:oddVBand="1" w:evenVBand="0" w:oddHBand="0" w:evenHBand="0" w:firstRowFirstColumn="0" w:firstRowLastColumn="0" w:lastRowFirstColumn="0" w:lastRowLastColumn="0"/>
            <w:tcW w:w="4590" w:type="dxa"/>
          </w:tcPr>
          <w:p w14:paraId="054EEC9B" w14:textId="77777777" w:rsidR="00847483" w:rsidRPr="00BF143D" w:rsidRDefault="00847483" w:rsidP="00847483">
            <w:pPr>
              <w:spacing w:after="0"/>
              <w:rPr>
                <w:sz w:val="19"/>
                <w:szCs w:val="19"/>
              </w:rPr>
            </w:pPr>
            <w:r w:rsidRPr="00BF143D">
              <w:rPr>
                <w:sz w:val="19"/>
                <w:szCs w:val="19"/>
              </w:rPr>
              <w:t>Facility Charge</w:t>
            </w:r>
          </w:p>
        </w:tc>
        <w:tc>
          <w:tcPr>
            <w:tcW w:w="1746" w:type="dxa"/>
            <w:vMerge w:val="restart"/>
          </w:tcPr>
          <w:p w14:paraId="3FD7BA7E" w14:textId="77777777" w:rsidR="00847483" w:rsidRPr="00BF143D" w:rsidRDefault="00847483" w:rsidP="00847483">
            <w:pPr>
              <w:spacing w:after="0"/>
              <w:jc w:val="center"/>
              <w:cnfStyle w:val="000000100000" w:firstRow="0" w:lastRow="0" w:firstColumn="0" w:lastColumn="0" w:oddVBand="0" w:evenVBand="0" w:oddHBand="1" w:evenHBand="0" w:firstRowFirstColumn="0" w:firstRowLastColumn="0" w:lastRowFirstColumn="0" w:lastRowLastColumn="0"/>
              <w:rPr>
                <w:b/>
                <w:sz w:val="19"/>
                <w:szCs w:val="19"/>
              </w:rPr>
            </w:pPr>
            <w:r w:rsidRPr="00BF143D">
              <w:rPr>
                <w:b/>
                <w:sz w:val="19"/>
                <w:szCs w:val="19"/>
              </w:rPr>
              <w:t>Medicare</w:t>
            </w:r>
          </w:p>
        </w:tc>
        <w:tc>
          <w:tcPr>
            <w:cnfStyle w:val="000010000000" w:firstRow="0" w:lastRow="0" w:firstColumn="0" w:lastColumn="0" w:oddVBand="1" w:evenVBand="0" w:oddHBand="0" w:evenHBand="0" w:firstRowFirstColumn="0" w:firstRowLastColumn="0" w:lastRowFirstColumn="0" w:lastRowLastColumn="0"/>
            <w:tcW w:w="2844" w:type="dxa"/>
            <w:vMerge w:val="restart"/>
          </w:tcPr>
          <w:p w14:paraId="521A58DA" w14:textId="77777777" w:rsidR="00847483" w:rsidRPr="00BF143D" w:rsidRDefault="00847483" w:rsidP="00847483">
            <w:pPr>
              <w:spacing w:after="0"/>
              <w:jc w:val="center"/>
              <w:rPr>
                <w:sz w:val="19"/>
                <w:szCs w:val="19"/>
              </w:rPr>
            </w:pPr>
            <w:r w:rsidRPr="00BF143D">
              <w:rPr>
                <w:sz w:val="19"/>
                <w:szCs w:val="19"/>
              </w:rPr>
              <w:t xml:space="preserve">Health Plan </w:t>
            </w:r>
          </w:p>
        </w:tc>
      </w:tr>
      <w:tr w:rsidR="00BF143D" w:rsidRPr="00BF143D" w14:paraId="1C2DC3C0" w14:textId="77777777" w:rsidTr="00BF143D">
        <w:trPr>
          <w:trHeight w:val="653"/>
        </w:trPr>
        <w:tc>
          <w:tcPr>
            <w:cnfStyle w:val="001000000000" w:firstRow="0" w:lastRow="0" w:firstColumn="1" w:lastColumn="0" w:oddVBand="0" w:evenVBand="0" w:oddHBand="0" w:evenHBand="0" w:firstRowFirstColumn="0" w:firstRowLastColumn="0" w:lastRowFirstColumn="0" w:lastRowLastColumn="0"/>
            <w:tcW w:w="2088" w:type="dxa"/>
            <w:vMerge/>
          </w:tcPr>
          <w:p w14:paraId="4E2D71BE" w14:textId="77777777" w:rsidR="00847483" w:rsidRPr="00BF143D" w:rsidRDefault="00847483" w:rsidP="00847483">
            <w:pPr>
              <w:spacing w:after="0"/>
              <w:rPr>
                <w:sz w:val="19"/>
                <w:szCs w:val="19"/>
              </w:rPr>
            </w:pPr>
          </w:p>
        </w:tc>
        <w:tc>
          <w:tcPr>
            <w:cnfStyle w:val="000010000000" w:firstRow="0" w:lastRow="0" w:firstColumn="0" w:lastColumn="0" w:oddVBand="1" w:evenVBand="0" w:oddHBand="0" w:evenHBand="0" w:firstRowFirstColumn="0" w:firstRowLastColumn="0" w:lastRowFirstColumn="0" w:lastRowLastColumn="0"/>
            <w:tcW w:w="4590" w:type="dxa"/>
          </w:tcPr>
          <w:p w14:paraId="40716615" w14:textId="77777777" w:rsidR="00847483" w:rsidRPr="00BF143D" w:rsidRDefault="00847483" w:rsidP="00847483">
            <w:pPr>
              <w:spacing w:after="0"/>
              <w:rPr>
                <w:sz w:val="19"/>
                <w:szCs w:val="19"/>
              </w:rPr>
            </w:pPr>
            <w:r w:rsidRPr="00BF143D">
              <w:rPr>
                <w:sz w:val="19"/>
                <w:szCs w:val="19"/>
              </w:rPr>
              <w:t>Psychiatric professional, pharmacy, ancillary, and medical professional services charges</w:t>
            </w:r>
            <w:r w:rsidRPr="00BF143D">
              <w:rPr>
                <w:rStyle w:val="FootnoteReference"/>
                <w:sz w:val="19"/>
                <w:szCs w:val="19"/>
              </w:rPr>
              <w:t xml:space="preserve"> </w:t>
            </w:r>
            <w:r w:rsidRPr="00BF143D">
              <w:rPr>
                <w:rStyle w:val="FootnoteReference"/>
                <w:sz w:val="19"/>
                <w:szCs w:val="19"/>
              </w:rPr>
              <w:footnoteReference w:id="3"/>
            </w:r>
          </w:p>
        </w:tc>
        <w:tc>
          <w:tcPr>
            <w:tcW w:w="1746" w:type="dxa"/>
            <w:vMerge/>
          </w:tcPr>
          <w:p w14:paraId="59660839"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i/>
                <w:sz w:val="19"/>
                <w:szCs w:val="19"/>
              </w:rPr>
            </w:pPr>
          </w:p>
        </w:tc>
        <w:tc>
          <w:tcPr>
            <w:cnfStyle w:val="000010000000" w:firstRow="0" w:lastRow="0" w:firstColumn="0" w:lastColumn="0" w:oddVBand="1" w:evenVBand="0" w:oddHBand="0" w:evenHBand="0" w:firstRowFirstColumn="0" w:firstRowLastColumn="0" w:lastRowFirstColumn="0" w:lastRowLastColumn="0"/>
            <w:tcW w:w="2844" w:type="dxa"/>
            <w:vMerge/>
          </w:tcPr>
          <w:p w14:paraId="3A564F52" w14:textId="77777777" w:rsidR="00847483" w:rsidRPr="00BF143D" w:rsidRDefault="00847483" w:rsidP="00847483">
            <w:pPr>
              <w:spacing w:after="0"/>
              <w:jc w:val="center"/>
              <w:rPr>
                <w:sz w:val="19"/>
                <w:szCs w:val="19"/>
              </w:rPr>
            </w:pPr>
          </w:p>
        </w:tc>
      </w:tr>
      <w:tr w:rsidR="00BF143D" w:rsidRPr="00BF143D" w14:paraId="05003EFF" w14:textId="77777777" w:rsidTr="00BF14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88" w:type="dxa"/>
            <w:vMerge w:val="restart"/>
          </w:tcPr>
          <w:p w14:paraId="22BB50C1" w14:textId="77777777" w:rsidR="00847483" w:rsidRPr="00BF143D" w:rsidRDefault="00847483" w:rsidP="00847483">
            <w:pPr>
              <w:spacing w:after="0"/>
              <w:rPr>
                <w:b w:val="0"/>
                <w:sz w:val="19"/>
                <w:szCs w:val="19"/>
              </w:rPr>
            </w:pPr>
            <w:r w:rsidRPr="00BF143D">
              <w:rPr>
                <w:b w:val="0"/>
                <w:sz w:val="19"/>
                <w:szCs w:val="19"/>
              </w:rPr>
              <w:t>Inpatient care in free-standing psychiatric facilities</w:t>
            </w:r>
            <w:r w:rsidRPr="00BF143D">
              <w:rPr>
                <w:rStyle w:val="FootnoteReference"/>
                <w:sz w:val="19"/>
                <w:szCs w:val="19"/>
              </w:rPr>
              <w:footnoteReference w:id="4"/>
            </w:r>
          </w:p>
        </w:tc>
        <w:tc>
          <w:tcPr>
            <w:cnfStyle w:val="000010000000" w:firstRow="0" w:lastRow="0" w:firstColumn="0" w:lastColumn="0" w:oddVBand="1" w:evenVBand="0" w:oddHBand="0" w:evenHBand="0" w:firstRowFirstColumn="0" w:firstRowLastColumn="0" w:lastRowFirstColumn="0" w:lastRowLastColumn="0"/>
            <w:tcW w:w="4590" w:type="dxa"/>
          </w:tcPr>
          <w:p w14:paraId="0715B1D7" w14:textId="77777777" w:rsidR="00847483" w:rsidRPr="00BF143D" w:rsidRDefault="00847483" w:rsidP="00847483">
            <w:pPr>
              <w:spacing w:after="0"/>
              <w:rPr>
                <w:sz w:val="19"/>
                <w:szCs w:val="19"/>
              </w:rPr>
            </w:pPr>
            <w:r w:rsidRPr="00BF143D">
              <w:rPr>
                <w:sz w:val="19"/>
                <w:szCs w:val="19"/>
              </w:rPr>
              <w:t>Facility Charge</w:t>
            </w:r>
          </w:p>
        </w:tc>
        <w:tc>
          <w:tcPr>
            <w:tcW w:w="1746" w:type="dxa"/>
            <w:vMerge w:val="restart"/>
          </w:tcPr>
          <w:p w14:paraId="665441A5" w14:textId="77777777" w:rsidR="00847483" w:rsidRPr="00BF143D" w:rsidRDefault="00847483" w:rsidP="00847483">
            <w:pPr>
              <w:spacing w:after="0"/>
              <w:jc w:val="center"/>
              <w:cnfStyle w:val="000000100000" w:firstRow="0" w:lastRow="0" w:firstColumn="0" w:lastColumn="0" w:oddVBand="0" w:evenVBand="0" w:oddHBand="1" w:evenHBand="0" w:firstRowFirstColumn="0" w:firstRowLastColumn="0" w:lastRowFirstColumn="0" w:lastRowLastColumn="0"/>
              <w:rPr>
                <w:b/>
                <w:sz w:val="19"/>
                <w:szCs w:val="19"/>
              </w:rPr>
            </w:pPr>
            <w:r w:rsidRPr="00BF143D">
              <w:rPr>
                <w:b/>
                <w:sz w:val="19"/>
                <w:szCs w:val="19"/>
              </w:rPr>
              <w:t>Medicare</w:t>
            </w:r>
          </w:p>
          <w:p w14:paraId="49674E27" w14:textId="77777777" w:rsidR="00847483" w:rsidRPr="00BF143D" w:rsidRDefault="00847483" w:rsidP="000D4E4E">
            <w:pPr>
              <w:spacing w:after="0"/>
              <w:cnfStyle w:val="000000100000" w:firstRow="0" w:lastRow="0" w:firstColumn="0" w:lastColumn="0" w:oddVBand="0" w:evenVBand="0" w:oddHBand="1" w:evenHBand="0" w:firstRowFirstColumn="0" w:firstRowLastColumn="0" w:lastRowFirstColumn="0" w:lastRowLastColumn="0"/>
              <w:rPr>
                <w:i/>
                <w:sz w:val="17"/>
                <w:szCs w:val="17"/>
              </w:rPr>
            </w:pPr>
            <w:r w:rsidRPr="00BF143D">
              <w:rPr>
                <w:i/>
                <w:sz w:val="17"/>
                <w:szCs w:val="17"/>
              </w:rPr>
              <w:t>Subject to coverage limitations and depends on facility and license type</w:t>
            </w:r>
          </w:p>
        </w:tc>
        <w:tc>
          <w:tcPr>
            <w:cnfStyle w:val="000010000000" w:firstRow="0" w:lastRow="0" w:firstColumn="0" w:lastColumn="0" w:oddVBand="1" w:evenVBand="0" w:oddHBand="0" w:evenHBand="0" w:firstRowFirstColumn="0" w:firstRowLastColumn="0" w:lastRowFirstColumn="0" w:lastRowLastColumn="0"/>
            <w:tcW w:w="2844" w:type="dxa"/>
            <w:vMerge w:val="restart"/>
          </w:tcPr>
          <w:p w14:paraId="1B2E07A3" w14:textId="77777777" w:rsidR="00847483" w:rsidRPr="00BF143D" w:rsidRDefault="00847483" w:rsidP="00847483">
            <w:pPr>
              <w:spacing w:after="0"/>
              <w:jc w:val="center"/>
              <w:rPr>
                <w:sz w:val="19"/>
                <w:szCs w:val="19"/>
              </w:rPr>
            </w:pPr>
          </w:p>
          <w:p w14:paraId="4FE7A70B" w14:textId="77777777" w:rsidR="00847483" w:rsidRPr="00BF143D" w:rsidRDefault="00847483" w:rsidP="000D4E4E">
            <w:pPr>
              <w:spacing w:after="0"/>
              <w:jc w:val="center"/>
              <w:rPr>
                <w:sz w:val="19"/>
                <w:szCs w:val="19"/>
              </w:rPr>
            </w:pPr>
            <w:r w:rsidRPr="00BF143D">
              <w:rPr>
                <w:sz w:val="19"/>
                <w:szCs w:val="19"/>
              </w:rPr>
              <w:t>Healt</w:t>
            </w:r>
            <w:r w:rsidR="000D4E4E" w:rsidRPr="00BF143D">
              <w:rPr>
                <w:sz w:val="19"/>
                <w:szCs w:val="19"/>
              </w:rPr>
              <w:t>h Plan/County Mental Health Plan</w:t>
            </w:r>
          </w:p>
        </w:tc>
      </w:tr>
      <w:tr w:rsidR="00BF143D" w:rsidRPr="00BF143D" w14:paraId="016DE6BD" w14:textId="77777777" w:rsidTr="00BF143D">
        <w:trPr>
          <w:trHeight w:val="1147"/>
        </w:trPr>
        <w:tc>
          <w:tcPr>
            <w:cnfStyle w:val="001000000000" w:firstRow="0" w:lastRow="0" w:firstColumn="1" w:lastColumn="0" w:oddVBand="0" w:evenVBand="0" w:oddHBand="0" w:evenHBand="0" w:firstRowFirstColumn="0" w:firstRowLastColumn="0" w:lastRowFirstColumn="0" w:lastRowLastColumn="0"/>
            <w:tcW w:w="2088" w:type="dxa"/>
            <w:vMerge/>
          </w:tcPr>
          <w:p w14:paraId="757D629F" w14:textId="77777777" w:rsidR="00847483" w:rsidRPr="00BF143D" w:rsidRDefault="00847483" w:rsidP="00847483">
            <w:pPr>
              <w:spacing w:after="0"/>
              <w:rPr>
                <w:b w:val="0"/>
                <w:sz w:val="19"/>
                <w:szCs w:val="19"/>
              </w:rPr>
            </w:pPr>
          </w:p>
        </w:tc>
        <w:tc>
          <w:tcPr>
            <w:cnfStyle w:val="000010000000" w:firstRow="0" w:lastRow="0" w:firstColumn="0" w:lastColumn="0" w:oddVBand="1" w:evenVBand="0" w:oddHBand="0" w:evenHBand="0" w:firstRowFirstColumn="0" w:firstRowLastColumn="0" w:lastRowFirstColumn="0" w:lastRowLastColumn="0"/>
            <w:tcW w:w="4590" w:type="dxa"/>
          </w:tcPr>
          <w:p w14:paraId="663D717C" w14:textId="77777777" w:rsidR="00847483" w:rsidRPr="00BF143D" w:rsidRDefault="00847483" w:rsidP="00847483">
            <w:pPr>
              <w:spacing w:after="0"/>
              <w:rPr>
                <w:sz w:val="19"/>
                <w:szCs w:val="19"/>
              </w:rPr>
            </w:pPr>
            <w:r w:rsidRPr="00BF143D">
              <w:rPr>
                <w:sz w:val="19"/>
                <w:szCs w:val="19"/>
              </w:rPr>
              <w:t>Psychiatric professional, pharmacy, ancillary, and medical professional services charges</w:t>
            </w:r>
          </w:p>
        </w:tc>
        <w:tc>
          <w:tcPr>
            <w:tcW w:w="1746" w:type="dxa"/>
            <w:vMerge/>
          </w:tcPr>
          <w:p w14:paraId="5E378879"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b/>
                <w:sz w:val="19"/>
                <w:szCs w:val="19"/>
              </w:rPr>
            </w:pPr>
          </w:p>
        </w:tc>
        <w:tc>
          <w:tcPr>
            <w:cnfStyle w:val="000010000000" w:firstRow="0" w:lastRow="0" w:firstColumn="0" w:lastColumn="0" w:oddVBand="1" w:evenVBand="0" w:oddHBand="0" w:evenHBand="0" w:firstRowFirstColumn="0" w:firstRowLastColumn="0" w:lastRowFirstColumn="0" w:lastRowLastColumn="0"/>
            <w:tcW w:w="2844" w:type="dxa"/>
            <w:vMerge/>
          </w:tcPr>
          <w:p w14:paraId="137B6F6A" w14:textId="77777777" w:rsidR="00847483" w:rsidRPr="00BF143D" w:rsidRDefault="00847483" w:rsidP="00847483">
            <w:pPr>
              <w:spacing w:after="0"/>
              <w:jc w:val="center"/>
              <w:rPr>
                <w:sz w:val="19"/>
                <w:szCs w:val="19"/>
              </w:rPr>
            </w:pPr>
          </w:p>
        </w:tc>
      </w:tr>
      <w:tr w:rsidR="00BF143D" w:rsidRPr="00BF143D" w14:paraId="0726DC09" w14:textId="77777777" w:rsidTr="00BF143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88" w:type="dxa"/>
            <w:vMerge w:val="restart"/>
          </w:tcPr>
          <w:p w14:paraId="7039A119" w14:textId="77777777" w:rsidR="00847483" w:rsidRPr="00BF143D" w:rsidRDefault="00847483" w:rsidP="00847483">
            <w:pPr>
              <w:spacing w:after="0"/>
              <w:jc w:val="center"/>
              <w:rPr>
                <w:b w:val="0"/>
                <w:sz w:val="19"/>
                <w:szCs w:val="19"/>
              </w:rPr>
            </w:pPr>
            <w:r w:rsidRPr="00BF143D">
              <w:rPr>
                <w:b w:val="0"/>
                <w:sz w:val="19"/>
                <w:szCs w:val="19"/>
              </w:rPr>
              <w:t>Emergency Department</w:t>
            </w:r>
          </w:p>
        </w:tc>
        <w:tc>
          <w:tcPr>
            <w:cnfStyle w:val="000010000000" w:firstRow="0" w:lastRow="0" w:firstColumn="0" w:lastColumn="0" w:oddVBand="1" w:evenVBand="0" w:oddHBand="0" w:evenHBand="0" w:firstRowFirstColumn="0" w:firstRowLastColumn="0" w:lastRowFirstColumn="0" w:lastRowLastColumn="0"/>
            <w:tcW w:w="4590" w:type="dxa"/>
          </w:tcPr>
          <w:p w14:paraId="6DE61E03" w14:textId="77777777" w:rsidR="00847483" w:rsidRPr="00BF143D" w:rsidRDefault="00847483" w:rsidP="00847483">
            <w:pPr>
              <w:spacing w:after="0"/>
              <w:rPr>
                <w:sz w:val="19"/>
                <w:szCs w:val="19"/>
              </w:rPr>
            </w:pPr>
            <w:r w:rsidRPr="00BF143D">
              <w:rPr>
                <w:sz w:val="19"/>
                <w:szCs w:val="19"/>
              </w:rPr>
              <w:t>Facility Charges</w:t>
            </w:r>
          </w:p>
        </w:tc>
        <w:tc>
          <w:tcPr>
            <w:tcW w:w="1746" w:type="dxa"/>
            <w:vMerge w:val="restart"/>
          </w:tcPr>
          <w:p w14:paraId="301A4E0E" w14:textId="77777777" w:rsidR="00847483" w:rsidRPr="00BF143D" w:rsidRDefault="00847483" w:rsidP="00847483">
            <w:pPr>
              <w:spacing w:after="0"/>
              <w:jc w:val="center"/>
              <w:cnfStyle w:val="000000100000" w:firstRow="0" w:lastRow="0" w:firstColumn="0" w:lastColumn="0" w:oddVBand="0" w:evenVBand="0" w:oddHBand="1" w:evenHBand="0" w:firstRowFirstColumn="0" w:firstRowLastColumn="0" w:lastRowFirstColumn="0" w:lastRowLastColumn="0"/>
              <w:rPr>
                <w:b/>
                <w:sz w:val="19"/>
                <w:szCs w:val="19"/>
              </w:rPr>
            </w:pPr>
            <w:r w:rsidRPr="00BF143D">
              <w:rPr>
                <w:b/>
                <w:sz w:val="19"/>
                <w:szCs w:val="19"/>
              </w:rPr>
              <w:t>Medicare</w:t>
            </w:r>
          </w:p>
        </w:tc>
        <w:tc>
          <w:tcPr>
            <w:cnfStyle w:val="000010000000" w:firstRow="0" w:lastRow="0" w:firstColumn="0" w:lastColumn="0" w:oddVBand="1" w:evenVBand="0" w:oddHBand="0" w:evenHBand="0" w:firstRowFirstColumn="0" w:firstRowLastColumn="0" w:lastRowFirstColumn="0" w:lastRowLastColumn="0"/>
            <w:tcW w:w="2844" w:type="dxa"/>
            <w:vMerge w:val="restart"/>
          </w:tcPr>
          <w:p w14:paraId="7C313763" w14:textId="77777777" w:rsidR="00847483" w:rsidRPr="00BF143D" w:rsidRDefault="00847483" w:rsidP="00847483">
            <w:pPr>
              <w:spacing w:after="0"/>
              <w:jc w:val="center"/>
              <w:rPr>
                <w:sz w:val="19"/>
                <w:szCs w:val="19"/>
              </w:rPr>
            </w:pPr>
            <w:r w:rsidRPr="00BF143D">
              <w:rPr>
                <w:sz w:val="19"/>
                <w:szCs w:val="19"/>
              </w:rPr>
              <w:t xml:space="preserve">Health Plan </w:t>
            </w:r>
          </w:p>
        </w:tc>
      </w:tr>
      <w:tr w:rsidR="00BF143D" w:rsidRPr="00BF143D" w14:paraId="729CC6E5" w14:textId="77777777" w:rsidTr="00BF143D">
        <w:tc>
          <w:tcPr>
            <w:cnfStyle w:val="001000000000" w:firstRow="0" w:lastRow="0" w:firstColumn="1" w:lastColumn="0" w:oddVBand="0" w:evenVBand="0" w:oddHBand="0" w:evenHBand="0" w:firstRowFirstColumn="0" w:firstRowLastColumn="0" w:lastRowFirstColumn="0" w:lastRowLastColumn="0"/>
            <w:tcW w:w="2088" w:type="dxa"/>
            <w:vMerge/>
          </w:tcPr>
          <w:p w14:paraId="78D3FD8A" w14:textId="77777777" w:rsidR="00847483" w:rsidRPr="00BF143D" w:rsidRDefault="00847483" w:rsidP="00847483">
            <w:pPr>
              <w:spacing w:after="0"/>
              <w:rPr>
                <w:sz w:val="19"/>
                <w:szCs w:val="19"/>
              </w:rPr>
            </w:pPr>
          </w:p>
        </w:tc>
        <w:tc>
          <w:tcPr>
            <w:cnfStyle w:val="000010000000" w:firstRow="0" w:lastRow="0" w:firstColumn="0" w:lastColumn="0" w:oddVBand="1" w:evenVBand="0" w:oddHBand="0" w:evenHBand="0" w:firstRowFirstColumn="0" w:firstRowLastColumn="0" w:lastRowFirstColumn="0" w:lastRowLastColumn="0"/>
            <w:tcW w:w="4590" w:type="dxa"/>
          </w:tcPr>
          <w:p w14:paraId="77B280C7" w14:textId="77777777" w:rsidR="00847483" w:rsidRPr="00BF143D" w:rsidRDefault="00847483" w:rsidP="00847483">
            <w:pPr>
              <w:spacing w:after="0"/>
              <w:rPr>
                <w:sz w:val="19"/>
                <w:szCs w:val="19"/>
              </w:rPr>
            </w:pPr>
            <w:r w:rsidRPr="00BF143D">
              <w:rPr>
                <w:sz w:val="19"/>
                <w:szCs w:val="19"/>
              </w:rPr>
              <w:t>Psychiatric professional, pharmacy, ancillary, and medical professional services charges</w:t>
            </w:r>
          </w:p>
        </w:tc>
        <w:tc>
          <w:tcPr>
            <w:tcW w:w="1746" w:type="dxa"/>
            <w:vMerge/>
          </w:tcPr>
          <w:p w14:paraId="160356FE"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b/>
                <w:sz w:val="19"/>
                <w:szCs w:val="19"/>
              </w:rPr>
            </w:pPr>
          </w:p>
        </w:tc>
        <w:tc>
          <w:tcPr>
            <w:cnfStyle w:val="000010000000" w:firstRow="0" w:lastRow="0" w:firstColumn="0" w:lastColumn="0" w:oddVBand="1" w:evenVBand="0" w:oddHBand="0" w:evenHBand="0" w:firstRowFirstColumn="0" w:firstRowLastColumn="0" w:lastRowFirstColumn="0" w:lastRowLastColumn="0"/>
            <w:tcW w:w="2844" w:type="dxa"/>
            <w:vMerge/>
          </w:tcPr>
          <w:p w14:paraId="192D1C20" w14:textId="77777777" w:rsidR="00847483" w:rsidRPr="00BF143D" w:rsidRDefault="00847483" w:rsidP="00847483">
            <w:pPr>
              <w:spacing w:after="0"/>
              <w:jc w:val="center"/>
              <w:rPr>
                <w:sz w:val="19"/>
                <w:szCs w:val="19"/>
              </w:rPr>
            </w:pPr>
          </w:p>
        </w:tc>
      </w:tr>
      <w:tr w:rsidR="00BF143D" w:rsidRPr="00BF143D" w14:paraId="6B0D290A" w14:textId="77777777" w:rsidTr="00BF143D">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88" w:type="dxa"/>
            <w:vMerge w:val="restart"/>
          </w:tcPr>
          <w:p w14:paraId="03874624" w14:textId="77777777" w:rsidR="00847483" w:rsidRPr="00BF143D" w:rsidRDefault="00847483" w:rsidP="00847483">
            <w:pPr>
              <w:spacing w:after="0"/>
              <w:rPr>
                <w:b w:val="0"/>
                <w:sz w:val="19"/>
                <w:szCs w:val="19"/>
              </w:rPr>
            </w:pPr>
            <w:r w:rsidRPr="00BF143D">
              <w:rPr>
                <w:b w:val="0"/>
                <w:sz w:val="19"/>
                <w:szCs w:val="19"/>
              </w:rPr>
              <w:t>Skilled nursing facility</w:t>
            </w:r>
          </w:p>
        </w:tc>
        <w:tc>
          <w:tcPr>
            <w:cnfStyle w:val="000010000000" w:firstRow="0" w:lastRow="0" w:firstColumn="0" w:lastColumn="0" w:oddVBand="1" w:evenVBand="0" w:oddHBand="0" w:evenHBand="0" w:firstRowFirstColumn="0" w:firstRowLastColumn="0" w:lastRowFirstColumn="0" w:lastRowLastColumn="0"/>
            <w:tcW w:w="4590" w:type="dxa"/>
          </w:tcPr>
          <w:p w14:paraId="779A8BCC" w14:textId="77777777" w:rsidR="00847483" w:rsidRPr="00BF143D" w:rsidRDefault="00847483" w:rsidP="00847483">
            <w:pPr>
              <w:spacing w:after="0"/>
              <w:rPr>
                <w:sz w:val="19"/>
                <w:szCs w:val="19"/>
              </w:rPr>
            </w:pPr>
            <w:r w:rsidRPr="00BF143D">
              <w:rPr>
                <w:sz w:val="19"/>
                <w:szCs w:val="19"/>
              </w:rPr>
              <w:t>Facility Charge</w:t>
            </w:r>
          </w:p>
        </w:tc>
        <w:tc>
          <w:tcPr>
            <w:tcW w:w="1746" w:type="dxa"/>
            <w:vMerge w:val="restart"/>
          </w:tcPr>
          <w:p w14:paraId="7EF1FE34" w14:textId="77777777" w:rsidR="00847483" w:rsidRPr="00BF143D" w:rsidRDefault="00847483" w:rsidP="000D4E4E">
            <w:pPr>
              <w:spacing w:after="0"/>
              <w:jc w:val="center"/>
              <w:cnfStyle w:val="000000100000" w:firstRow="0" w:lastRow="0" w:firstColumn="0" w:lastColumn="0" w:oddVBand="0" w:evenVBand="0" w:oddHBand="1" w:evenHBand="0" w:firstRowFirstColumn="0" w:firstRowLastColumn="0" w:lastRowFirstColumn="0" w:lastRowLastColumn="0"/>
              <w:rPr>
                <w:b/>
                <w:sz w:val="19"/>
                <w:szCs w:val="19"/>
              </w:rPr>
            </w:pPr>
            <w:r w:rsidRPr="00BF143D">
              <w:rPr>
                <w:b/>
                <w:sz w:val="19"/>
                <w:szCs w:val="19"/>
              </w:rPr>
              <w:t>Medicare</w:t>
            </w:r>
          </w:p>
          <w:p w14:paraId="24B1FCB7" w14:textId="77777777" w:rsidR="00847483" w:rsidRPr="00BF143D" w:rsidRDefault="00847483" w:rsidP="000D4E4E">
            <w:pPr>
              <w:spacing w:after="0"/>
              <w:jc w:val="center"/>
              <w:cnfStyle w:val="000000100000" w:firstRow="0" w:lastRow="0" w:firstColumn="0" w:lastColumn="0" w:oddVBand="0" w:evenVBand="0" w:oddHBand="1" w:evenHBand="0" w:firstRowFirstColumn="0" w:firstRowLastColumn="0" w:lastRowFirstColumn="0" w:lastRowLastColumn="0"/>
              <w:rPr>
                <w:i/>
                <w:sz w:val="17"/>
                <w:szCs w:val="17"/>
              </w:rPr>
            </w:pPr>
            <w:r w:rsidRPr="00BF143D">
              <w:rPr>
                <w:i/>
                <w:sz w:val="17"/>
                <w:szCs w:val="17"/>
              </w:rPr>
              <w:t>Subject to coverage limitations and depends on facility and license type</w:t>
            </w:r>
          </w:p>
          <w:p w14:paraId="5B38BAA4" w14:textId="77777777" w:rsidR="00847483" w:rsidRPr="00BF143D" w:rsidRDefault="00847483" w:rsidP="000D4E4E">
            <w:pPr>
              <w:spacing w:after="0"/>
              <w:jc w:val="center"/>
              <w:cnfStyle w:val="000000100000" w:firstRow="0" w:lastRow="0" w:firstColumn="0" w:lastColumn="0" w:oddVBand="0" w:evenVBand="0" w:oddHBand="1" w:evenHBand="0" w:firstRowFirstColumn="0" w:firstRowLastColumn="0" w:lastRowFirstColumn="0" w:lastRowLastColumn="0"/>
              <w:rPr>
                <w:b/>
                <w:i/>
                <w:sz w:val="18"/>
                <w:szCs w:val="18"/>
              </w:rPr>
            </w:pPr>
            <w:r w:rsidRPr="00BF143D">
              <w:rPr>
                <w:b/>
                <w:sz w:val="18"/>
                <w:szCs w:val="18"/>
              </w:rPr>
              <w:t>Medi-Cal</w:t>
            </w:r>
          </w:p>
          <w:p w14:paraId="2A5D0E54" w14:textId="77777777" w:rsidR="00847483" w:rsidRPr="00BF143D" w:rsidRDefault="00847483" w:rsidP="000D4E4E">
            <w:pPr>
              <w:spacing w:after="0"/>
              <w:jc w:val="center"/>
              <w:cnfStyle w:val="000000100000" w:firstRow="0" w:lastRow="0" w:firstColumn="0" w:lastColumn="0" w:oddVBand="0" w:evenVBand="0" w:oddHBand="1" w:evenHBand="0" w:firstRowFirstColumn="0" w:firstRowLastColumn="0" w:lastRowFirstColumn="0" w:lastRowLastColumn="0"/>
              <w:rPr>
                <w:b/>
                <w:sz w:val="17"/>
                <w:szCs w:val="17"/>
              </w:rPr>
            </w:pPr>
            <w:r w:rsidRPr="00BF143D">
              <w:rPr>
                <w:i/>
                <w:sz w:val="17"/>
                <w:szCs w:val="17"/>
              </w:rPr>
              <w:t>Subject to IMD Exclusion</w:t>
            </w:r>
          </w:p>
        </w:tc>
        <w:tc>
          <w:tcPr>
            <w:cnfStyle w:val="000010000000" w:firstRow="0" w:lastRow="0" w:firstColumn="0" w:lastColumn="0" w:oddVBand="1" w:evenVBand="0" w:oddHBand="0" w:evenHBand="0" w:firstRowFirstColumn="0" w:firstRowLastColumn="0" w:lastRowFirstColumn="0" w:lastRowLastColumn="0"/>
            <w:tcW w:w="2844" w:type="dxa"/>
            <w:vMerge w:val="restart"/>
          </w:tcPr>
          <w:p w14:paraId="4EFB83CE" w14:textId="77777777" w:rsidR="00847483" w:rsidRPr="00BF143D" w:rsidRDefault="00847483" w:rsidP="00847483">
            <w:pPr>
              <w:spacing w:after="0"/>
              <w:jc w:val="center"/>
              <w:rPr>
                <w:sz w:val="19"/>
                <w:szCs w:val="19"/>
              </w:rPr>
            </w:pPr>
          </w:p>
          <w:p w14:paraId="21FC6721" w14:textId="77777777" w:rsidR="00847483" w:rsidRPr="00BF143D" w:rsidRDefault="00847483" w:rsidP="000D4E4E">
            <w:pPr>
              <w:spacing w:after="0"/>
              <w:jc w:val="center"/>
              <w:rPr>
                <w:sz w:val="19"/>
                <w:szCs w:val="19"/>
              </w:rPr>
            </w:pPr>
            <w:r w:rsidRPr="00BF143D">
              <w:rPr>
                <w:sz w:val="19"/>
                <w:szCs w:val="19"/>
              </w:rPr>
              <w:t>Health Plan/County Mental Health Plan</w:t>
            </w:r>
          </w:p>
        </w:tc>
      </w:tr>
      <w:tr w:rsidR="00BF143D" w:rsidRPr="00BF143D" w14:paraId="30553AA8" w14:textId="77777777" w:rsidTr="00BF143D">
        <w:trPr>
          <w:trHeight w:val="1750"/>
        </w:trPr>
        <w:tc>
          <w:tcPr>
            <w:cnfStyle w:val="001000000000" w:firstRow="0" w:lastRow="0" w:firstColumn="1" w:lastColumn="0" w:oddVBand="0" w:evenVBand="0" w:oddHBand="0" w:evenHBand="0" w:firstRowFirstColumn="0" w:firstRowLastColumn="0" w:lastRowFirstColumn="0" w:lastRowLastColumn="0"/>
            <w:tcW w:w="2088" w:type="dxa"/>
            <w:vMerge/>
          </w:tcPr>
          <w:p w14:paraId="72EC4C7B" w14:textId="77777777" w:rsidR="00847483" w:rsidRPr="00BF143D" w:rsidRDefault="00847483" w:rsidP="00847483">
            <w:pPr>
              <w:spacing w:after="0"/>
              <w:rPr>
                <w:b w:val="0"/>
                <w:sz w:val="19"/>
                <w:szCs w:val="19"/>
              </w:rPr>
            </w:pPr>
          </w:p>
        </w:tc>
        <w:tc>
          <w:tcPr>
            <w:cnfStyle w:val="000010000000" w:firstRow="0" w:lastRow="0" w:firstColumn="0" w:lastColumn="0" w:oddVBand="1" w:evenVBand="0" w:oddHBand="0" w:evenHBand="0" w:firstRowFirstColumn="0" w:firstRowLastColumn="0" w:lastRowFirstColumn="0" w:lastRowLastColumn="0"/>
            <w:tcW w:w="4590" w:type="dxa"/>
          </w:tcPr>
          <w:p w14:paraId="6E3F0198" w14:textId="77777777" w:rsidR="00847483" w:rsidRPr="00BF143D" w:rsidRDefault="00847483" w:rsidP="00847483">
            <w:pPr>
              <w:spacing w:after="0"/>
              <w:rPr>
                <w:sz w:val="19"/>
                <w:szCs w:val="19"/>
              </w:rPr>
            </w:pPr>
            <w:r w:rsidRPr="00BF143D">
              <w:rPr>
                <w:sz w:val="19"/>
                <w:szCs w:val="19"/>
              </w:rPr>
              <w:t>Psychiatric professional, pharmacy, ancillary, and medical professional services charges</w:t>
            </w:r>
          </w:p>
        </w:tc>
        <w:tc>
          <w:tcPr>
            <w:tcW w:w="1746" w:type="dxa"/>
            <w:vMerge/>
          </w:tcPr>
          <w:p w14:paraId="022D0841"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b/>
                <w:sz w:val="19"/>
                <w:szCs w:val="19"/>
              </w:rPr>
            </w:pPr>
          </w:p>
        </w:tc>
        <w:tc>
          <w:tcPr>
            <w:cnfStyle w:val="000010000000" w:firstRow="0" w:lastRow="0" w:firstColumn="0" w:lastColumn="0" w:oddVBand="1" w:evenVBand="0" w:oddHBand="0" w:evenHBand="0" w:firstRowFirstColumn="0" w:firstRowLastColumn="0" w:lastRowFirstColumn="0" w:lastRowLastColumn="0"/>
            <w:tcW w:w="2844" w:type="dxa"/>
            <w:vMerge/>
          </w:tcPr>
          <w:p w14:paraId="14A2459C" w14:textId="77777777" w:rsidR="00847483" w:rsidRPr="00BF143D" w:rsidRDefault="00847483" w:rsidP="00847483">
            <w:pPr>
              <w:spacing w:after="0"/>
              <w:jc w:val="center"/>
              <w:rPr>
                <w:sz w:val="19"/>
                <w:szCs w:val="19"/>
              </w:rPr>
            </w:pPr>
          </w:p>
        </w:tc>
      </w:tr>
      <w:tr w:rsidR="00BF143D" w:rsidRPr="00BF143D" w14:paraId="025F8DE0" w14:textId="77777777" w:rsidTr="00BF143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6678" w:type="dxa"/>
            <w:gridSpan w:val="2"/>
          </w:tcPr>
          <w:p w14:paraId="50B8065D" w14:textId="77777777" w:rsidR="00847483" w:rsidRPr="00BF143D" w:rsidRDefault="00847483" w:rsidP="00847483">
            <w:pPr>
              <w:spacing w:after="0"/>
              <w:rPr>
                <w:b w:val="0"/>
                <w:sz w:val="19"/>
                <w:szCs w:val="19"/>
              </w:rPr>
            </w:pPr>
            <w:r w:rsidRPr="00BF143D">
              <w:rPr>
                <w:b w:val="0"/>
                <w:sz w:val="19"/>
                <w:szCs w:val="19"/>
              </w:rPr>
              <w:t>Pharmacy</w:t>
            </w:r>
          </w:p>
        </w:tc>
        <w:tc>
          <w:tcPr>
            <w:cnfStyle w:val="000010000000" w:firstRow="0" w:lastRow="0" w:firstColumn="0" w:lastColumn="0" w:oddVBand="1" w:evenVBand="0" w:oddHBand="0" w:evenHBand="0" w:firstRowFirstColumn="0" w:firstRowLastColumn="0" w:lastRowFirstColumn="0" w:lastRowLastColumn="0"/>
            <w:tcW w:w="1746" w:type="dxa"/>
          </w:tcPr>
          <w:p w14:paraId="3ED8F4A1" w14:textId="77777777" w:rsidR="00847483" w:rsidRPr="00BF143D" w:rsidRDefault="00847483" w:rsidP="00847483">
            <w:pPr>
              <w:spacing w:after="0"/>
              <w:jc w:val="center"/>
              <w:rPr>
                <w:b/>
                <w:sz w:val="19"/>
                <w:szCs w:val="19"/>
              </w:rPr>
            </w:pPr>
            <w:r w:rsidRPr="00BF143D">
              <w:rPr>
                <w:b/>
                <w:sz w:val="19"/>
                <w:szCs w:val="19"/>
              </w:rPr>
              <w:t xml:space="preserve">Medicare </w:t>
            </w:r>
            <w:r w:rsidRPr="00BF143D">
              <w:rPr>
                <w:sz w:val="18"/>
                <w:szCs w:val="18"/>
              </w:rPr>
              <w:t>(Part D)</w:t>
            </w:r>
          </w:p>
        </w:tc>
        <w:tc>
          <w:tcPr>
            <w:tcW w:w="2844" w:type="dxa"/>
          </w:tcPr>
          <w:p w14:paraId="242D8BF9" w14:textId="77777777" w:rsidR="00847483" w:rsidRPr="00BF143D" w:rsidRDefault="00847483" w:rsidP="00847483">
            <w:pPr>
              <w:spacing w:after="0"/>
              <w:jc w:val="center"/>
              <w:cnfStyle w:val="000000100000" w:firstRow="0" w:lastRow="0" w:firstColumn="0" w:lastColumn="0" w:oddVBand="0" w:evenVBand="0" w:oddHBand="1" w:evenHBand="0" w:firstRowFirstColumn="0" w:firstRowLastColumn="0" w:lastRowFirstColumn="0" w:lastRowLastColumn="0"/>
              <w:rPr>
                <w:sz w:val="19"/>
                <w:szCs w:val="19"/>
              </w:rPr>
            </w:pPr>
            <w:r w:rsidRPr="00BF143D">
              <w:rPr>
                <w:sz w:val="19"/>
                <w:szCs w:val="19"/>
              </w:rPr>
              <w:t xml:space="preserve">Health Plan </w:t>
            </w:r>
          </w:p>
        </w:tc>
      </w:tr>
      <w:tr w:rsidR="00BF143D" w:rsidRPr="00BF143D" w14:paraId="6A27B4E9" w14:textId="77777777" w:rsidTr="00BF143D">
        <w:trPr>
          <w:trHeight w:val="418"/>
        </w:trPr>
        <w:tc>
          <w:tcPr>
            <w:cnfStyle w:val="001000000000" w:firstRow="0" w:lastRow="0" w:firstColumn="1" w:lastColumn="0" w:oddVBand="0" w:evenVBand="0" w:oddHBand="0" w:evenHBand="0" w:firstRowFirstColumn="0" w:firstRowLastColumn="0" w:lastRowFirstColumn="0" w:lastRowLastColumn="0"/>
            <w:tcW w:w="2088" w:type="dxa"/>
            <w:vMerge w:val="restart"/>
          </w:tcPr>
          <w:p w14:paraId="26D2899E" w14:textId="77777777" w:rsidR="00847483" w:rsidRPr="00BF143D" w:rsidRDefault="00847483" w:rsidP="00847483">
            <w:pPr>
              <w:spacing w:after="0"/>
              <w:rPr>
                <w:sz w:val="19"/>
                <w:szCs w:val="19"/>
              </w:rPr>
            </w:pPr>
            <w:r w:rsidRPr="00BF143D">
              <w:rPr>
                <w:b w:val="0"/>
                <w:sz w:val="19"/>
                <w:szCs w:val="19"/>
              </w:rPr>
              <w:t>Outpatient</w:t>
            </w:r>
          </w:p>
        </w:tc>
        <w:tc>
          <w:tcPr>
            <w:cnfStyle w:val="000010000000" w:firstRow="0" w:lastRow="0" w:firstColumn="0" w:lastColumn="0" w:oddVBand="1" w:evenVBand="0" w:oddHBand="0" w:evenHBand="0" w:firstRowFirstColumn="0" w:firstRowLastColumn="0" w:lastRowFirstColumn="0" w:lastRowLastColumn="0"/>
            <w:tcW w:w="4590" w:type="dxa"/>
          </w:tcPr>
          <w:p w14:paraId="75F63190" w14:textId="77777777" w:rsidR="00847483" w:rsidRPr="00BF143D" w:rsidRDefault="00847483" w:rsidP="00847483">
            <w:pPr>
              <w:spacing w:after="0"/>
              <w:rPr>
                <w:sz w:val="19"/>
                <w:szCs w:val="19"/>
              </w:rPr>
            </w:pPr>
            <w:r w:rsidRPr="00BF143D">
              <w:rPr>
                <w:sz w:val="19"/>
                <w:szCs w:val="19"/>
              </w:rPr>
              <w:t>Partial hospitalization / Intensive Outpatient</w:t>
            </w:r>
          </w:p>
        </w:tc>
        <w:tc>
          <w:tcPr>
            <w:tcW w:w="1746" w:type="dxa"/>
          </w:tcPr>
          <w:p w14:paraId="00D856E1"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b/>
                <w:sz w:val="19"/>
                <w:szCs w:val="19"/>
              </w:rPr>
            </w:pPr>
            <w:r w:rsidRPr="00BF143D">
              <w:rPr>
                <w:b/>
                <w:sz w:val="19"/>
                <w:szCs w:val="19"/>
              </w:rPr>
              <w:t>Medicare</w:t>
            </w:r>
          </w:p>
        </w:tc>
        <w:tc>
          <w:tcPr>
            <w:cnfStyle w:val="000010000000" w:firstRow="0" w:lastRow="0" w:firstColumn="0" w:lastColumn="0" w:oddVBand="1" w:evenVBand="0" w:oddHBand="0" w:evenHBand="0" w:firstRowFirstColumn="0" w:firstRowLastColumn="0" w:lastRowFirstColumn="0" w:lastRowLastColumn="0"/>
            <w:tcW w:w="2844" w:type="dxa"/>
          </w:tcPr>
          <w:p w14:paraId="0689A911" w14:textId="77777777" w:rsidR="00847483" w:rsidRPr="00BF143D" w:rsidRDefault="00847483" w:rsidP="00847483">
            <w:pPr>
              <w:spacing w:after="0"/>
              <w:jc w:val="center"/>
              <w:rPr>
                <w:sz w:val="19"/>
                <w:szCs w:val="19"/>
              </w:rPr>
            </w:pPr>
            <w:r w:rsidRPr="00BF143D">
              <w:rPr>
                <w:sz w:val="19"/>
                <w:szCs w:val="19"/>
              </w:rPr>
              <w:t xml:space="preserve">Health Plan </w:t>
            </w:r>
          </w:p>
        </w:tc>
      </w:tr>
      <w:tr w:rsidR="00BF143D" w:rsidRPr="00BF143D" w14:paraId="4239AD0D" w14:textId="77777777" w:rsidTr="00BF143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088" w:type="dxa"/>
            <w:vMerge/>
          </w:tcPr>
          <w:p w14:paraId="10543BC7" w14:textId="77777777" w:rsidR="00847483" w:rsidRPr="00BF143D" w:rsidRDefault="00847483" w:rsidP="00847483">
            <w:pPr>
              <w:spacing w:after="0"/>
              <w:rPr>
                <w:sz w:val="19"/>
                <w:szCs w:val="19"/>
              </w:rPr>
            </w:pPr>
          </w:p>
        </w:tc>
        <w:tc>
          <w:tcPr>
            <w:cnfStyle w:val="000010000000" w:firstRow="0" w:lastRow="0" w:firstColumn="0" w:lastColumn="0" w:oddVBand="1" w:evenVBand="0" w:oddHBand="0" w:evenHBand="0" w:firstRowFirstColumn="0" w:firstRowLastColumn="0" w:lastRowFirstColumn="0" w:lastRowLastColumn="0"/>
            <w:tcW w:w="4590" w:type="dxa"/>
          </w:tcPr>
          <w:p w14:paraId="0A85EF74" w14:textId="77777777" w:rsidR="00847483" w:rsidRPr="00BF143D" w:rsidRDefault="00847483" w:rsidP="00847483">
            <w:pPr>
              <w:spacing w:after="0"/>
              <w:rPr>
                <w:sz w:val="19"/>
                <w:szCs w:val="19"/>
              </w:rPr>
            </w:pPr>
            <w:r w:rsidRPr="00BF143D">
              <w:rPr>
                <w:sz w:val="19"/>
                <w:szCs w:val="19"/>
              </w:rPr>
              <w:t>Outpatient services within the scope of primary care</w:t>
            </w:r>
          </w:p>
        </w:tc>
        <w:tc>
          <w:tcPr>
            <w:tcW w:w="1746" w:type="dxa"/>
          </w:tcPr>
          <w:p w14:paraId="4F3FE46B" w14:textId="77777777" w:rsidR="00847483" w:rsidRPr="00BF143D" w:rsidRDefault="00847483" w:rsidP="00847483">
            <w:pPr>
              <w:spacing w:after="0"/>
              <w:jc w:val="center"/>
              <w:cnfStyle w:val="000000100000" w:firstRow="0" w:lastRow="0" w:firstColumn="0" w:lastColumn="0" w:oddVBand="0" w:evenVBand="0" w:oddHBand="1" w:evenHBand="0" w:firstRowFirstColumn="0" w:firstRowLastColumn="0" w:lastRowFirstColumn="0" w:lastRowLastColumn="0"/>
              <w:rPr>
                <w:b/>
                <w:sz w:val="19"/>
                <w:szCs w:val="19"/>
              </w:rPr>
            </w:pPr>
            <w:r w:rsidRPr="00BF143D">
              <w:rPr>
                <w:b/>
                <w:sz w:val="19"/>
                <w:szCs w:val="19"/>
              </w:rPr>
              <w:t>Medicare</w:t>
            </w:r>
          </w:p>
        </w:tc>
        <w:tc>
          <w:tcPr>
            <w:cnfStyle w:val="000010000000" w:firstRow="0" w:lastRow="0" w:firstColumn="0" w:lastColumn="0" w:oddVBand="1" w:evenVBand="0" w:oddHBand="0" w:evenHBand="0" w:firstRowFirstColumn="0" w:firstRowLastColumn="0" w:lastRowFirstColumn="0" w:lastRowLastColumn="0"/>
            <w:tcW w:w="2844" w:type="dxa"/>
          </w:tcPr>
          <w:p w14:paraId="612ACE50" w14:textId="77777777" w:rsidR="00847483" w:rsidRPr="00BF143D" w:rsidRDefault="00847483" w:rsidP="00847483">
            <w:pPr>
              <w:spacing w:after="0"/>
              <w:jc w:val="center"/>
              <w:rPr>
                <w:sz w:val="19"/>
                <w:szCs w:val="19"/>
              </w:rPr>
            </w:pPr>
            <w:r w:rsidRPr="00BF143D">
              <w:rPr>
                <w:sz w:val="19"/>
                <w:szCs w:val="19"/>
              </w:rPr>
              <w:t>Health Plan</w:t>
            </w:r>
          </w:p>
        </w:tc>
      </w:tr>
      <w:tr w:rsidR="00BF143D" w:rsidRPr="00BF143D" w14:paraId="448930AC" w14:textId="77777777" w:rsidTr="00BF143D">
        <w:trPr>
          <w:trHeight w:val="1214"/>
        </w:trPr>
        <w:tc>
          <w:tcPr>
            <w:cnfStyle w:val="001000000000" w:firstRow="0" w:lastRow="0" w:firstColumn="1" w:lastColumn="0" w:oddVBand="0" w:evenVBand="0" w:oddHBand="0" w:evenHBand="0" w:firstRowFirstColumn="0" w:firstRowLastColumn="0" w:lastRowFirstColumn="0" w:lastRowLastColumn="0"/>
            <w:tcW w:w="2088" w:type="dxa"/>
            <w:vMerge/>
          </w:tcPr>
          <w:p w14:paraId="39B0AB55" w14:textId="77777777" w:rsidR="00847483" w:rsidRPr="00BF143D" w:rsidRDefault="00847483" w:rsidP="00847483">
            <w:pPr>
              <w:spacing w:after="0"/>
              <w:rPr>
                <w:sz w:val="19"/>
                <w:szCs w:val="19"/>
              </w:rPr>
            </w:pPr>
          </w:p>
        </w:tc>
        <w:tc>
          <w:tcPr>
            <w:cnfStyle w:val="000010000000" w:firstRow="0" w:lastRow="0" w:firstColumn="0" w:lastColumn="0" w:oddVBand="1" w:evenVBand="0" w:oddHBand="0" w:evenHBand="0" w:firstRowFirstColumn="0" w:firstRowLastColumn="0" w:lastRowFirstColumn="0" w:lastRowLastColumn="0"/>
            <w:tcW w:w="4590" w:type="dxa"/>
          </w:tcPr>
          <w:p w14:paraId="49A9AD07" w14:textId="77777777" w:rsidR="00847483" w:rsidRPr="00BF143D" w:rsidRDefault="00847483" w:rsidP="00847483">
            <w:pPr>
              <w:spacing w:after="0"/>
              <w:rPr>
                <w:sz w:val="19"/>
                <w:szCs w:val="19"/>
              </w:rPr>
            </w:pPr>
            <w:r w:rsidRPr="00BF143D">
              <w:rPr>
                <w:sz w:val="19"/>
                <w:szCs w:val="19"/>
              </w:rPr>
              <w:t xml:space="preserve">Psychiatric services </w:t>
            </w:r>
            <w:r w:rsidRPr="00BF143D">
              <w:rPr>
                <w:i/>
                <w:sz w:val="18"/>
                <w:szCs w:val="18"/>
              </w:rPr>
              <w:t>(medication management, assessment, individual and group therapy delivered by a doctor, clinical psychologist, clinical social worker, clinical nurse specialist, or physician’s assistant in an office, clinic, or hospital outpatient department.)</w:t>
            </w:r>
          </w:p>
        </w:tc>
        <w:tc>
          <w:tcPr>
            <w:tcW w:w="1746" w:type="dxa"/>
          </w:tcPr>
          <w:p w14:paraId="0D5FB485"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b/>
                <w:sz w:val="19"/>
                <w:szCs w:val="19"/>
              </w:rPr>
            </w:pPr>
            <w:r w:rsidRPr="00BF143D">
              <w:rPr>
                <w:b/>
                <w:sz w:val="19"/>
                <w:szCs w:val="19"/>
              </w:rPr>
              <w:t>Medicare</w:t>
            </w:r>
          </w:p>
        </w:tc>
        <w:tc>
          <w:tcPr>
            <w:cnfStyle w:val="000010000000" w:firstRow="0" w:lastRow="0" w:firstColumn="0" w:lastColumn="0" w:oddVBand="1" w:evenVBand="0" w:oddHBand="0" w:evenHBand="0" w:firstRowFirstColumn="0" w:firstRowLastColumn="0" w:lastRowFirstColumn="0" w:lastRowLastColumn="0"/>
            <w:tcW w:w="2844" w:type="dxa"/>
          </w:tcPr>
          <w:p w14:paraId="2B9D1707" w14:textId="77777777" w:rsidR="00847483" w:rsidRPr="00BF143D" w:rsidRDefault="00847483" w:rsidP="00847483">
            <w:pPr>
              <w:spacing w:after="0"/>
              <w:jc w:val="center"/>
              <w:rPr>
                <w:sz w:val="19"/>
                <w:szCs w:val="19"/>
              </w:rPr>
            </w:pPr>
            <w:r w:rsidRPr="00BF143D">
              <w:rPr>
                <w:sz w:val="19"/>
                <w:szCs w:val="19"/>
              </w:rPr>
              <w:t xml:space="preserve">Health Plan </w:t>
            </w:r>
          </w:p>
        </w:tc>
      </w:tr>
      <w:tr w:rsidR="00BF143D" w:rsidRPr="00BF143D" w14:paraId="5DF92C98" w14:textId="77777777" w:rsidTr="00BF143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088" w:type="dxa"/>
            <w:vMerge/>
          </w:tcPr>
          <w:p w14:paraId="5E1D1B1D" w14:textId="77777777" w:rsidR="00847483" w:rsidRPr="00BF143D" w:rsidRDefault="00847483" w:rsidP="00847483">
            <w:pPr>
              <w:spacing w:after="0"/>
              <w:rPr>
                <w:sz w:val="19"/>
                <w:szCs w:val="19"/>
              </w:rPr>
            </w:pPr>
          </w:p>
        </w:tc>
        <w:tc>
          <w:tcPr>
            <w:cnfStyle w:val="000010000000" w:firstRow="0" w:lastRow="0" w:firstColumn="0" w:lastColumn="0" w:oddVBand="1" w:evenVBand="0" w:oddHBand="0" w:evenHBand="0" w:firstRowFirstColumn="0" w:firstRowLastColumn="0" w:lastRowFirstColumn="0" w:lastRowLastColumn="0"/>
            <w:tcW w:w="4590" w:type="dxa"/>
          </w:tcPr>
          <w:p w14:paraId="1DA5FF34" w14:textId="77777777" w:rsidR="00847483" w:rsidRPr="00BF143D" w:rsidRDefault="00847483" w:rsidP="00847483">
            <w:pPr>
              <w:spacing w:after="0"/>
              <w:rPr>
                <w:sz w:val="19"/>
                <w:szCs w:val="19"/>
              </w:rPr>
            </w:pPr>
            <w:r w:rsidRPr="00BF143D">
              <w:rPr>
                <w:sz w:val="19"/>
                <w:szCs w:val="19"/>
              </w:rPr>
              <w:t>Psychiatric testing/ assessment</w:t>
            </w:r>
          </w:p>
        </w:tc>
        <w:tc>
          <w:tcPr>
            <w:tcW w:w="1746" w:type="dxa"/>
          </w:tcPr>
          <w:p w14:paraId="043C354D" w14:textId="77777777" w:rsidR="00847483" w:rsidRPr="00BF143D" w:rsidRDefault="00847483" w:rsidP="00847483">
            <w:pPr>
              <w:spacing w:after="0"/>
              <w:jc w:val="center"/>
              <w:cnfStyle w:val="000000100000" w:firstRow="0" w:lastRow="0" w:firstColumn="0" w:lastColumn="0" w:oddVBand="0" w:evenVBand="0" w:oddHBand="1" w:evenHBand="0" w:firstRowFirstColumn="0" w:firstRowLastColumn="0" w:lastRowFirstColumn="0" w:lastRowLastColumn="0"/>
              <w:rPr>
                <w:b/>
                <w:sz w:val="19"/>
                <w:szCs w:val="19"/>
              </w:rPr>
            </w:pPr>
            <w:r w:rsidRPr="00BF143D">
              <w:rPr>
                <w:b/>
                <w:sz w:val="19"/>
                <w:szCs w:val="19"/>
              </w:rPr>
              <w:t>Medicare</w:t>
            </w:r>
          </w:p>
        </w:tc>
        <w:tc>
          <w:tcPr>
            <w:cnfStyle w:val="000010000000" w:firstRow="0" w:lastRow="0" w:firstColumn="0" w:lastColumn="0" w:oddVBand="1" w:evenVBand="0" w:oddHBand="0" w:evenHBand="0" w:firstRowFirstColumn="0" w:firstRowLastColumn="0" w:lastRowFirstColumn="0" w:lastRowLastColumn="0"/>
            <w:tcW w:w="2844" w:type="dxa"/>
          </w:tcPr>
          <w:p w14:paraId="14D5826C" w14:textId="77777777" w:rsidR="00847483" w:rsidRPr="00BF143D" w:rsidRDefault="00847483" w:rsidP="00847483">
            <w:pPr>
              <w:spacing w:after="0"/>
              <w:jc w:val="center"/>
              <w:rPr>
                <w:sz w:val="19"/>
                <w:szCs w:val="19"/>
              </w:rPr>
            </w:pPr>
            <w:r w:rsidRPr="00BF143D">
              <w:rPr>
                <w:sz w:val="19"/>
                <w:szCs w:val="19"/>
              </w:rPr>
              <w:t xml:space="preserve">Health Plan </w:t>
            </w:r>
          </w:p>
        </w:tc>
      </w:tr>
    </w:tbl>
    <w:p w14:paraId="3B30A85F" w14:textId="77777777" w:rsidR="00847483" w:rsidRPr="00BF143D" w:rsidRDefault="00847483" w:rsidP="00847483"/>
    <w:tbl>
      <w:tblPr>
        <w:tblStyle w:val="TableClassic4"/>
        <w:tblW w:w="11250" w:type="dxa"/>
        <w:tblLayout w:type="fixed"/>
        <w:tblLook w:val="00A0" w:firstRow="1" w:lastRow="0" w:firstColumn="1" w:lastColumn="0" w:noHBand="0" w:noVBand="0"/>
      </w:tblPr>
      <w:tblGrid>
        <w:gridCol w:w="3600"/>
        <w:gridCol w:w="1890"/>
        <w:gridCol w:w="2790"/>
        <w:gridCol w:w="2970"/>
      </w:tblGrid>
      <w:tr w:rsidR="00BF143D" w:rsidRPr="00BF143D" w14:paraId="12345384" w14:textId="77777777" w:rsidTr="00BF143D">
        <w:trPr>
          <w:cnfStyle w:val="100000000000" w:firstRow="1" w:lastRow="0" w:firstColumn="0" w:lastColumn="0" w:oddVBand="0" w:evenVBand="0" w:oddHBand="0" w:evenHBand="0" w:firstRowFirstColumn="0" w:firstRowLastColumn="0" w:lastRowFirstColumn="0" w:lastRowLastColumn="0"/>
          <w:trHeight w:val="647"/>
        </w:trPr>
        <w:tc>
          <w:tcPr>
            <w:cnfStyle w:val="001000000100" w:firstRow="0" w:lastRow="0" w:firstColumn="1" w:lastColumn="0" w:oddVBand="0" w:evenVBand="0" w:oddHBand="0" w:evenHBand="0" w:firstRowFirstColumn="1" w:firstRowLastColumn="0" w:lastRowFirstColumn="0" w:lastRowLastColumn="0"/>
            <w:tcW w:w="11250" w:type="dxa"/>
            <w:gridSpan w:val="4"/>
          </w:tcPr>
          <w:p w14:paraId="54B82698" w14:textId="77777777" w:rsidR="00847483" w:rsidRPr="00BF143D" w:rsidRDefault="00847483" w:rsidP="00847483">
            <w:pPr>
              <w:spacing w:after="0"/>
              <w:jc w:val="center"/>
              <w:rPr>
                <w:b w:val="0"/>
                <w:color w:val="auto"/>
                <w:szCs w:val="20"/>
              </w:rPr>
            </w:pPr>
            <w:r w:rsidRPr="00BF143D">
              <w:rPr>
                <w:b w:val="0"/>
                <w:color w:val="auto"/>
                <w:szCs w:val="20"/>
              </w:rPr>
              <w:lastRenderedPageBreak/>
              <w:t xml:space="preserve">Medi-Cal Specialty Mental Health Services </w:t>
            </w:r>
          </w:p>
          <w:p w14:paraId="37AD6624" w14:textId="77777777" w:rsidR="00847483" w:rsidRPr="00BF143D" w:rsidRDefault="00847483" w:rsidP="00847483">
            <w:pPr>
              <w:spacing w:after="0"/>
              <w:jc w:val="center"/>
              <w:rPr>
                <w:b w:val="0"/>
                <w:color w:val="auto"/>
              </w:rPr>
            </w:pPr>
            <w:r w:rsidRPr="00BF143D">
              <w:rPr>
                <w:color w:val="auto"/>
                <w:sz w:val="18"/>
                <w:szCs w:val="20"/>
              </w:rPr>
              <w:t>(1915b waiver and State Plan Amendments for targeted case management a</w:t>
            </w:r>
            <w:r w:rsidR="000D4E4E" w:rsidRPr="00BF143D">
              <w:rPr>
                <w:color w:val="auto"/>
                <w:sz w:val="18"/>
                <w:szCs w:val="20"/>
              </w:rPr>
              <w:t>nd expanded services under the rehabilitation o</w:t>
            </w:r>
            <w:r w:rsidRPr="00BF143D">
              <w:rPr>
                <w:color w:val="auto"/>
                <w:sz w:val="18"/>
                <w:szCs w:val="20"/>
              </w:rPr>
              <w:t>ption)</w:t>
            </w:r>
          </w:p>
        </w:tc>
      </w:tr>
      <w:tr w:rsidR="00BF143D" w:rsidRPr="00BF143D" w14:paraId="1936E61C" w14:textId="77777777" w:rsidTr="00BF143D">
        <w:trPr>
          <w:trHeight w:val="503"/>
        </w:trPr>
        <w:tc>
          <w:tcPr>
            <w:cnfStyle w:val="001000000000" w:firstRow="0" w:lastRow="0" w:firstColumn="1" w:lastColumn="0" w:oddVBand="0" w:evenVBand="0" w:oddHBand="0" w:evenHBand="0" w:firstRowFirstColumn="0" w:firstRowLastColumn="0" w:lastRowFirstColumn="0" w:lastRowLastColumn="0"/>
            <w:tcW w:w="5490" w:type="dxa"/>
            <w:gridSpan w:val="2"/>
          </w:tcPr>
          <w:p w14:paraId="7C7499A9" w14:textId="77777777" w:rsidR="00847483" w:rsidRPr="00BF143D" w:rsidRDefault="00847483" w:rsidP="00847483">
            <w:pPr>
              <w:spacing w:after="0"/>
              <w:jc w:val="center"/>
            </w:pPr>
          </w:p>
        </w:tc>
        <w:tc>
          <w:tcPr>
            <w:tcW w:w="5760" w:type="dxa"/>
            <w:gridSpan w:val="2"/>
          </w:tcPr>
          <w:p w14:paraId="2037D6C4"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b/>
              </w:rPr>
            </w:pPr>
            <w:r w:rsidRPr="00BF143D">
              <w:rPr>
                <w:b/>
              </w:rPr>
              <w:t>Primary Financial Responsibility</w:t>
            </w:r>
          </w:p>
        </w:tc>
      </w:tr>
      <w:tr w:rsidR="00BF143D" w:rsidRPr="00BF143D" w14:paraId="5CDDAD68" w14:textId="77777777" w:rsidTr="00BF143D">
        <w:tc>
          <w:tcPr>
            <w:cnfStyle w:val="001000000000" w:firstRow="0" w:lastRow="0" w:firstColumn="1" w:lastColumn="0" w:oddVBand="0" w:evenVBand="0" w:oddHBand="0" w:evenHBand="0" w:firstRowFirstColumn="0" w:firstRowLastColumn="0" w:lastRowFirstColumn="0" w:lastRowLastColumn="0"/>
            <w:tcW w:w="3600" w:type="dxa"/>
          </w:tcPr>
          <w:p w14:paraId="6A268FE5" w14:textId="77777777" w:rsidR="00847483" w:rsidRPr="00BF143D" w:rsidRDefault="00847483" w:rsidP="00847483">
            <w:pPr>
              <w:spacing w:after="0"/>
              <w:jc w:val="center"/>
              <w:rPr>
                <w:b w:val="0"/>
                <w:sz w:val="20"/>
                <w:szCs w:val="20"/>
              </w:rPr>
            </w:pPr>
            <w:r w:rsidRPr="00BF143D">
              <w:rPr>
                <w:b w:val="0"/>
                <w:sz w:val="20"/>
                <w:szCs w:val="20"/>
              </w:rPr>
              <w:t>Type of Service</w:t>
            </w:r>
          </w:p>
        </w:tc>
        <w:tc>
          <w:tcPr>
            <w:tcW w:w="1890" w:type="dxa"/>
          </w:tcPr>
          <w:p w14:paraId="646B2838"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b/>
                <w:sz w:val="20"/>
                <w:szCs w:val="20"/>
              </w:rPr>
            </w:pPr>
            <w:r w:rsidRPr="00BF143D">
              <w:rPr>
                <w:b/>
                <w:sz w:val="20"/>
                <w:szCs w:val="20"/>
              </w:rPr>
              <w:t>Primary Payer</w:t>
            </w:r>
          </w:p>
        </w:tc>
        <w:tc>
          <w:tcPr>
            <w:tcW w:w="2790" w:type="dxa"/>
          </w:tcPr>
          <w:p w14:paraId="7DF2D8FC"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b/>
                <w:sz w:val="20"/>
                <w:szCs w:val="20"/>
              </w:rPr>
            </w:pPr>
            <w:r w:rsidRPr="00BF143D">
              <w:rPr>
                <w:b/>
                <w:sz w:val="20"/>
                <w:szCs w:val="20"/>
              </w:rPr>
              <w:t>Patient meets criteria for MHP specialty mental health services</w:t>
            </w:r>
          </w:p>
        </w:tc>
        <w:tc>
          <w:tcPr>
            <w:tcW w:w="2970" w:type="dxa"/>
          </w:tcPr>
          <w:p w14:paraId="687B4A48"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b/>
                <w:sz w:val="20"/>
                <w:szCs w:val="20"/>
              </w:rPr>
            </w:pPr>
            <w:r w:rsidRPr="00BF143D">
              <w:rPr>
                <w:b/>
                <w:sz w:val="20"/>
                <w:szCs w:val="20"/>
              </w:rPr>
              <w:t xml:space="preserve">Patient does </w:t>
            </w:r>
            <w:r w:rsidRPr="00BF143D">
              <w:rPr>
                <w:b/>
                <w:sz w:val="20"/>
                <w:szCs w:val="20"/>
                <w:u w:val="single"/>
              </w:rPr>
              <w:t>NOT</w:t>
            </w:r>
            <w:r w:rsidRPr="00BF143D">
              <w:rPr>
                <w:b/>
                <w:sz w:val="20"/>
                <w:szCs w:val="20"/>
              </w:rPr>
              <w:t xml:space="preserve"> meet criteria for MHP specialty mental health services</w:t>
            </w:r>
          </w:p>
        </w:tc>
      </w:tr>
      <w:tr w:rsidR="00BF143D" w:rsidRPr="00BF143D" w14:paraId="43F25B9A" w14:textId="77777777" w:rsidTr="00BF143D">
        <w:trPr>
          <w:trHeight w:val="782"/>
        </w:trPr>
        <w:tc>
          <w:tcPr>
            <w:cnfStyle w:val="001000000000" w:firstRow="0" w:lastRow="0" w:firstColumn="1" w:lastColumn="0" w:oddVBand="0" w:evenVBand="0" w:oddHBand="0" w:evenHBand="0" w:firstRowFirstColumn="0" w:firstRowLastColumn="0" w:lastRowFirstColumn="0" w:lastRowLastColumn="0"/>
            <w:tcW w:w="3600" w:type="dxa"/>
          </w:tcPr>
          <w:p w14:paraId="3F525549" w14:textId="77777777" w:rsidR="00847483" w:rsidRPr="00BF143D" w:rsidRDefault="00847483" w:rsidP="00847483">
            <w:pPr>
              <w:spacing w:after="0"/>
              <w:rPr>
                <w:szCs w:val="20"/>
              </w:rPr>
            </w:pPr>
            <w:r w:rsidRPr="00BF143D">
              <w:rPr>
                <w:szCs w:val="20"/>
              </w:rPr>
              <w:t>Mental health services+</w:t>
            </w:r>
          </w:p>
          <w:p w14:paraId="549E9794" w14:textId="77777777" w:rsidR="00847483" w:rsidRPr="00BF143D" w:rsidRDefault="00847483" w:rsidP="00847483">
            <w:pPr>
              <w:spacing w:after="0"/>
              <w:rPr>
                <w:sz w:val="20"/>
                <w:szCs w:val="20"/>
              </w:rPr>
            </w:pPr>
            <w:r w:rsidRPr="00BF143D">
              <w:rPr>
                <w:i/>
                <w:sz w:val="18"/>
                <w:szCs w:val="18"/>
              </w:rPr>
              <w:t>(Individual and group therapy, assessment, collateral,)</w:t>
            </w:r>
          </w:p>
        </w:tc>
        <w:tc>
          <w:tcPr>
            <w:tcW w:w="1890" w:type="dxa"/>
          </w:tcPr>
          <w:p w14:paraId="6329DC3C"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Medicare</w:t>
            </w:r>
          </w:p>
        </w:tc>
        <w:tc>
          <w:tcPr>
            <w:tcW w:w="2790" w:type="dxa"/>
          </w:tcPr>
          <w:p w14:paraId="57F2D0F9"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 xml:space="preserve">Health plan </w:t>
            </w:r>
          </w:p>
          <w:p w14:paraId="1947BEDF"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970" w:type="dxa"/>
          </w:tcPr>
          <w:p w14:paraId="70721F64"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Health Plan</w:t>
            </w:r>
          </w:p>
          <w:p w14:paraId="652B29E0"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F143D" w:rsidRPr="00BF143D" w14:paraId="448EA518" w14:textId="77777777" w:rsidTr="00BF143D">
        <w:trPr>
          <w:trHeight w:val="611"/>
        </w:trPr>
        <w:tc>
          <w:tcPr>
            <w:cnfStyle w:val="001000000000" w:firstRow="0" w:lastRow="0" w:firstColumn="1" w:lastColumn="0" w:oddVBand="0" w:evenVBand="0" w:oddHBand="0" w:evenHBand="0" w:firstRowFirstColumn="0" w:firstRowLastColumn="0" w:lastRowFirstColumn="0" w:lastRowLastColumn="0"/>
            <w:tcW w:w="3600" w:type="dxa"/>
          </w:tcPr>
          <w:p w14:paraId="43B10BFF" w14:textId="77777777" w:rsidR="00847483" w:rsidRPr="00BF143D" w:rsidRDefault="00847483" w:rsidP="00847483">
            <w:pPr>
              <w:pStyle w:val="Default"/>
              <w:rPr>
                <w:color w:val="auto"/>
                <w:szCs w:val="20"/>
              </w:rPr>
            </w:pPr>
            <w:r w:rsidRPr="00BF143D">
              <w:rPr>
                <w:color w:val="auto"/>
                <w:szCs w:val="20"/>
              </w:rPr>
              <w:t>Mental health services+</w:t>
            </w:r>
          </w:p>
          <w:p w14:paraId="7A26026F" w14:textId="77777777" w:rsidR="00847483" w:rsidRPr="00BF143D" w:rsidRDefault="00847483" w:rsidP="00847483">
            <w:pPr>
              <w:pStyle w:val="Default"/>
              <w:rPr>
                <w:color w:val="auto"/>
                <w:sz w:val="18"/>
                <w:szCs w:val="18"/>
              </w:rPr>
            </w:pPr>
            <w:r w:rsidRPr="00BF143D">
              <w:rPr>
                <w:i/>
                <w:color w:val="auto"/>
                <w:sz w:val="18"/>
                <w:szCs w:val="18"/>
              </w:rPr>
              <w:t>(rehabilitation and care plan development)</w:t>
            </w:r>
          </w:p>
        </w:tc>
        <w:tc>
          <w:tcPr>
            <w:tcW w:w="1890" w:type="dxa"/>
          </w:tcPr>
          <w:p w14:paraId="1F38637F"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Medi-Cal</w:t>
            </w:r>
          </w:p>
        </w:tc>
        <w:tc>
          <w:tcPr>
            <w:tcW w:w="2790" w:type="dxa"/>
          </w:tcPr>
          <w:p w14:paraId="514DCCB0"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County MHP</w:t>
            </w:r>
          </w:p>
        </w:tc>
        <w:tc>
          <w:tcPr>
            <w:tcW w:w="2970" w:type="dxa"/>
          </w:tcPr>
          <w:p w14:paraId="30B255B4"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F143D">
              <w:rPr>
                <w:sz w:val="17"/>
                <w:szCs w:val="17"/>
              </w:rPr>
              <w:t>Not a covered benefit for beneficiaries not meeting medical necessity criteria</w:t>
            </w:r>
          </w:p>
        </w:tc>
      </w:tr>
      <w:tr w:rsidR="00BF143D" w:rsidRPr="00BF143D" w14:paraId="5964B8DA" w14:textId="77777777" w:rsidTr="00BF143D">
        <w:trPr>
          <w:trHeight w:val="1394"/>
        </w:trPr>
        <w:tc>
          <w:tcPr>
            <w:cnfStyle w:val="001000000000" w:firstRow="0" w:lastRow="0" w:firstColumn="1" w:lastColumn="0" w:oddVBand="0" w:evenVBand="0" w:oddHBand="0" w:evenHBand="0" w:firstRowFirstColumn="0" w:firstRowLastColumn="0" w:lastRowFirstColumn="0" w:lastRowLastColumn="0"/>
            <w:tcW w:w="3600" w:type="dxa"/>
          </w:tcPr>
          <w:p w14:paraId="2F60673B" w14:textId="77777777" w:rsidR="00847483" w:rsidRPr="00BF143D" w:rsidRDefault="00847483" w:rsidP="00847483">
            <w:pPr>
              <w:pStyle w:val="Default"/>
              <w:rPr>
                <w:color w:val="auto"/>
                <w:szCs w:val="20"/>
              </w:rPr>
            </w:pPr>
            <w:r w:rsidRPr="00BF143D">
              <w:rPr>
                <w:color w:val="auto"/>
                <w:szCs w:val="20"/>
              </w:rPr>
              <w:t>Medication support services+</w:t>
            </w:r>
          </w:p>
          <w:p w14:paraId="20651049" w14:textId="77777777" w:rsidR="00847483" w:rsidRPr="00BF143D" w:rsidRDefault="00847483" w:rsidP="00847483">
            <w:pPr>
              <w:pStyle w:val="Default"/>
              <w:rPr>
                <w:i/>
                <w:color w:val="auto"/>
                <w:sz w:val="18"/>
                <w:szCs w:val="18"/>
              </w:rPr>
            </w:pPr>
            <w:r w:rsidRPr="00BF143D">
              <w:rPr>
                <w:color w:val="auto"/>
                <w:sz w:val="18"/>
                <w:szCs w:val="18"/>
              </w:rPr>
              <w:t>(</w:t>
            </w:r>
            <w:r w:rsidRPr="00BF143D">
              <w:rPr>
                <w:i/>
                <w:color w:val="auto"/>
                <w:sz w:val="18"/>
                <w:szCs w:val="18"/>
              </w:rPr>
              <w:t>Prescribing, administering, and dispensing; evaluation of the need for medication; evaluation of clinical effectiveness of side effects; and collateral related to medication support services)</w:t>
            </w:r>
          </w:p>
        </w:tc>
        <w:tc>
          <w:tcPr>
            <w:tcW w:w="1890" w:type="dxa"/>
          </w:tcPr>
          <w:p w14:paraId="602E8FCB"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Medicare</w:t>
            </w:r>
          </w:p>
        </w:tc>
        <w:tc>
          <w:tcPr>
            <w:tcW w:w="2790" w:type="dxa"/>
          </w:tcPr>
          <w:p w14:paraId="754F3F53"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 xml:space="preserve">Health plan </w:t>
            </w:r>
          </w:p>
          <w:p w14:paraId="7C3D5885"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970" w:type="dxa"/>
          </w:tcPr>
          <w:p w14:paraId="5879F2CE"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F143D">
              <w:rPr>
                <w:sz w:val="17"/>
                <w:szCs w:val="17"/>
              </w:rPr>
              <w:t>Health Plan</w:t>
            </w:r>
          </w:p>
        </w:tc>
      </w:tr>
      <w:tr w:rsidR="00BF143D" w:rsidRPr="00BF143D" w14:paraId="5AB2A8DC" w14:textId="77777777" w:rsidTr="00BF143D">
        <w:trPr>
          <w:trHeight w:val="1340"/>
        </w:trPr>
        <w:tc>
          <w:tcPr>
            <w:cnfStyle w:val="001000000000" w:firstRow="0" w:lastRow="0" w:firstColumn="1" w:lastColumn="0" w:oddVBand="0" w:evenVBand="0" w:oddHBand="0" w:evenHBand="0" w:firstRowFirstColumn="0" w:firstRowLastColumn="0" w:lastRowFirstColumn="0" w:lastRowLastColumn="0"/>
            <w:tcW w:w="3600" w:type="dxa"/>
          </w:tcPr>
          <w:p w14:paraId="0814723E" w14:textId="77777777" w:rsidR="00847483" w:rsidRPr="00BF143D" w:rsidRDefault="00847483" w:rsidP="00847483">
            <w:pPr>
              <w:pStyle w:val="Default"/>
              <w:rPr>
                <w:color w:val="auto"/>
                <w:szCs w:val="20"/>
              </w:rPr>
            </w:pPr>
            <w:r w:rsidRPr="00BF143D">
              <w:rPr>
                <w:color w:val="auto"/>
                <w:szCs w:val="20"/>
              </w:rPr>
              <w:t xml:space="preserve">Medication support services+ </w:t>
            </w:r>
          </w:p>
          <w:p w14:paraId="136F6F58" w14:textId="77777777" w:rsidR="00847483" w:rsidRPr="00BF143D" w:rsidRDefault="00847483" w:rsidP="000D4E4E">
            <w:pPr>
              <w:pStyle w:val="Default"/>
              <w:rPr>
                <w:i/>
                <w:color w:val="auto"/>
                <w:sz w:val="18"/>
                <w:szCs w:val="18"/>
              </w:rPr>
            </w:pPr>
            <w:r w:rsidRPr="00BF143D">
              <w:rPr>
                <w:i/>
                <w:color w:val="auto"/>
                <w:sz w:val="18"/>
                <w:szCs w:val="18"/>
              </w:rPr>
              <w:t>(obtaining informed consent linked to providing medication support services activities; instruction in the use, risks and benefits of and alternatives for m</w:t>
            </w:r>
            <w:r w:rsidR="000D4E4E" w:rsidRPr="00BF143D">
              <w:rPr>
                <w:i/>
                <w:color w:val="auto"/>
                <w:sz w:val="18"/>
                <w:szCs w:val="18"/>
              </w:rPr>
              <w:t>edication; and plan development</w:t>
            </w:r>
            <w:r w:rsidRPr="00BF143D">
              <w:rPr>
                <w:i/>
                <w:color w:val="auto"/>
                <w:sz w:val="18"/>
                <w:szCs w:val="18"/>
              </w:rPr>
              <w:t>)</w:t>
            </w:r>
          </w:p>
        </w:tc>
        <w:tc>
          <w:tcPr>
            <w:tcW w:w="1890" w:type="dxa"/>
          </w:tcPr>
          <w:p w14:paraId="350F4D00"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Medi-Cal</w:t>
            </w:r>
          </w:p>
        </w:tc>
        <w:tc>
          <w:tcPr>
            <w:tcW w:w="2790" w:type="dxa"/>
          </w:tcPr>
          <w:p w14:paraId="2709BE29"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County MHP</w:t>
            </w:r>
          </w:p>
        </w:tc>
        <w:tc>
          <w:tcPr>
            <w:tcW w:w="2970" w:type="dxa"/>
          </w:tcPr>
          <w:p w14:paraId="3BD0F779"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F143D">
              <w:rPr>
                <w:sz w:val="17"/>
                <w:szCs w:val="17"/>
              </w:rPr>
              <w:t>Not a covered benefit for beneficiaries not meeting medical necessity criteria</w:t>
            </w:r>
          </w:p>
        </w:tc>
      </w:tr>
      <w:tr w:rsidR="00BF143D" w:rsidRPr="00BF143D" w14:paraId="03686345" w14:textId="77777777" w:rsidTr="00BF143D">
        <w:trPr>
          <w:trHeight w:val="548"/>
        </w:trPr>
        <w:tc>
          <w:tcPr>
            <w:cnfStyle w:val="001000000000" w:firstRow="0" w:lastRow="0" w:firstColumn="1" w:lastColumn="0" w:oddVBand="0" w:evenVBand="0" w:oddHBand="0" w:evenHBand="0" w:firstRowFirstColumn="0" w:firstRowLastColumn="0" w:lastRowFirstColumn="0" w:lastRowLastColumn="0"/>
            <w:tcW w:w="3600" w:type="dxa"/>
          </w:tcPr>
          <w:p w14:paraId="1304D9D7" w14:textId="77777777" w:rsidR="00847483" w:rsidRPr="00BF143D" w:rsidRDefault="00847483" w:rsidP="00847483">
            <w:pPr>
              <w:spacing w:after="0"/>
              <w:rPr>
                <w:sz w:val="20"/>
                <w:szCs w:val="20"/>
              </w:rPr>
            </w:pPr>
            <w:r w:rsidRPr="00BF143D">
              <w:rPr>
                <w:sz w:val="20"/>
                <w:szCs w:val="20"/>
              </w:rPr>
              <w:t xml:space="preserve">Day treatment intensive </w:t>
            </w:r>
          </w:p>
        </w:tc>
        <w:tc>
          <w:tcPr>
            <w:tcW w:w="1890" w:type="dxa"/>
          </w:tcPr>
          <w:p w14:paraId="3C25BF62"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 xml:space="preserve">Medi-Cal </w:t>
            </w:r>
          </w:p>
        </w:tc>
        <w:tc>
          <w:tcPr>
            <w:tcW w:w="2790" w:type="dxa"/>
          </w:tcPr>
          <w:p w14:paraId="0F2BE7E0"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 xml:space="preserve">County MHP </w:t>
            </w:r>
          </w:p>
        </w:tc>
        <w:tc>
          <w:tcPr>
            <w:tcW w:w="2970" w:type="dxa"/>
          </w:tcPr>
          <w:p w14:paraId="226B249D"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F143D">
              <w:rPr>
                <w:sz w:val="17"/>
                <w:szCs w:val="17"/>
              </w:rPr>
              <w:t xml:space="preserve"> Not a covered benefit for beneficiaries not meeting medical necessity criteria </w:t>
            </w:r>
          </w:p>
        </w:tc>
      </w:tr>
      <w:tr w:rsidR="00BF143D" w:rsidRPr="00BF143D" w14:paraId="15481D3D" w14:textId="77777777" w:rsidTr="00BF143D">
        <w:trPr>
          <w:trHeight w:val="494"/>
        </w:trPr>
        <w:tc>
          <w:tcPr>
            <w:cnfStyle w:val="001000000000" w:firstRow="0" w:lastRow="0" w:firstColumn="1" w:lastColumn="0" w:oddVBand="0" w:evenVBand="0" w:oddHBand="0" w:evenHBand="0" w:firstRowFirstColumn="0" w:firstRowLastColumn="0" w:lastRowFirstColumn="0" w:lastRowLastColumn="0"/>
            <w:tcW w:w="3600" w:type="dxa"/>
          </w:tcPr>
          <w:p w14:paraId="56B50570" w14:textId="77777777" w:rsidR="00847483" w:rsidRPr="00BF143D" w:rsidRDefault="00847483" w:rsidP="00847483">
            <w:pPr>
              <w:spacing w:after="0"/>
              <w:rPr>
                <w:sz w:val="20"/>
                <w:szCs w:val="20"/>
              </w:rPr>
            </w:pPr>
            <w:r w:rsidRPr="00BF143D">
              <w:rPr>
                <w:sz w:val="20"/>
                <w:szCs w:val="20"/>
              </w:rPr>
              <w:t>Day rehabilitation</w:t>
            </w:r>
          </w:p>
        </w:tc>
        <w:tc>
          <w:tcPr>
            <w:tcW w:w="1890" w:type="dxa"/>
          </w:tcPr>
          <w:p w14:paraId="799E7C71"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 xml:space="preserve">Medi-Cal </w:t>
            </w:r>
          </w:p>
        </w:tc>
        <w:tc>
          <w:tcPr>
            <w:tcW w:w="2790" w:type="dxa"/>
          </w:tcPr>
          <w:p w14:paraId="5018E453"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County MHP</w:t>
            </w:r>
          </w:p>
        </w:tc>
        <w:tc>
          <w:tcPr>
            <w:tcW w:w="2970" w:type="dxa"/>
          </w:tcPr>
          <w:p w14:paraId="65FC25EF"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F143D">
              <w:rPr>
                <w:sz w:val="17"/>
                <w:szCs w:val="17"/>
              </w:rPr>
              <w:t>Not a covered benefit for beneficiaries not meeting medical necessity criteria</w:t>
            </w:r>
            <w:r w:rsidRPr="00BF143D" w:rsidDel="00A7051A">
              <w:rPr>
                <w:sz w:val="17"/>
                <w:szCs w:val="17"/>
              </w:rPr>
              <w:t xml:space="preserve"> </w:t>
            </w:r>
          </w:p>
        </w:tc>
      </w:tr>
      <w:tr w:rsidR="00BF143D" w:rsidRPr="00BF143D" w14:paraId="6D5DE66C" w14:textId="77777777" w:rsidTr="00BF143D">
        <w:trPr>
          <w:trHeight w:val="440"/>
        </w:trPr>
        <w:tc>
          <w:tcPr>
            <w:cnfStyle w:val="001000000000" w:firstRow="0" w:lastRow="0" w:firstColumn="1" w:lastColumn="0" w:oddVBand="0" w:evenVBand="0" w:oddHBand="0" w:evenHBand="0" w:firstRowFirstColumn="0" w:firstRowLastColumn="0" w:lastRowFirstColumn="0" w:lastRowLastColumn="0"/>
            <w:tcW w:w="3600" w:type="dxa"/>
          </w:tcPr>
          <w:p w14:paraId="0A9677B8" w14:textId="77777777" w:rsidR="00847483" w:rsidRPr="00BF143D" w:rsidRDefault="00847483" w:rsidP="00847483">
            <w:pPr>
              <w:spacing w:after="0"/>
              <w:rPr>
                <w:sz w:val="20"/>
                <w:szCs w:val="20"/>
              </w:rPr>
            </w:pPr>
            <w:r w:rsidRPr="00BF143D">
              <w:rPr>
                <w:sz w:val="20"/>
                <w:szCs w:val="20"/>
              </w:rPr>
              <w:t>Crisis intervention</w:t>
            </w:r>
          </w:p>
        </w:tc>
        <w:tc>
          <w:tcPr>
            <w:tcW w:w="1890" w:type="dxa"/>
          </w:tcPr>
          <w:p w14:paraId="497B770E"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 xml:space="preserve">Medi-Cal </w:t>
            </w:r>
          </w:p>
        </w:tc>
        <w:tc>
          <w:tcPr>
            <w:tcW w:w="2790" w:type="dxa"/>
          </w:tcPr>
          <w:p w14:paraId="20932A2E"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County MHP</w:t>
            </w:r>
          </w:p>
        </w:tc>
        <w:tc>
          <w:tcPr>
            <w:tcW w:w="2970" w:type="dxa"/>
          </w:tcPr>
          <w:p w14:paraId="48C5F53C"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F143D">
              <w:rPr>
                <w:sz w:val="17"/>
                <w:szCs w:val="17"/>
              </w:rPr>
              <w:t>Not a covered benefit for beneficiaries not meeting medical necessity criteria</w:t>
            </w:r>
            <w:r w:rsidRPr="00BF143D" w:rsidDel="00A7051A">
              <w:rPr>
                <w:sz w:val="17"/>
                <w:szCs w:val="17"/>
              </w:rPr>
              <w:t xml:space="preserve"> </w:t>
            </w:r>
          </w:p>
        </w:tc>
      </w:tr>
      <w:tr w:rsidR="00BF143D" w:rsidRPr="00BF143D" w14:paraId="3A37EF19" w14:textId="77777777" w:rsidTr="00BF143D">
        <w:trPr>
          <w:trHeight w:val="440"/>
        </w:trPr>
        <w:tc>
          <w:tcPr>
            <w:cnfStyle w:val="001000000000" w:firstRow="0" w:lastRow="0" w:firstColumn="1" w:lastColumn="0" w:oddVBand="0" w:evenVBand="0" w:oddHBand="0" w:evenHBand="0" w:firstRowFirstColumn="0" w:firstRowLastColumn="0" w:lastRowFirstColumn="0" w:lastRowLastColumn="0"/>
            <w:tcW w:w="3600" w:type="dxa"/>
          </w:tcPr>
          <w:p w14:paraId="465D9F17" w14:textId="77777777" w:rsidR="00847483" w:rsidRPr="00BF143D" w:rsidRDefault="00847483" w:rsidP="00847483">
            <w:pPr>
              <w:spacing w:after="0"/>
              <w:rPr>
                <w:sz w:val="20"/>
                <w:szCs w:val="20"/>
              </w:rPr>
            </w:pPr>
            <w:r w:rsidRPr="00BF143D">
              <w:rPr>
                <w:sz w:val="20"/>
                <w:szCs w:val="20"/>
              </w:rPr>
              <w:t>Crisis stabilization</w:t>
            </w:r>
          </w:p>
        </w:tc>
        <w:tc>
          <w:tcPr>
            <w:tcW w:w="1890" w:type="dxa"/>
          </w:tcPr>
          <w:p w14:paraId="10AD17E4"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 xml:space="preserve">Medi-Cal </w:t>
            </w:r>
          </w:p>
        </w:tc>
        <w:tc>
          <w:tcPr>
            <w:tcW w:w="2790" w:type="dxa"/>
          </w:tcPr>
          <w:p w14:paraId="5B7A33D5"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County MHP</w:t>
            </w:r>
          </w:p>
        </w:tc>
        <w:tc>
          <w:tcPr>
            <w:tcW w:w="2970" w:type="dxa"/>
          </w:tcPr>
          <w:p w14:paraId="7A236072"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F143D">
              <w:rPr>
                <w:sz w:val="17"/>
                <w:szCs w:val="17"/>
              </w:rPr>
              <w:t>Not a covered benefit for beneficiaries not meeting medical necessity criteria</w:t>
            </w:r>
            <w:r w:rsidRPr="00BF143D" w:rsidDel="00A7051A">
              <w:rPr>
                <w:sz w:val="17"/>
                <w:szCs w:val="17"/>
              </w:rPr>
              <w:t xml:space="preserve"> </w:t>
            </w:r>
          </w:p>
        </w:tc>
      </w:tr>
      <w:tr w:rsidR="00BF143D" w:rsidRPr="00BF143D" w14:paraId="502DA36B" w14:textId="77777777" w:rsidTr="00BF143D">
        <w:trPr>
          <w:trHeight w:val="494"/>
        </w:trPr>
        <w:tc>
          <w:tcPr>
            <w:cnfStyle w:val="001000000000" w:firstRow="0" w:lastRow="0" w:firstColumn="1" w:lastColumn="0" w:oddVBand="0" w:evenVBand="0" w:oddHBand="0" w:evenHBand="0" w:firstRowFirstColumn="0" w:firstRowLastColumn="0" w:lastRowFirstColumn="0" w:lastRowLastColumn="0"/>
            <w:tcW w:w="3600" w:type="dxa"/>
          </w:tcPr>
          <w:p w14:paraId="0EDC6B53" w14:textId="77777777" w:rsidR="00847483" w:rsidRPr="00BF143D" w:rsidRDefault="00847483" w:rsidP="00847483">
            <w:pPr>
              <w:spacing w:after="0"/>
              <w:rPr>
                <w:sz w:val="20"/>
                <w:szCs w:val="20"/>
              </w:rPr>
            </w:pPr>
            <w:r w:rsidRPr="00BF143D">
              <w:rPr>
                <w:sz w:val="20"/>
                <w:szCs w:val="20"/>
              </w:rPr>
              <w:t>Adult Residential treatment services</w:t>
            </w:r>
          </w:p>
        </w:tc>
        <w:tc>
          <w:tcPr>
            <w:tcW w:w="1890" w:type="dxa"/>
          </w:tcPr>
          <w:p w14:paraId="390E0F71"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 xml:space="preserve">Medi-Cal </w:t>
            </w:r>
          </w:p>
        </w:tc>
        <w:tc>
          <w:tcPr>
            <w:tcW w:w="2790" w:type="dxa"/>
          </w:tcPr>
          <w:p w14:paraId="6B73360B"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County MHP</w:t>
            </w:r>
          </w:p>
        </w:tc>
        <w:tc>
          <w:tcPr>
            <w:tcW w:w="2970" w:type="dxa"/>
          </w:tcPr>
          <w:p w14:paraId="3DED3596"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F143D">
              <w:rPr>
                <w:sz w:val="17"/>
                <w:szCs w:val="17"/>
              </w:rPr>
              <w:t>Not a covered benefit for beneficiaries not meeting medical necessity criteria</w:t>
            </w:r>
            <w:r w:rsidRPr="00BF143D" w:rsidDel="00A7051A">
              <w:rPr>
                <w:sz w:val="17"/>
                <w:szCs w:val="17"/>
              </w:rPr>
              <w:t xml:space="preserve"> </w:t>
            </w:r>
          </w:p>
        </w:tc>
      </w:tr>
      <w:tr w:rsidR="00BF143D" w:rsidRPr="00BF143D" w14:paraId="548E1B46" w14:textId="77777777" w:rsidTr="00BF143D">
        <w:trPr>
          <w:trHeight w:val="377"/>
        </w:trPr>
        <w:tc>
          <w:tcPr>
            <w:cnfStyle w:val="001000000000" w:firstRow="0" w:lastRow="0" w:firstColumn="1" w:lastColumn="0" w:oddVBand="0" w:evenVBand="0" w:oddHBand="0" w:evenHBand="0" w:firstRowFirstColumn="0" w:firstRowLastColumn="0" w:lastRowFirstColumn="0" w:lastRowLastColumn="0"/>
            <w:tcW w:w="3600" w:type="dxa"/>
          </w:tcPr>
          <w:p w14:paraId="01E3173E" w14:textId="77777777" w:rsidR="00847483" w:rsidRPr="00BF143D" w:rsidRDefault="00847483" w:rsidP="00847483">
            <w:pPr>
              <w:spacing w:after="0"/>
              <w:rPr>
                <w:sz w:val="20"/>
                <w:szCs w:val="20"/>
              </w:rPr>
            </w:pPr>
            <w:r w:rsidRPr="00BF143D">
              <w:rPr>
                <w:sz w:val="20"/>
                <w:szCs w:val="20"/>
              </w:rPr>
              <w:t>Crisis residential treatment services</w:t>
            </w:r>
          </w:p>
        </w:tc>
        <w:tc>
          <w:tcPr>
            <w:tcW w:w="1890" w:type="dxa"/>
          </w:tcPr>
          <w:p w14:paraId="7FFF510E"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 xml:space="preserve">Medi-Cal </w:t>
            </w:r>
          </w:p>
        </w:tc>
        <w:tc>
          <w:tcPr>
            <w:tcW w:w="2790" w:type="dxa"/>
          </w:tcPr>
          <w:p w14:paraId="00D57463"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County MHP</w:t>
            </w:r>
          </w:p>
        </w:tc>
        <w:tc>
          <w:tcPr>
            <w:tcW w:w="2970" w:type="dxa"/>
          </w:tcPr>
          <w:p w14:paraId="17DEAC8B"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F143D">
              <w:rPr>
                <w:sz w:val="17"/>
                <w:szCs w:val="17"/>
              </w:rPr>
              <w:t>Not a covered benefit for beneficiaries not meeting medical necessity criteria</w:t>
            </w:r>
            <w:r w:rsidRPr="00BF143D" w:rsidDel="00A7051A">
              <w:rPr>
                <w:sz w:val="17"/>
                <w:szCs w:val="17"/>
              </w:rPr>
              <w:t xml:space="preserve"> </w:t>
            </w:r>
          </w:p>
        </w:tc>
      </w:tr>
      <w:tr w:rsidR="00BF143D" w:rsidRPr="00BF143D" w14:paraId="0B5111AD" w14:textId="77777777" w:rsidTr="00BF143D">
        <w:trPr>
          <w:trHeight w:val="800"/>
        </w:trPr>
        <w:tc>
          <w:tcPr>
            <w:cnfStyle w:val="001000000000" w:firstRow="0" w:lastRow="0" w:firstColumn="1" w:lastColumn="0" w:oddVBand="0" w:evenVBand="0" w:oddHBand="0" w:evenHBand="0" w:firstRowFirstColumn="0" w:firstRowLastColumn="0" w:lastRowFirstColumn="0" w:lastRowLastColumn="0"/>
            <w:tcW w:w="3600" w:type="dxa"/>
          </w:tcPr>
          <w:p w14:paraId="6AB93C68" w14:textId="77777777" w:rsidR="00847483" w:rsidRPr="00BF143D" w:rsidRDefault="00847483" w:rsidP="00847483">
            <w:pPr>
              <w:spacing w:after="0"/>
              <w:rPr>
                <w:sz w:val="20"/>
                <w:szCs w:val="20"/>
              </w:rPr>
            </w:pPr>
            <w:r w:rsidRPr="00BF143D">
              <w:rPr>
                <w:sz w:val="20"/>
                <w:szCs w:val="20"/>
              </w:rPr>
              <w:t>Targeted Case Management</w:t>
            </w:r>
          </w:p>
        </w:tc>
        <w:tc>
          <w:tcPr>
            <w:tcW w:w="1890" w:type="dxa"/>
          </w:tcPr>
          <w:p w14:paraId="5F4F608F"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 xml:space="preserve">Medi-Cal </w:t>
            </w:r>
          </w:p>
        </w:tc>
        <w:tc>
          <w:tcPr>
            <w:tcW w:w="2790" w:type="dxa"/>
          </w:tcPr>
          <w:p w14:paraId="033834AE"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F143D">
              <w:rPr>
                <w:sz w:val="20"/>
                <w:szCs w:val="20"/>
              </w:rPr>
              <w:t>County MHP</w:t>
            </w:r>
          </w:p>
        </w:tc>
        <w:tc>
          <w:tcPr>
            <w:tcW w:w="2970" w:type="dxa"/>
          </w:tcPr>
          <w:p w14:paraId="1E49ABD0" w14:textId="77777777" w:rsidR="00847483" w:rsidRPr="00BF143D" w:rsidRDefault="00847483" w:rsidP="0084748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F143D">
              <w:rPr>
                <w:sz w:val="17"/>
                <w:szCs w:val="17"/>
              </w:rPr>
              <w:t>Not a covered benefit for beneficiaries not meeting medical necessity criteria</w:t>
            </w:r>
            <w:r w:rsidRPr="00BF143D" w:rsidDel="00A7051A">
              <w:rPr>
                <w:sz w:val="17"/>
                <w:szCs w:val="17"/>
              </w:rPr>
              <w:t xml:space="preserve"> </w:t>
            </w:r>
          </w:p>
        </w:tc>
      </w:tr>
    </w:tbl>
    <w:p w14:paraId="401FCC6D" w14:textId="77777777" w:rsidR="00AA37BE" w:rsidRPr="00BF143D" w:rsidRDefault="00847483" w:rsidP="00847483">
      <w:pPr>
        <w:ind w:left="-720"/>
        <w:rPr>
          <w:rFonts w:ascii="Times New Roman" w:hAnsi="Times New Roman" w:cs="Times New Roman"/>
          <w:sz w:val="18"/>
          <w:szCs w:val="18"/>
        </w:rPr>
      </w:pPr>
      <w:r w:rsidRPr="00BF143D">
        <w:rPr>
          <w:rFonts w:ascii="Times New Roman" w:hAnsi="Times New Roman" w:cs="Times New Roman"/>
          <w:sz w:val="18"/>
          <w:szCs w:val="18"/>
        </w:rPr>
        <w:t>+ Medicare and Medi-Cal coverage must be coordinated subject to federal and state reimbursement requirements. For further details on the services within these categories that are claimable to Medicare and Medi-Cal please see the following:</w:t>
      </w:r>
    </w:p>
    <w:p w14:paraId="1EF23C61" w14:textId="77777777" w:rsidR="00AA37BE" w:rsidRPr="00BF143D" w:rsidRDefault="00B427D5" w:rsidP="00AA37BE">
      <w:pPr>
        <w:pStyle w:val="ColorfulList-Accent1"/>
        <w:numPr>
          <w:ilvl w:val="0"/>
          <w:numId w:val="20"/>
        </w:numPr>
        <w:spacing w:after="60" w:line="240" w:lineRule="auto"/>
        <w:rPr>
          <w:rFonts w:ascii="Times New Roman" w:hAnsi="Times New Roman" w:cs="Times New Roman"/>
          <w:sz w:val="16"/>
          <w:szCs w:val="16"/>
        </w:rPr>
      </w:pPr>
      <w:hyperlink r:id="rId19" w:history="1">
        <w:r w:rsidR="00847483" w:rsidRPr="00BF143D">
          <w:rPr>
            <w:rStyle w:val="Hyperlink"/>
            <w:rFonts w:ascii="Times New Roman" w:hAnsi="Times New Roman"/>
            <w:color w:val="auto"/>
            <w:sz w:val="16"/>
            <w:szCs w:val="16"/>
          </w:rPr>
          <w:t>DMH INFORMATION NOTICE NO: 10-11</w:t>
        </w:r>
      </w:hyperlink>
      <w:r w:rsidR="00847483" w:rsidRPr="00BF143D">
        <w:rPr>
          <w:rFonts w:ascii="Times New Roman" w:hAnsi="Times New Roman" w:cs="Times New Roman"/>
          <w:sz w:val="16"/>
          <w:szCs w:val="16"/>
        </w:rPr>
        <w:t xml:space="preserve"> May 6, 2010;  </w:t>
      </w:r>
    </w:p>
    <w:p w14:paraId="4E03135A" w14:textId="77777777" w:rsidR="00AA37BE" w:rsidRPr="00BF143D" w:rsidRDefault="00B427D5" w:rsidP="00AA37BE">
      <w:pPr>
        <w:pStyle w:val="ColorfulList-Accent1"/>
        <w:numPr>
          <w:ilvl w:val="0"/>
          <w:numId w:val="20"/>
        </w:numPr>
        <w:spacing w:after="60" w:line="240" w:lineRule="auto"/>
        <w:rPr>
          <w:rFonts w:ascii="Times New Roman" w:hAnsi="Times New Roman" w:cs="Times New Roman"/>
          <w:sz w:val="16"/>
          <w:szCs w:val="16"/>
        </w:rPr>
      </w:pPr>
      <w:hyperlink r:id="rId20" w:history="1">
        <w:r w:rsidR="00847483" w:rsidRPr="00BF143D">
          <w:rPr>
            <w:rStyle w:val="Hyperlink"/>
            <w:rFonts w:ascii="Times New Roman" w:hAnsi="Times New Roman"/>
            <w:color w:val="auto"/>
            <w:sz w:val="16"/>
            <w:szCs w:val="16"/>
          </w:rPr>
          <w:t>DMH INFORMATION NOTICE NO: 10-23</w:t>
        </w:r>
      </w:hyperlink>
      <w:r w:rsidR="00847483" w:rsidRPr="00BF143D">
        <w:rPr>
          <w:rFonts w:ascii="Times New Roman" w:hAnsi="Times New Roman" w:cs="Times New Roman"/>
          <w:sz w:val="16"/>
          <w:szCs w:val="16"/>
        </w:rPr>
        <w:t xml:space="preserve"> Nov. 18, 2010;</w:t>
      </w:r>
    </w:p>
    <w:p w14:paraId="670A53C9" w14:textId="77777777" w:rsidR="00847483" w:rsidRPr="00BF143D" w:rsidRDefault="00B427D5" w:rsidP="00AA37BE">
      <w:pPr>
        <w:pStyle w:val="ColorfulList-Accent1"/>
        <w:numPr>
          <w:ilvl w:val="0"/>
          <w:numId w:val="20"/>
        </w:numPr>
        <w:spacing w:after="60" w:line="240" w:lineRule="auto"/>
        <w:rPr>
          <w:rFonts w:ascii="Times New Roman" w:hAnsi="Times New Roman" w:cs="Times New Roman"/>
          <w:sz w:val="16"/>
          <w:szCs w:val="16"/>
        </w:rPr>
      </w:pPr>
      <w:hyperlink r:id="rId21" w:history="1">
        <w:r w:rsidR="00847483" w:rsidRPr="00BF143D">
          <w:rPr>
            <w:rStyle w:val="Hyperlink"/>
            <w:rFonts w:ascii="Times New Roman" w:hAnsi="Times New Roman"/>
            <w:color w:val="auto"/>
            <w:sz w:val="16"/>
            <w:szCs w:val="16"/>
          </w:rPr>
          <w:t>DMH INFORMATION NOTICE NO: 11-06</w:t>
        </w:r>
      </w:hyperlink>
      <w:r w:rsidR="00847483" w:rsidRPr="00BF143D">
        <w:rPr>
          <w:rFonts w:ascii="Times New Roman" w:hAnsi="Times New Roman" w:cs="Times New Roman"/>
          <w:sz w:val="16"/>
          <w:szCs w:val="16"/>
        </w:rPr>
        <w:t xml:space="preserve"> April 29, 2011</w:t>
      </w:r>
    </w:p>
    <w:p w14:paraId="123D3C09" w14:textId="77777777" w:rsidR="00847483" w:rsidRPr="00BF143D" w:rsidRDefault="00847483" w:rsidP="00847483">
      <w:pPr>
        <w:rPr>
          <w:sz w:val="18"/>
          <w:szCs w:val="18"/>
        </w:rPr>
      </w:pPr>
    </w:p>
    <w:p w14:paraId="5234DBF7" w14:textId="77777777" w:rsidR="00847483" w:rsidRPr="00BF143D" w:rsidRDefault="00847483" w:rsidP="00847483">
      <w:pPr>
        <w:rPr>
          <w:sz w:val="18"/>
          <w:szCs w:val="18"/>
        </w:rPr>
      </w:pPr>
    </w:p>
    <w:p w14:paraId="50E7837F" w14:textId="77777777" w:rsidR="000D4E4E" w:rsidRPr="00BF143D" w:rsidRDefault="000D4E4E">
      <w:pPr>
        <w:spacing w:after="0" w:line="240" w:lineRule="auto"/>
        <w:rPr>
          <w:sz w:val="18"/>
          <w:szCs w:val="18"/>
        </w:rPr>
      </w:pPr>
      <w:r w:rsidRPr="00BF143D">
        <w:rPr>
          <w:sz w:val="18"/>
          <w:szCs w:val="18"/>
        </w:rPr>
        <w:br w:type="page"/>
      </w:r>
    </w:p>
    <w:p w14:paraId="5CAC8723" w14:textId="77777777" w:rsidR="00847483" w:rsidRPr="00BF143D" w:rsidRDefault="00847483" w:rsidP="00847483">
      <w:pPr>
        <w:rPr>
          <w:sz w:val="18"/>
          <w:szCs w:val="18"/>
        </w:rPr>
      </w:pPr>
    </w:p>
    <w:p w14:paraId="61C9280C" w14:textId="77777777" w:rsidR="00847483" w:rsidRPr="00BF143D" w:rsidRDefault="00847483" w:rsidP="00BF143D">
      <w:pPr>
        <w:pStyle w:val="Heading1"/>
      </w:pPr>
      <w:r w:rsidRPr="00BF143D">
        <w:lastRenderedPageBreak/>
        <w:t>Coverage Matrix 2: Substance Use Disorder Benefit</w:t>
      </w:r>
    </w:p>
    <w:tbl>
      <w:tblPr>
        <w:tblStyle w:val="TableClassic4"/>
        <w:tblW w:w="10980" w:type="dxa"/>
        <w:tblLayout w:type="fixed"/>
        <w:tblLook w:val="00A0" w:firstRow="1" w:lastRow="0" w:firstColumn="1" w:lastColumn="0" w:noHBand="0" w:noVBand="0"/>
      </w:tblPr>
      <w:tblGrid>
        <w:gridCol w:w="1674"/>
        <w:gridCol w:w="4896"/>
        <w:gridCol w:w="1620"/>
        <w:gridCol w:w="2790"/>
      </w:tblGrid>
      <w:tr w:rsidR="00BF143D" w:rsidRPr="00BF143D" w14:paraId="39703FBE" w14:textId="77777777" w:rsidTr="00BF143D">
        <w:trPr>
          <w:cnfStyle w:val="100000000000" w:firstRow="1" w:lastRow="0" w:firstColumn="0" w:lastColumn="0" w:oddVBand="0" w:evenVBand="0" w:oddHBand="0" w:evenHBand="0" w:firstRowFirstColumn="0" w:firstRowLastColumn="0" w:lastRowFirstColumn="0" w:lastRowLastColumn="0"/>
          <w:trHeight w:val="548"/>
        </w:trPr>
        <w:tc>
          <w:tcPr>
            <w:cnfStyle w:val="001000000100" w:firstRow="0" w:lastRow="0" w:firstColumn="1" w:lastColumn="0" w:oddVBand="0" w:evenVBand="0" w:oddHBand="0" w:evenHBand="0" w:firstRowFirstColumn="1" w:firstRowLastColumn="0" w:lastRowFirstColumn="0" w:lastRowLastColumn="0"/>
            <w:tcW w:w="1674" w:type="dxa"/>
          </w:tcPr>
          <w:p w14:paraId="7D12487F" w14:textId="77777777" w:rsidR="00847483" w:rsidRPr="00BF143D" w:rsidRDefault="00847483" w:rsidP="00BF143D">
            <w:pPr>
              <w:pStyle w:val="Heading1"/>
              <w:rPr>
                <w:color w:val="auto"/>
              </w:rPr>
            </w:pPr>
          </w:p>
        </w:tc>
        <w:tc>
          <w:tcPr>
            <w:tcW w:w="4896" w:type="dxa"/>
          </w:tcPr>
          <w:p w14:paraId="41741ECE" w14:textId="77777777" w:rsidR="00847483" w:rsidRPr="00BF143D" w:rsidRDefault="00847483" w:rsidP="00BF143D">
            <w:pPr>
              <w:pStyle w:val="Heading1"/>
              <w:cnfStyle w:val="100000000000" w:firstRow="1" w:lastRow="0" w:firstColumn="0" w:lastColumn="0" w:oddVBand="0" w:evenVBand="0" w:oddHBand="0" w:evenHBand="0" w:firstRowFirstColumn="0" w:firstRowLastColumn="0" w:lastRowFirstColumn="0" w:lastRowLastColumn="0"/>
              <w:rPr>
                <w:color w:val="auto"/>
              </w:rPr>
            </w:pPr>
            <w:r w:rsidRPr="00BF143D">
              <w:rPr>
                <w:color w:val="auto"/>
              </w:rPr>
              <w:t>Type of Service</w:t>
            </w:r>
          </w:p>
        </w:tc>
        <w:tc>
          <w:tcPr>
            <w:tcW w:w="1620" w:type="dxa"/>
          </w:tcPr>
          <w:p w14:paraId="1ECEA99E" w14:textId="77777777" w:rsidR="00847483" w:rsidRPr="00BF143D" w:rsidRDefault="00847483" w:rsidP="00BF143D">
            <w:pPr>
              <w:pStyle w:val="Heading1"/>
              <w:cnfStyle w:val="100000000000" w:firstRow="1" w:lastRow="0" w:firstColumn="0" w:lastColumn="0" w:oddVBand="0" w:evenVBand="0" w:oddHBand="0" w:evenHBand="0" w:firstRowFirstColumn="0" w:firstRowLastColumn="0" w:lastRowFirstColumn="0" w:lastRowLastColumn="0"/>
              <w:rPr>
                <w:color w:val="auto"/>
              </w:rPr>
            </w:pPr>
            <w:r w:rsidRPr="00BF143D">
              <w:rPr>
                <w:color w:val="auto"/>
              </w:rPr>
              <w:t>Primary Payer</w:t>
            </w:r>
          </w:p>
        </w:tc>
        <w:tc>
          <w:tcPr>
            <w:tcW w:w="2790" w:type="dxa"/>
          </w:tcPr>
          <w:p w14:paraId="794DD1A2" w14:textId="77777777" w:rsidR="00847483" w:rsidRPr="00BF143D" w:rsidRDefault="00847483" w:rsidP="00BF143D">
            <w:pPr>
              <w:pStyle w:val="Heading1"/>
              <w:cnfStyle w:val="100000000000" w:firstRow="1" w:lastRow="0" w:firstColumn="0" w:lastColumn="0" w:oddVBand="0" w:evenVBand="0" w:oddHBand="0" w:evenHBand="0" w:firstRowFirstColumn="0" w:firstRowLastColumn="0" w:lastRowFirstColumn="0" w:lastRowLastColumn="0"/>
              <w:rPr>
                <w:color w:val="auto"/>
              </w:rPr>
            </w:pPr>
            <w:r w:rsidRPr="00BF143D">
              <w:rPr>
                <w:color w:val="auto"/>
              </w:rPr>
              <w:t>Demonstration Responsibility</w:t>
            </w:r>
          </w:p>
        </w:tc>
      </w:tr>
      <w:tr w:rsidR="00BF143D" w:rsidRPr="00BF143D" w14:paraId="04EC0ABE" w14:textId="77777777" w:rsidTr="00BF143D">
        <w:trPr>
          <w:trHeight w:val="1160"/>
        </w:trPr>
        <w:tc>
          <w:tcPr>
            <w:cnfStyle w:val="001000000000" w:firstRow="0" w:lastRow="0" w:firstColumn="1" w:lastColumn="0" w:oddVBand="0" w:evenVBand="0" w:oddHBand="0" w:evenHBand="0" w:firstRowFirstColumn="0" w:firstRowLastColumn="0" w:lastRowFirstColumn="0" w:lastRowLastColumn="0"/>
            <w:tcW w:w="1674" w:type="dxa"/>
          </w:tcPr>
          <w:p w14:paraId="224A3AA9" w14:textId="77777777" w:rsidR="00847483" w:rsidRPr="00BF143D" w:rsidRDefault="00847483" w:rsidP="00BF143D">
            <w:pPr>
              <w:pStyle w:val="Heading1"/>
              <w:rPr>
                <w:color w:val="auto"/>
              </w:rPr>
            </w:pPr>
            <w:r w:rsidRPr="00BF143D">
              <w:rPr>
                <w:color w:val="auto"/>
              </w:rPr>
              <w:t xml:space="preserve">Inpatient Acute and Acute Psychiatric Hospitals </w:t>
            </w:r>
          </w:p>
        </w:tc>
        <w:tc>
          <w:tcPr>
            <w:tcW w:w="4896" w:type="dxa"/>
          </w:tcPr>
          <w:p w14:paraId="14B928AF"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Detoxification</w:t>
            </w:r>
          </w:p>
        </w:tc>
        <w:tc>
          <w:tcPr>
            <w:tcW w:w="1620" w:type="dxa"/>
          </w:tcPr>
          <w:p w14:paraId="1E5A7966"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Medicare</w:t>
            </w:r>
          </w:p>
        </w:tc>
        <w:tc>
          <w:tcPr>
            <w:tcW w:w="2790" w:type="dxa"/>
          </w:tcPr>
          <w:p w14:paraId="0FEFFDE6"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Health Plan</w:t>
            </w:r>
          </w:p>
        </w:tc>
      </w:tr>
      <w:tr w:rsidR="00BF143D" w:rsidRPr="00BF143D" w14:paraId="4CCE61E7" w14:textId="77777777" w:rsidTr="00BF143D">
        <w:trPr>
          <w:trHeight w:val="653"/>
        </w:trPr>
        <w:tc>
          <w:tcPr>
            <w:cnfStyle w:val="001000000000" w:firstRow="0" w:lastRow="0" w:firstColumn="1" w:lastColumn="0" w:oddVBand="0" w:evenVBand="0" w:oddHBand="0" w:evenHBand="0" w:firstRowFirstColumn="0" w:firstRowLastColumn="0" w:lastRowFirstColumn="0" w:lastRowLastColumn="0"/>
            <w:tcW w:w="1674" w:type="dxa"/>
          </w:tcPr>
          <w:p w14:paraId="6E64D89D" w14:textId="77777777" w:rsidR="00847483" w:rsidRPr="00BF143D" w:rsidRDefault="00847483" w:rsidP="00BF143D">
            <w:pPr>
              <w:pStyle w:val="Heading1"/>
              <w:rPr>
                <w:color w:val="auto"/>
              </w:rPr>
            </w:pPr>
          </w:p>
        </w:tc>
        <w:tc>
          <w:tcPr>
            <w:tcW w:w="4896" w:type="dxa"/>
          </w:tcPr>
          <w:p w14:paraId="2DD6E4B7"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rFonts w:ascii="Times" w:eastAsia="Times New Roman" w:hAnsi="Times"/>
                <w:color w:val="auto"/>
              </w:rPr>
            </w:pPr>
            <w:r w:rsidRPr="00BF143D">
              <w:rPr>
                <w:color w:val="auto"/>
              </w:rPr>
              <w:t>Treatment of Drug Abuse</w:t>
            </w:r>
            <w:r w:rsidRPr="00BF143D">
              <w:rPr>
                <w:rStyle w:val="FootnoteReference"/>
                <w:color w:val="auto"/>
                <w:sz w:val="20"/>
                <w:szCs w:val="20"/>
              </w:rPr>
              <w:footnoteReference w:id="5"/>
            </w:r>
            <w:r w:rsidRPr="00BF143D">
              <w:rPr>
                <w:color w:val="auto"/>
              </w:rPr>
              <w:t xml:space="preserve"> (</w:t>
            </w:r>
            <w:r w:rsidRPr="00BF143D">
              <w:rPr>
                <w:rFonts w:eastAsia="Times New Roman"/>
                <w:color w:val="auto"/>
                <w:sz w:val="18"/>
                <w:szCs w:val="18"/>
              </w:rPr>
              <w:t>Medicare Benefit Policy Manual, Chapter 6 §20, and Chapter 16 §90</w:t>
            </w:r>
            <w:r w:rsidRPr="00BF143D">
              <w:rPr>
                <w:rFonts w:ascii="Times" w:eastAsia="Times New Roman" w:hAnsi="Times"/>
                <w:color w:val="auto"/>
              </w:rPr>
              <w:t>)</w:t>
            </w:r>
          </w:p>
        </w:tc>
        <w:tc>
          <w:tcPr>
            <w:tcW w:w="1620" w:type="dxa"/>
          </w:tcPr>
          <w:p w14:paraId="281106B1"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Medicare</w:t>
            </w:r>
          </w:p>
        </w:tc>
        <w:tc>
          <w:tcPr>
            <w:tcW w:w="2790" w:type="dxa"/>
          </w:tcPr>
          <w:p w14:paraId="303A6F58"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Health Plan</w:t>
            </w:r>
          </w:p>
        </w:tc>
      </w:tr>
      <w:tr w:rsidR="00BF143D" w:rsidRPr="00BF143D" w14:paraId="636BAA47" w14:textId="77777777" w:rsidTr="00BF143D">
        <w:trPr>
          <w:trHeight w:val="674"/>
        </w:trPr>
        <w:tc>
          <w:tcPr>
            <w:cnfStyle w:val="001000000000" w:firstRow="0" w:lastRow="0" w:firstColumn="1" w:lastColumn="0" w:oddVBand="0" w:evenVBand="0" w:oddHBand="0" w:evenHBand="0" w:firstRowFirstColumn="0" w:firstRowLastColumn="0" w:lastRowFirstColumn="0" w:lastRowLastColumn="0"/>
            <w:tcW w:w="1674" w:type="dxa"/>
            <w:vMerge w:val="restart"/>
          </w:tcPr>
          <w:p w14:paraId="248EBA14" w14:textId="77777777" w:rsidR="00847483" w:rsidRPr="00BF143D" w:rsidRDefault="00847483" w:rsidP="00BF143D">
            <w:pPr>
              <w:pStyle w:val="Heading1"/>
              <w:rPr>
                <w:color w:val="auto"/>
              </w:rPr>
            </w:pPr>
            <w:r w:rsidRPr="00BF143D">
              <w:rPr>
                <w:color w:val="auto"/>
              </w:rPr>
              <w:t>Outpatient</w:t>
            </w:r>
          </w:p>
        </w:tc>
        <w:tc>
          <w:tcPr>
            <w:tcW w:w="4896" w:type="dxa"/>
          </w:tcPr>
          <w:p w14:paraId="12855EF8"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rFonts w:ascii="Arial" w:hAnsi="Arial" w:cs="Arial"/>
                <w:b/>
                <w:bCs/>
                <w:color w:val="auto"/>
              </w:rPr>
            </w:pPr>
            <w:r w:rsidRPr="00BF143D">
              <w:rPr>
                <w:rFonts w:ascii="Arial" w:hAnsi="Arial" w:cs="Arial"/>
                <w:b/>
                <w:bCs/>
                <w:color w:val="auto"/>
              </w:rPr>
              <w:t>Alcohol Misuse Counseling: one alcohol misuse screening (SBIRT) per year. Up to four counseling sessions may be covered if positive screening results. Must be delivered in a primary care setting.</w:t>
            </w:r>
            <w:r w:rsidRPr="00BF143D">
              <w:rPr>
                <w:rStyle w:val="FootnoteReference"/>
                <w:rFonts w:ascii="Arial" w:hAnsi="Arial"/>
                <w:b/>
                <w:bCs/>
                <w:i/>
                <w:iCs/>
                <w:color w:val="auto"/>
                <w:sz w:val="20"/>
                <w:szCs w:val="20"/>
              </w:rPr>
              <w:footnoteReference w:id="6"/>
            </w:r>
          </w:p>
        </w:tc>
        <w:tc>
          <w:tcPr>
            <w:tcW w:w="1620" w:type="dxa"/>
          </w:tcPr>
          <w:p w14:paraId="2199116F"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Medicare</w:t>
            </w:r>
          </w:p>
        </w:tc>
        <w:tc>
          <w:tcPr>
            <w:tcW w:w="2790" w:type="dxa"/>
          </w:tcPr>
          <w:p w14:paraId="083E91CA"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Health Plan</w:t>
            </w:r>
          </w:p>
        </w:tc>
      </w:tr>
      <w:tr w:rsidR="00BF143D" w:rsidRPr="00BF143D" w14:paraId="3CEB7D28" w14:textId="77777777" w:rsidTr="00BF143D">
        <w:trPr>
          <w:trHeight w:val="98"/>
        </w:trPr>
        <w:tc>
          <w:tcPr>
            <w:cnfStyle w:val="001000000000" w:firstRow="0" w:lastRow="0" w:firstColumn="1" w:lastColumn="0" w:oddVBand="0" w:evenVBand="0" w:oddHBand="0" w:evenHBand="0" w:firstRowFirstColumn="0" w:firstRowLastColumn="0" w:lastRowFirstColumn="0" w:lastRowLastColumn="0"/>
            <w:tcW w:w="1674" w:type="dxa"/>
            <w:vMerge/>
          </w:tcPr>
          <w:p w14:paraId="347052F7" w14:textId="77777777" w:rsidR="00847483" w:rsidRPr="00BF143D" w:rsidRDefault="00847483" w:rsidP="00BF143D">
            <w:pPr>
              <w:pStyle w:val="Heading1"/>
              <w:rPr>
                <w:color w:val="auto"/>
              </w:rPr>
            </w:pPr>
          </w:p>
        </w:tc>
        <w:tc>
          <w:tcPr>
            <w:tcW w:w="4896" w:type="dxa"/>
          </w:tcPr>
          <w:p w14:paraId="542B9A28"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Group or individual counseling by a qualified clinician</w:t>
            </w:r>
          </w:p>
        </w:tc>
        <w:tc>
          <w:tcPr>
            <w:tcW w:w="1620" w:type="dxa"/>
          </w:tcPr>
          <w:p w14:paraId="27C5D4DD"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Medicare</w:t>
            </w:r>
          </w:p>
        </w:tc>
        <w:tc>
          <w:tcPr>
            <w:tcW w:w="2790" w:type="dxa"/>
          </w:tcPr>
          <w:p w14:paraId="6B83DE13"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Health Plan</w:t>
            </w:r>
          </w:p>
        </w:tc>
      </w:tr>
      <w:tr w:rsidR="00BF143D" w:rsidRPr="00BF143D" w14:paraId="205080CE" w14:textId="77777777" w:rsidTr="00BF143D">
        <w:trPr>
          <w:trHeight w:val="872"/>
        </w:trPr>
        <w:tc>
          <w:tcPr>
            <w:cnfStyle w:val="001000000000" w:firstRow="0" w:lastRow="0" w:firstColumn="1" w:lastColumn="0" w:oddVBand="0" w:evenVBand="0" w:oddHBand="0" w:evenHBand="0" w:firstRowFirstColumn="0" w:firstRowLastColumn="0" w:lastRowFirstColumn="0" w:lastRowLastColumn="0"/>
            <w:tcW w:w="1674" w:type="dxa"/>
            <w:vMerge/>
          </w:tcPr>
          <w:p w14:paraId="312D43EB" w14:textId="77777777" w:rsidR="00847483" w:rsidRPr="00BF143D" w:rsidRDefault="00847483" w:rsidP="00BF143D">
            <w:pPr>
              <w:pStyle w:val="Heading1"/>
              <w:rPr>
                <w:color w:val="auto"/>
              </w:rPr>
            </w:pPr>
          </w:p>
        </w:tc>
        <w:tc>
          <w:tcPr>
            <w:tcW w:w="4896" w:type="dxa"/>
          </w:tcPr>
          <w:p w14:paraId="309366CA"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 xml:space="preserve">Subacute detoxification in residential addiction program outpatient </w:t>
            </w:r>
          </w:p>
        </w:tc>
        <w:tc>
          <w:tcPr>
            <w:tcW w:w="1620" w:type="dxa"/>
          </w:tcPr>
          <w:p w14:paraId="21DB13C0"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Medicare</w:t>
            </w:r>
          </w:p>
        </w:tc>
        <w:tc>
          <w:tcPr>
            <w:tcW w:w="2790" w:type="dxa"/>
          </w:tcPr>
          <w:p w14:paraId="6C916159"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Health Plan</w:t>
            </w:r>
          </w:p>
        </w:tc>
      </w:tr>
      <w:tr w:rsidR="00BF143D" w:rsidRPr="00BF143D" w14:paraId="572EA798" w14:textId="77777777" w:rsidTr="00BF143D">
        <w:trPr>
          <w:trHeight w:val="548"/>
        </w:trPr>
        <w:tc>
          <w:tcPr>
            <w:cnfStyle w:val="001000000000" w:firstRow="0" w:lastRow="0" w:firstColumn="1" w:lastColumn="0" w:oddVBand="0" w:evenVBand="0" w:oddHBand="0" w:evenHBand="0" w:firstRowFirstColumn="0" w:firstRowLastColumn="0" w:lastRowFirstColumn="0" w:lastRowLastColumn="0"/>
            <w:tcW w:w="1674" w:type="dxa"/>
            <w:vMerge/>
          </w:tcPr>
          <w:p w14:paraId="4B6A20D9" w14:textId="77777777" w:rsidR="00847483" w:rsidRPr="00BF143D" w:rsidRDefault="00847483" w:rsidP="00BF143D">
            <w:pPr>
              <w:pStyle w:val="Heading1"/>
              <w:rPr>
                <w:color w:val="auto"/>
              </w:rPr>
            </w:pPr>
          </w:p>
        </w:tc>
        <w:tc>
          <w:tcPr>
            <w:tcW w:w="4896" w:type="dxa"/>
          </w:tcPr>
          <w:p w14:paraId="417AFFA5"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Alcohol and/or drug services in intensive outpatient treatment center</w:t>
            </w:r>
          </w:p>
        </w:tc>
        <w:tc>
          <w:tcPr>
            <w:tcW w:w="1620" w:type="dxa"/>
          </w:tcPr>
          <w:p w14:paraId="26AE3C7A"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Medicare</w:t>
            </w:r>
          </w:p>
        </w:tc>
        <w:tc>
          <w:tcPr>
            <w:tcW w:w="2790" w:type="dxa"/>
          </w:tcPr>
          <w:p w14:paraId="0552DE81"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Health Plan</w:t>
            </w:r>
          </w:p>
        </w:tc>
      </w:tr>
      <w:tr w:rsidR="00BF143D" w:rsidRPr="00BF143D" w14:paraId="7DC9B9F7" w14:textId="77777777" w:rsidTr="00BF143D">
        <w:trPr>
          <w:trHeight w:val="737"/>
        </w:trPr>
        <w:tc>
          <w:tcPr>
            <w:cnfStyle w:val="001000000000" w:firstRow="0" w:lastRow="0" w:firstColumn="1" w:lastColumn="0" w:oddVBand="0" w:evenVBand="0" w:oddHBand="0" w:evenHBand="0" w:firstRowFirstColumn="0" w:firstRowLastColumn="0" w:lastRowFirstColumn="0" w:lastRowLastColumn="0"/>
            <w:tcW w:w="1674" w:type="dxa"/>
            <w:vMerge/>
          </w:tcPr>
          <w:p w14:paraId="33E05CEB" w14:textId="77777777" w:rsidR="00847483" w:rsidRPr="00BF143D" w:rsidRDefault="00847483" w:rsidP="00BF143D">
            <w:pPr>
              <w:pStyle w:val="Heading1"/>
              <w:rPr>
                <w:color w:val="auto"/>
              </w:rPr>
            </w:pPr>
          </w:p>
        </w:tc>
        <w:tc>
          <w:tcPr>
            <w:tcW w:w="4896" w:type="dxa"/>
          </w:tcPr>
          <w:p w14:paraId="41597006"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rFonts w:eastAsia="MS PGothic"/>
                <w:color w:val="auto"/>
              </w:rPr>
            </w:pPr>
            <w:r w:rsidRPr="00BF143D">
              <w:rPr>
                <w:color w:val="auto"/>
              </w:rPr>
              <w:t xml:space="preserve">Extended Release Naltrexone (vivitrol) treatment </w:t>
            </w:r>
          </w:p>
        </w:tc>
        <w:tc>
          <w:tcPr>
            <w:tcW w:w="1620" w:type="dxa"/>
          </w:tcPr>
          <w:p w14:paraId="1F2B690D"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Medicare</w:t>
            </w:r>
          </w:p>
        </w:tc>
        <w:tc>
          <w:tcPr>
            <w:tcW w:w="2790" w:type="dxa"/>
          </w:tcPr>
          <w:p w14:paraId="5F69ED84"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Health Plan</w:t>
            </w:r>
          </w:p>
        </w:tc>
      </w:tr>
      <w:tr w:rsidR="00BF143D" w:rsidRPr="00BF143D" w14:paraId="5E2C672B" w14:textId="77777777" w:rsidTr="00BF143D">
        <w:trPr>
          <w:trHeight w:val="557"/>
        </w:trPr>
        <w:tc>
          <w:tcPr>
            <w:cnfStyle w:val="001000000000" w:firstRow="0" w:lastRow="0" w:firstColumn="1" w:lastColumn="0" w:oddVBand="0" w:evenVBand="0" w:oddHBand="0" w:evenHBand="0" w:firstRowFirstColumn="0" w:firstRowLastColumn="0" w:lastRowFirstColumn="0" w:lastRowLastColumn="0"/>
            <w:tcW w:w="1674" w:type="dxa"/>
            <w:vMerge/>
          </w:tcPr>
          <w:p w14:paraId="3EF030D7" w14:textId="77777777" w:rsidR="00847483" w:rsidRPr="00BF143D" w:rsidRDefault="00847483" w:rsidP="00BF143D">
            <w:pPr>
              <w:pStyle w:val="Heading1"/>
              <w:rPr>
                <w:color w:val="auto"/>
              </w:rPr>
            </w:pPr>
          </w:p>
        </w:tc>
        <w:tc>
          <w:tcPr>
            <w:tcW w:w="4896" w:type="dxa"/>
          </w:tcPr>
          <w:p w14:paraId="1F8E888A"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rFonts w:eastAsia="MS PGothic"/>
                <w:color w:val="auto"/>
              </w:rPr>
            </w:pPr>
            <w:r w:rsidRPr="00BF143D">
              <w:rPr>
                <w:color w:val="auto"/>
              </w:rPr>
              <w:t>Methadone maintenance therapy</w:t>
            </w:r>
          </w:p>
        </w:tc>
        <w:tc>
          <w:tcPr>
            <w:tcW w:w="1620" w:type="dxa"/>
          </w:tcPr>
          <w:p w14:paraId="3A18E735"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Drug Medi-Cal</w:t>
            </w:r>
          </w:p>
        </w:tc>
        <w:tc>
          <w:tcPr>
            <w:tcW w:w="2790" w:type="dxa"/>
          </w:tcPr>
          <w:p w14:paraId="686AA442"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County Drug &amp; Alcohol</w:t>
            </w:r>
            <w:r w:rsidRPr="00BF143D">
              <w:rPr>
                <w:rStyle w:val="FootnoteReference"/>
                <w:color w:val="auto"/>
                <w:sz w:val="20"/>
                <w:szCs w:val="20"/>
              </w:rPr>
              <w:footnoteReference w:id="7"/>
            </w:r>
          </w:p>
        </w:tc>
      </w:tr>
      <w:tr w:rsidR="00BF143D" w:rsidRPr="00BF143D" w14:paraId="5F5FABD4" w14:textId="77777777" w:rsidTr="00BF143D">
        <w:trPr>
          <w:trHeight w:val="350"/>
        </w:trPr>
        <w:tc>
          <w:tcPr>
            <w:cnfStyle w:val="001000000000" w:firstRow="0" w:lastRow="0" w:firstColumn="1" w:lastColumn="0" w:oddVBand="0" w:evenVBand="0" w:oddHBand="0" w:evenHBand="0" w:firstRowFirstColumn="0" w:firstRowLastColumn="0" w:lastRowFirstColumn="0" w:lastRowLastColumn="0"/>
            <w:tcW w:w="1674" w:type="dxa"/>
            <w:vMerge/>
          </w:tcPr>
          <w:p w14:paraId="687ECBBD" w14:textId="77777777" w:rsidR="00847483" w:rsidRPr="00BF143D" w:rsidRDefault="00847483" w:rsidP="00BF143D">
            <w:pPr>
              <w:pStyle w:val="Heading1"/>
              <w:rPr>
                <w:color w:val="auto"/>
              </w:rPr>
            </w:pPr>
          </w:p>
        </w:tc>
        <w:tc>
          <w:tcPr>
            <w:tcW w:w="4896" w:type="dxa"/>
          </w:tcPr>
          <w:p w14:paraId="635AF9CF"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rFonts w:eastAsia="MS PGothic"/>
                <w:color w:val="auto"/>
              </w:rPr>
            </w:pPr>
            <w:r w:rsidRPr="00BF143D">
              <w:rPr>
                <w:color w:val="auto"/>
              </w:rPr>
              <w:t>Day care rehabilitation</w:t>
            </w:r>
          </w:p>
        </w:tc>
        <w:tc>
          <w:tcPr>
            <w:tcW w:w="1620" w:type="dxa"/>
          </w:tcPr>
          <w:p w14:paraId="342E6679"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Drug Medi-Cal</w:t>
            </w:r>
          </w:p>
        </w:tc>
        <w:tc>
          <w:tcPr>
            <w:tcW w:w="2790" w:type="dxa"/>
          </w:tcPr>
          <w:p w14:paraId="731DF57D"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County Drug &amp; Alcohol</w:t>
            </w:r>
          </w:p>
        </w:tc>
      </w:tr>
      <w:tr w:rsidR="00BF143D" w:rsidRPr="00BF143D" w14:paraId="10E9FE77" w14:textId="77777777" w:rsidTr="00BF143D">
        <w:trPr>
          <w:trHeight w:val="647"/>
        </w:trPr>
        <w:tc>
          <w:tcPr>
            <w:cnfStyle w:val="001000000000" w:firstRow="0" w:lastRow="0" w:firstColumn="1" w:lastColumn="0" w:oddVBand="0" w:evenVBand="0" w:oddHBand="0" w:evenHBand="0" w:firstRowFirstColumn="0" w:firstRowLastColumn="0" w:lastRowFirstColumn="0" w:lastRowLastColumn="0"/>
            <w:tcW w:w="1674" w:type="dxa"/>
            <w:vMerge/>
          </w:tcPr>
          <w:p w14:paraId="744FC1C0" w14:textId="77777777" w:rsidR="00847483" w:rsidRPr="00BF143D" w:rsidRDefault="00847483" w:rsidP="00BF143D">
            <w:pPr>
              <w:pStyle w:val="Heading1"/>
              <w:rPr>
                <w:color w:val="auto"/>
              </w:rPr>
            </w:pPr>
          </w:p>
        </w:tc>
        <w:tc>
          <w:tcPr>
            <w:tcW w:w="4896" w:type="dxa"/>
          </w:tcPr>
          <w:p w14:paraId="32C8C582"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Outpatient individual and group counseling (coverage limitations)</w:t>
            </w:r>
          </w:p>
        </w:tc>
        <w:tc>
          <w:tcPr>
            <w:tcW w:w="1620" w:type="dxa"/>
          </w:tcPr>
          <w:p w14:paraId="5B4DCF49"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Drug Medi-Cal</w:t>
            </w:r>
          </w:p>
        </w:tc>
        <w:tc>
          <w:tcPr>
            <w:tcW w:w="2790" w:type="dxa"/>
          </w:tcPr>
          <w:p w14:paraId="53161329"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County Drug &amp; Alcohol</w:t>
            </w:r>
          </w:p>
        </w:tc>
      </w:tr>
      <w:tr w:rsidR="00BF143D" w:rsidRPr="00BF143D" w14:paraId="6E7C5D11" w14:textId="77777777" w:rsidTr="00BF143D">
        <w:trPr>
          <w:trHeight w:val="224"/>
        </w:trPr>
        <w:tc>
          <w:tcPr>
            <w:cnfStyle w:val="001000000000" w:firstRow="0" w:lastRow="0" w:firstColumn="1" w:lastColumn="0" w:oddVBand="0" w:evenVBand="0" w:oddHBand="0" w:evenHBand="0" w:firstRowFirstColumn="0" w:firstRowLastColumn="0" w:lastRowFirstColumn="0" w:lastRowLastColumn="0"/>
            <w:tcW w:w="1674" w:type="dxa"/>
            <w:vMerge/>
          </w:tcPr>
          <w:p w14:paraId="7BD3C44A" w14:textId="77777777" w:rsidR="00847483" w:rsidRPr="00BF143D" w:rsidRDefault="00847483" w:rsidP="00BF143D">
            <w:pPr>
              <w:pStyle w:val="Heading1"/>
              <w:rPr>
                <w:color w:val="auto"/>
              </w:rPr>
            </w:pPr>
          </w:p>
        </w:tc>
        <w:tc>
          <w:tcPr>
            <w:tcW w:w="4896" w:type="dxa"/>
          </w:tcPr>
          <w:p w14:paraId="061E3968"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rFonts w:eastAsia="MS PGothic"/>
                <w:color w:val="auto"/>
              </w:rPr>
            </w:pPr>
            <w:r w:rsidRPr="00BF143D">
              <w:rPr>
                <w:color w:val="auto"/>
              </w:rPr>
              <w:t>Perinatal residential services</w:t>
            </w:r>
          </w:p>
        </w:tc>
        <w:tc>
          <w:tcPr>
            <w:tcW w:w="1620" w:type="dxa"/>
          </w:tcPr>
          <w:p w14:paraId="508CFB42"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Drug Medi-Cal</w:t>
            </w:r>
          </w:p>
        </w:tc>
        <w:tc>
          <w:tcPr>
            <w:tcW w:w="2790" w:type="dxa"/>
          </w:tcPr>
          <w:p w14:paraId="4B9000D2" w14:textId="77777777" w:rsidR="00847483" w:rsidRPr="00BF143D" w:rsidRDefault="00847483" w:rsidP="00BF143D">
            <w:pPr>
              <w:pStyle w:val="Heading1"/>
              <w:cnfStyle w:val="000000000000" w:firstRow="0" w:lastRow="0" w:firstColumn="0" w:lastColumn="0" w:oddVBand="0" w:evenVBand="0" w:oddHBand="0" w:evenHBand="0" w:firstRowFirstColumn="0" w:firstRowLastColumn="0" w:lastRowFirstColumn="0" w:lastRowLastColumn="0"/>
              <w:rPr>
                <w:color w:val="auto"/>
              </w:rPr>
            </w:pPr>
            <w:r w:rsidRPr="00BF143D">
              <w:rPr>
                <w:color w:val="auto"/>
              </w:rPr>
              <w:t>County Drug &amp; Alcohol</w:t>
            </w:r>
          </w:p>
        </w:tc>
      </w:tr>
    </w:tbl>
    <w:p w14:paraId="340B3AC8" w14:textId="77777777" w:rsidR="00847483" w:rsidRPr="00BF143D" w:rsidRDefault="00847483" w:rsidP="00847483">
      <w:pPr>
        <w:rPr>
          <w:b/>
          <w:bCs/>
          <w:sz w:val="22"/>
          <w:szCs w:val="22"/>
        </w:rPr>
      </w:pPr>
    </w:p>
    <w:p w14:paraId="2DDAC9D2" w14:textId="77777777" w:rsidR="00847483" w:rsidRPr="00BF143D" w:rsidRDefault="00847483" w:rsidP="00847483">
      <w:pPr>
        <w:rPr>
          <w:sz w:val="18"/>
          <w:szCs w:val="18"/>
        </w:rPr>
      </w:pPr>
    </w:p>
    <w:p w14:paraId="3D7D5BD9" w14:textId="77777777" w:rsidR="00847483" w:rsidRPr="00BF143D" w:rsidRDefault="00847483" w:rsidP="002476BA">
      <w:pPr>
        <w:pStyle w:val="ColorfulList-Accent1"/>
        <w:ind w:left="1080"/>
      </w:pPr>
    </w:p>
    <w:sectPr w:rsidR="00847483" w:rsidRPr="00BF143D" w:rsidSect="000D4E4E">
      <w:pgSz w:w="12240" w:h="15840"/>
      <w:pgMar w:top="504" w:right="1224" w:bottom="1008" w:left="1224"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92036" w14:textId="77777777" w:rsidR="0016379E" w:rsidRDefault="0016379E">
      <w:pPr>
        <w:spacing w:after="0" w:line="240" w:lineRule="auto"/>
      </w:pPr>
      <w:r>
        <w:separator/>
      </w:r>
    </w:p>
  </w:endnote>
  <w:endnote w:type="continuationSeparator" w:id="0">
    <w:p w14:paraId="324EAD0E" w14:textId="77777777" w:rsidR="0016379E" w:rsidRDefault="0016379E">
      <w:pPr>
        <w:spacing w:after="0" w:line="240" w:lineRule="auto"/>
      </w:pPr>
      <w:r>
        <w:continuationSeparator/>
      </w:r>
    </w:p>
  </w:endnote>
  <w:endnote w:type="continuationNotice" w:id="1">
    <w:p w14:paraId="4BF2C3D8" w14:textId="77777777" w:rsidR="0016379E" w:rsidRDefault="001637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6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2AEB" w14:textId="77777777" w:rsidR="003E4032" w:rsidRDefault="003E4032" w:rsidP="00F76E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D1E04" w14:textId="77777777" w:rsidR="003E4032" w:rsidRDefault="003E4032" w:rsidP="004026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11E6" w14:textId="77777777" w:rsidR="003E4032" w:rsidRDefault="003E4032" w:rsidP="00F76E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3AA">
      <w:rPr>
        <w:rStyle w:val="PageNumber"/>
        <w:noProof/>
      </w:rPr>
      <w:t>1</w:t>
    </w:r>
    <w:r>
      <w:rPr>
        <w:rStyle w:val="PageNumber"/>
      </w:rPr>
      <w:fldChar w:fldCharType="end"/>
    </w:r>
  </w:p>
  <w:p w14:paraId="635D9BB0" w14:textId="77777777" w:rsidR="003E4032" w:rsidRDefault="003E4032" w:rsidP="0040266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4B3D6" w14:textId="77777777" w:rsidR="00061B39" w:rsidRDefault="00061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97684" w14:textId="77777777" w:rsidR="0016379E" w:rsidRDefault="0016379E">
      <w:pPr>
        <w:spacing w:after="0" w:line="240" w:lineRule="auto"/>
      </w:pPr>
      <w:r>
        <w:separator/>
      </w:r>
    </w:p>
  </w:footnote>
  <w:footnote w:type="continuationSeparator" w:id="0">
    <w:p w14:paraId="21AC7405" w14:textId="77777777" w:rsidR="0016379E" w:rsidRDefault="0016379E">
      <w:pPr>
        <w:spacing w:after="0" w:line="240" w:lineRule="auto"/>
      </w:pPr>
      <w:r>
        <w:continuationSeparator/>
      </w:r>
    </w:p>
  </w:footnote>
  <w:footnote w:type="continuationNotice" w:id="1">
    <w:p w14:paraId="40FD3188" w14:textId="77777777" w:rsidR="0016379E" w:rsidRDefault="0016379E">
      <w:pPr>
        <w:spacing w:after="0" w:line="240" w:lineRule="auto"/>
      </w:pPr>
    </w:p>
  </w:footnote>
  <w:footnote w:id="2">
    <w:p w14:paraId="553A33CE" w14:textId="77777777" w:rsidR="00847483" w:rsidRPr="00BC0D80" w:rsidRDefault="00847483" w:rsidP="00847483">
      <w:pPr>
        <w:widowControl w:val="0"/>
        <w:autoSpaceDE w:val="0"/>
        <w:autoSpaceDN w:val="0"/>
        <w:adjustRightInd w:val="0"/>
        <w:spacing w:after="0"/>
        <w:ind w:left="-274" w:right="-504" w:hanging="364"/>
        <w:rPr>
          <w:rFonts w:ascii="Times New Roman" w:hAnsi="Times New Roman"/>
          <w:sz w:val="17"/>
          <w:szCs w:val="17"/>
        </w:rPr>
      </w:pPr>
      <w:r w:rsidRPr="00BC0D80">
        <w:rPr>
          <w:rStyle w:val="FootnoteReference"/>
          <w:rFonts w:ascii="Times New Roman" w:hAnsi="Times New Roman"/>
          <w:sz w:val="17"/>
          <w:szCs w:val="17"/>
        </w:rPr>
        <w:footnoteRef/>
      </w:r>
      <w:r w:rsidRPr="00BC0D80">
        <w:rPr>
          <w:rFonts w:ascii="Times New Roman" w:hAnsi="Times New Roman"/>
          <w:sz w:val="17"/>
          <w:szCs w:val="17"/>
        </w:rPr>
        <w:t xml:space="preserve"> County Mental Health Plans (MHPs) are responsible for the balance of inpatient psychiatric care that is not covered by Medicare for those beneficiaries meeting the medical necessity criteria for specialty mental health services. </w:t>
      </w:r>
      <w:r w:rsidRPr="00BC0D80">
        <w:rPr>
          <w:rFonts w:ascii="Times New Roman" w:hAnsi="Times New Roman"/>
          <w:color w:val="000000"/>
          <w:sz w:val="17"/>
          <w:szCs w:val="17"/>
        </w:rPr>
        <w:t xml:space="preserve">Medi-Cal and the County MHP is responsible for </w:t>
      </w:r>
      <w:r w:rsidRPr="00BC0D80">
        <w:rPr>
          <w:rFonts w:ascii="Times New Roman" w:hAnsi="Times New Roman"/>
          <w:sz w:val="17"/>
          <w:szCs w:val="17"/>
        </w:rPr>
        <w:t>local hospital administrative days, which are days that a patient's stay in the hospital is beyond the need for acute care and there is a lack of nursing facility beds available.</w:t>
      </w:r>
    </w:p>
  </w:footnote>
  <w:footnote w:id="3">
    <w:p w14:paraId="34E238A2" w14:textId="77777777" w:rsidR="00847483" w:rsidRPr="002863F7" w:rsidRDefault="00847483" w:rsidP="00847483">
      <w:pPr>
        <w:pStyle w:val="FootnoteText"/>
        <w:ind w:left="-274" w:right="-504" w:hanging="360"/>
        <w:rPr>
          <w:rFonts w:ascii="Times New Roman" w:hAnsi="Times New Roman"/>
          <w:sz w:val="17"/>
          <w:szCs w:val="17"/>
        </w:rPr>
      </w:pPr>
      <w:r w:rsidRPr="00BC0D80">
        <w:rPr>
          <w:rStyle w:val="FootnoteReference"/>
          <w:rFonts w:ascii="Times New Roman" w:hAnsi="Times New Roman"/>
          <w:sz w:val="17"/>
          <w:szCs w:val="17"/>
        </w:rPr>
        <w:footnoteRef/>
      </w:r>
      <w:r w:rsidRPr="00BC0D80">
        <w:rPr>
          <w:rFonts w:ascii="Times New Roman" w:hAnsi="Times New Roman"/>
          <w:sz w:val="17"/>
          <w:szCs w:val="17"/>
        </w:rPr>
        <w:t xml:space="preserve"> </w:t>
      </w:r>
      <w:r w:rsidRPr="00BC0D80">
        <w:rPr>
          <w:rFonts w:ascii="Times New Roman" w:hAnsi="Times New Roman"/>
          <w:color w:val="000000"/>
          <w:sz w:val="17"/>
          <w:szCs w:val="17"/>
        </w:rPr>
        <w:t>Medicare covers outpatient mental health services provided by a doctor, clinical psychologist, clinical social worker, clinical nurse specialist, or physician assistant in an office setting, clinic, or hospital outpatient department.</w:t>
      </w:r>
      <w:r>
        <w:rPr>
          <w:rFonts w:ascii="Times New Roman" w:hAnsi="Times New Roman"/>
          <w:color w:val="000000"/>
          <w:sz w:val="17"/>
          <w:szCs w:val="17"/>
        </w:rPr>
        <w:t xml:space="preserve"> </w:t>
      </w:r>
      <w:r w:rsidRPr="00BC0D80">
        <w:rPr>
          <w:rFonts w:ascii="Times New Roman" w:hAnsi="Times New Roman"/>
          <w:sz w:val="17"/>
          <w:szCs w:val="17"/>
        </w:rPr>
        <w:t xml:space="preserve">For more background on Medicare coverage rules, see this CMS document </w:t>
      </w:r>
      <w:hyperlink r:id="rId1" w:history="1">
        <w:r w:rsidRPr="000340E8">
          <w:rPr>
            <w:rStyle w:val="Hyperlink"/>
            <w:rFonts w:ascii="Times New Roman" w:hAnsi="Times New Roman"/>
            <w:sz w:val="17"/>
            <w:szCs w:val="17"/>
          </w:rPr>
          <w:t>http://www.cms.gov/Outreach-and-Education/Medicare-Learning-Network-MLN/MLNProducts/downloads/Mental_Health_Services_ICN903195.pdf</w:t>
        </w:r>
      </w:hyperlink>
    </w:p>
  </w:footnote>
  <w:footnote w:id="4">
    <w:p w14:paraId="65A36DAD" w14:textId="77777777" w:rsidR="00847483" w:rsidRPr="00EF78DE" w:rsidRDefault="00847483" w:rsidP="00847483">
      <w:pPr>
        <w:pStyle w:val="FootnoteText"/>
        <w:ind w:left="-274" w:right="-504" w:hanging="364"/>
        <w:rPr>
          <w:rFonts w:ascii="Times New Roman" w:hAnsi="Times New Roman"/>
          <w:sz w:val="17"/>
          <w:szCs w:val="17"/>
        </w:rPr>
      </w:pPr>
      <w:r w:rsidRPr="00EF78DE">
        <w:rPr>
          <w:rStyle w:val="FootnoteReference"/>
          <w:rFonts w:ascii="Times New Roman" w:hAnsi="Times New Roman"/>
          <w:sz w:val="17"/>
          <w:szCs w:val="17"/>
        </w:rPr>
        <w:footnoteRef/>
      </w:r>
      <w:r w:rsidRPr="00EF78DE">
        <w:rPr>
          <w:rFonts w:ascii="Times New Roman" w:hAnsi="Times New Roman"/>
          <w:sz w:val="17"/>
          <w:szCs w:val="17"/>
        </w:rPr>
        <w:t xml:space="preserve">Medicare coverage </w:t>
      </w:r>
      <w:r>
        <w:rPr>
          <w:rFonts w:ascii="Times New Roman" w:hAnsi="Times New Roman"/>
          <w:sz w:val="17"/>
          <w:szCs w:val="17"/>
        </w:rPr>
        <w:t xml:space="preserve">for </w:t>
      </w:r>
      <w:r w:rsidRPr="00EF78DE">
        <w:rPr>
          <w:rFonts w:ascii="Times New Roman" w:hAnsi="Times New Roman"/>
          <w:sz w:val="17"/>
          <w:szCs w:val="17"/>
        </w:rPr>
        <w:t>Institutions for Mental Diseases (IMDs) depends on the facility type and licensure. IMDs include skilled nursing facilities (SNFs) with special treatment programs (STPs), free standing acute psychiatric hospitals, psychiatric health facilities (PHFs), mental health</w:t>
      </w:r>
      <w:r>
        <w:rPr>
          <w:rFonts w:ascii="Times New Roman" w:hAnsi="Times New Roman"/>
          <w:sz w:val="17"/>
          <w:szCs w:val="17"/>
        </w:rPr>
        <w:t xml:space="preserve"> rehabilitation centers (MHRCs), and</w:t>
      </w:r>
      <w:r w:rsidRPr="00EF78DE">
        <w:rPr>
          <w:rFonts w:ascii="Times New Roman" w:hAnsi="Times New Roman"/>
          <w:sz w:val="17"/>
          <w:szCs w:val="17"/>
        </w:rPr>
        <w:t xml:space="preserve"> </w:t>
      </w:r>
      <w:r>
        <w:rPr>
          <w:rFonts w:ascii="Times New Roman" w:hAnsi="Times New Roman"/>
          <w:sz w:val="17"/>
          <w:szCs w:val="17"/>
        </w:rPr>
        <w:t>State hospitals</w:t>
      </w:r>
      <w:r w:rsidRPr="00EF78DE">
        <w:rPr>
          <w:rFonts w:ascii="Times New Roman" w:hAnsi="Times New Roman"/>
          <w:sz w:val="17"/>
          <w:szCs w:val="17"/>
        </w:rPr>
        <w:t xml:space="preserve">. </w:t>
      </w:r>
      <w:r>
        <w:rPr>
          <w:rFonts w:ascii="Times New Roman" w:hAnsi="Times New Roman"/>
          <w:sz w:val="17"/>
          <w:szCs w:val="17"/>
        </w:rPr>
        <w:t>For those facilities that are Medicare reimbursable, once</w:t>
      </w:r>
      <w:r w:rsidRPr="00EF78DE">
        <w:rPr>
          <w:rFonts w:ascii="Times New Roman" w:hAnsi="Times New Roman"/>
          <w:sz w:val="17"/>
          <w:szCs w:val="17"/>
        </w:rPr>
        <w:t xml:space="preserve"> </w:t>
      </w:r>
      <w:r>
        <w:rPr>
          <w:rFonts w:ascii="Times New Roman" w:hAnsi="Times New Roman"/>
          <w:sz w:val="17"/>
          <w:szCs w:val="17"/>
        </w:rPr>
        <w:t>a</w:t>
      </w:r>
      <w:r w:rsidRPr="00EF78DE">
        <w:rPr>
          <w:rFonts w:ascii="Times New Roman" w:hAnsi="Times New Roman"/>
          <w:sz w:val="17"/>
          <w:szCs w:val="17"/>
        </w:rPr>
        <w:t xml:space="preserve"> beneficiary has exhausted his Medicare psychiatric hospital coverage then Medi-Cal is the secondary payer</w:t>
      </w:r>
      <w:r>
        <w:rPr>
          <w:rFonts w:ascii="Times New Roman" w:hAnsi="Times New Roman"/>
          <w:sz w:val="17"/>
          <w:szCs w:val="17"/>
        </w:rPr>
        <w:t>.</w:t>
      </w:r>
      <w:r w:rsidRPr="00EF78DE">
        <w:rPr>
          <w:rFonts w:ascii="Times New Roman" w:hAnsi="Times New Roman"/>
          <w:sz w:val="17"/>
          <w:szCs w:val="17"/>
        </w:rPr>
        <w:t xml:space="preserve"> </w:t>
      </w:r>
      <w:r>
        <w:rPr>
          <w:rFonts w:ascii="Times New Roman" w:hAnsi="Times New Roman"/>
          <w:sz w:val="17"/>
          <w:szCs w:val="17"/>
        </w:rPr>
        <w:t>T</w:t>
      </w:r>
      <w:r w:rsidRPr="00EF78DE">
        <w:rPr>
          <w:rFonts w:ascii="Times New Roman" w:hAnsi="Times New Roman"/>
          <w:sz w:val="17"/>
          <w:szCs w:val="17"/>
        </w:rPr>
        <w:t xml:space="preserve">he Medi-Cal coverage would be subject to the IMD </w:t>
      </w:r>
      <w:proofErr w:type="spellStart"/>
      <w:proofErr w:type="gramStart"/>
      <w:r w:rsidRPr="00EF78DE">
        <w:rPr>
          <w:rFonts w:ascii="Times New Roman" w:hAnsi="Times New Roman"/>
          <w:sz w:val="17"/>
          <w:szCs w:val="17"/>
        </w:rPr>
        <w:t>exclusion.Federal</w:t>
      </w:r>
      <w:proofErr w:type="spellEnd"/>
      <w:proofErr w:type="gramEnd"/>
      <w:r w:rsidRPr="00EF78DE">
        <w:rPr>
          <w:rFonts w:ascii="Times New Roman" w:hAnsi="Times New Roman"/>
          <w:sz w:val="17"/>
          <w:szCs w:val="17"/>
        </w:rPr>
        <w:t xml:space="preserve"> law prohibits Medicaid Federal Financial Participation (FFP) payment for beneficiaries age 22 to 64 placed in IMDs. This is known as the “IMD exclusion” and is described in DMH Letters </w:t>
      </w:r>
      <w:hyperlink r:id="rId2" w:history="1">
        <w:r w:rsidRPr="00EF78DE">
          <w:rPr>
            <w:rStyle w:val="Hyperlink"/>
            <w:rFonts w:ascii="Times New Roman" w:hAnsi="Times New Roman"/>
            <w:sz w:val="17"/>
            <w:szCs w:val="17"/>
          </w:rPr>
          <w:t>02-06 </w:t>
        </w:r>
      </w:hyperlink>
      <w:r w:rsidRPr="00EF78DE">
        <w:rPr>
          <w:rFonts w:ascii="Times New Roman" w:hAnsi="Times New Roman"/>
          <w:sz w:val="17"/>
          <w:szCs w:val="17"/>
        </w:rPr>
        <w:t>and </w:t>
      </w:r>
      <w:hyperlink r:id="rId3" w:history="1">
        <w:r w:rsidRPr="00EF78DE">
          <w:rPr>
            <w:rFonts w:ascii="Times New Roman" w:hAnsi="Times New Roman"/>
            <w:color w:val="0028F9"/>
            <w:sz w:val="17"/>
            <w:szCs w:val="17"/>
            <w:u w:val="single" w:color="0028F9"/>
          </w:rPr>
          <w:t>10-02</w:t>
        </w:r>
      </w:hyperlink>
      <w:r w:rsidRPr="00EF78DE">
        <w:rPr>
          <w:rFonts w:ascii="Times New Roman" w:hAnsi="Times New Roman"/>
          <w:sz w:val="17"/>
          <w:szCs w:val="17"/>
        </w:rPr>
        <w:t xml:space="preserve">. </w:t>
      </w:r>
    </w:p>
  </w:footnote>
  <w:footnote w:id="5">
    <w:p w14:paraId="49B362FC" w14:textId="77777777" w:rsidR="00847483" w:rsidRPr="00AA37BE" w:rsidRDefault="00847483" w:rsidP="00847483">
      <w:pPr>
        <w:pStyle w:val="NormalWeb"/>
        <w:spacing w:after="120"/>
        <w:ind w:left="-634"/>
        <w:rPr>
          <w:color w:val="2A2A2A"/>
          <w:sz w:val="18"/>
          <w:szCs w:val="18"/>
        </w:rPr>
      </w:pPr>
      <w:r w:rsidRPr="00AA37BE">
        <w:rPr>
          <w:rStyle w:val="FootnoteReference"/>
          <w:sz w:val="18"/>
          <w:szCs w:val="18"/>
        </w:rPr>
        <w:footnoteRef/>
      </w:r>
      <w:r w:rsidRPr="00AA37BE">
        <w:rPr>
          <w:sz w:val="18"/>
          <w:szCs w:val="18"/>
        </w:rPr>
        <w:t xml:space="preserve"> </w:t>
      </w:r>
      <w:r w:rsidRPr="00AA37BE">
        <w:rPr>
          <w:color w:val="2A2A2A"/>
          <w:sz w:val="18"/>
          <w:szCs w:val="18"/>
        </w:rPr>
        <w:t xml:space="preserve">Medicare inpatient detoxification and/or rehabilitation for drug substance abuse when it is medically necessary. Coverage is also available for treatment services provided in the hospital outpatient department to patients who, for example, have been discharged for the treatment of drug substance abuse or who require treatment but do not require the availability and intensity of services found only in the inpatient hospital setting. The coverage available for these services is subject to the same rules generally applicable to the coverage of outpatient hospital services. </w:t>
      </w:r>
      <w:hyperlink r:id="rId4" w:history="1">
        <w:r w:rsidRPr="00AA37BE">
          <w:rPr>
            <w:rStyle w:val="Hyperlink"/>
            <w:rFonts w:eastAsia="Calibri"/>
            <w:sz w:val="18"/>
            <w:szCs w:val="18"/>
          </w:rPr>
          <w:t>Click here to learn more</w:t>
        </w:r>
      </w:hyperlink>
      <w:r w:rsidRPr="00AA37BE">
        <w:rPr>
          <w:color w:val="2A2A2A"/>
          <w:sz w:val="18"/>
          <w:szCs w:val="18"/>
        </w:rPr>
        <w:t xml:space="preserve">. </w:t>
      </w:r>
    </w:p>
  </w:footnote>
  <w:footnote w:id="6">
    <w:p w14:paraId="01E92EEC" w14:textId="77777777" w:rsidR="00847483" w:rsidRPr="00AA37BE" w:rsidRDefault="00847483" w:rsidP="00847483">
      <w:pPr>
        <w:pStyle w:val="FootnoteText"/>
        <w:spacing w:after="120"/>
        <w:ind w:left="-634"/>
        <w:rPr>
          <w:rFonts w:ascii="Times New Roman" w:hAnsi="Times New Roman" w:cs="Times New Roman"/>
          <w:sz w:val="18"/>
          <w:szCs w:val="18"/>
        </w:rPr>
      </w:pPr>
      <w:r w:rsidRPr="00AA37BE">
        <w:rPr>
          <w:rStyle w:val="FootnoteReference"/>
          <w:rFonts w:ascii="Times New Roman" w:hAnsi="Times New Roman" w:cs="Times New Roman"/>
          <w:sz w:val="18"/>
          <w:szCs w:val="18"/>
        </w:rPr>
        <w:footnoteRef/>
      </w:r>
      <w:r w:rsidRPr="00AA37BE">
        <w:rPr>
          <w:rFonts w:ascii="Times New Roman" w:hAnsi="Times New Roman" w:cs="Times New Roman"/>
          <w:sz w:val="18"/>
          <w:szCs w:val="18"/>
        </w:rPr>
        <w:t xml:space="preserve"> Medicare coverage explanation: </w:t>
      </w:r>
      <w:hyperlink r:id="rId5" w:history="1">
        <w:r w:rsidRPr="00AA37BE">
          <w:rPr>
            <w:rStyle w:val="Hyperlink"/>
            <w:rFonts w:ascii="Times New Roman" w:hAnsi="Times New Roman"/>
            <w:sz w:val="18"/>
            <w:szCs w:val="18"/>
          </w:rPr>
          <w:t>Click here to learn more</w:t>
        </w:r>
      </w:hyperlink>
      <w:r w:rsidRPr="00AA37BE">
        <w:rPr>
          <w:rFonts w:ascii="Times New Roman" w:hAnsi="Times New Roman" w:cs="Times New Roman"/>
          <w:sz w:val="18"/>
          <w:szCs w:val="18"/>
        </w:rPr>
        <w:t>.</w:t>
      </w:r>
    </w:p>
  </w:footnote>
  <w:footnote w:id="7">
    <w:p w14:paraId="69B9D140" w14:textId="77777777" w:rsidR="00847483" w:rsidRPr="00E300E4" w:rsidRDefault="00847483" w:rsidP="00847483">
      <w:pPr>
        <w:pStyle w:val="FootnoteText"/>
        <w:spacing w:after="120"/>
        <w:ind w:left="-634"/>
        <w:rPr>
          <w:rFonts w:ascii="Calibri" w:hAnsi="Calibri"/>
          <w:sz w:val="18"/>
          <w:szCs w:val="18"/>
        </w:rPr>
      </w:pPr>
      <w:r w:rsidRPr="00AA37BE">
        <w:rPr>
          <w:rStyle w:val="FootnoteReference"/>
          <w:rFonts w:ascii="Times New Roman" w:hAnsi="Times New Roman" w:cs="Times New Roman"/>
          <w:sz w:val="18"/>
          <w:szCs w:val="18"/>
        </w:rPr>
        <w:footnoteRef/>
      </w:r>
      <w:r w:rsidRPr="00AA37BE">
        <w:rPr>
          <w:rFonts w:ascii="Times New Roman" w:hAnsi="Times New Roman" w:cs="Times New Roman"/>
          <w:sz w:val="18"/>
          <w:szCs w:val="18"/>
        </w:rPr>
        <w:t xml:space="preserve"> In San Diego and Orange Counties, county alcohol and drug do not provide these services. Providers have direct contracts with the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556D" w14:textId="77777777" w:rsidR="003E4032" w:rsidRDefault="003E4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A978" w14:textId="77777777" w:rsidR="003E4032" w:rsidRPr="000D4E4E" w:rsidRDefault="000D4E4E" w:rsidP="000D4E4E">
    <w:pPr>
      <w:pStyle w:val="Header"/>
      <w:jc w:val="right"/>
      <w:rPr>
        <w:sz w:val="20"/>
        <w:szCs w:val="20"/>
      </w:rPr>
    </w:pPr>
    <w:r w:rsidRPr="000D4E4E">
      <w:rPr>
        <w:sz w:val="20"/>
        <w:szCs w:val="20"/>
      </w:rPr>
      <w:t xml:space="preserve">DRAFT </w:t>
    </w:r>
    <w:r w:rsidR="00061B39">
      <w:rPr>
        <w:sz w:val="20"/>
        <w:szCs w:val="20"/>
      </w:rPr>
      <w:t>12</w:t>
    </w:r>
    <w:r w:rsidRPr="000D4E4E">
      <w:rPr>
        <w:sz w:val="20"/>
        <w:szCs w:val="20"/>
      </w:rPr>
      <w:t>-</w:t>
    </w:r>
    <w:r w:rsidR="00A35391">
      <w:rPr>
        <w:sz w:val="20"/>
        <w:szCs w:val="20"/>
      </w:rPr>
      <w:t>18</w:t>
    </w:r>
    <w:r w:rsidRPr="000D4E4E">
      <w:rPr>
        <w:sz w:val="20"/>
        <w:szCs w:val="20"/>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D62B" w14:textId="77777777" w:rsidR="003E4032" w:rsidRDefault="003E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F1B99"/>
    <w:multiLevelType w:val="hybridMultilevel"/>
    <w:tmpl w:val="F6E6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E4B0E"/>
    <w:multiLevelType w:val="hybridMultilevel"/>
    <w:tmpl w:val="54F8298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CE43D76"/>
    <w:multiLevelType w:val="hybridMultilevel"/>
    <w:tmpl w:val="732AB6F8"/>
    <w:lvl w:ilvl="0" w:tplc="B6265954">
      <w:start w:val="1"/>
      <w:numFmt w:val="decimal"/>
      <w:lvlText w:val="%1."/>
      <w:lvlJc w:val="left"/>
      <w:pPr>
        <w:ind w:left="2340" w:hanging="360"/>
      </w:pPr>
      <w:rPr>
        <w:rFonts w:hint="default"/>
        <w:b w:val="0"/>
      </w:rPr>
    </w:lvl>
    <w:lvl w:ilvl="1" w:tplc="0409000F">
      <w:start w:val="1"/>
      <w:numFmt w:val="decimal"/>
      <w:lvlText w:val="%2."/>
      <w:lvlJc w:val="left"/>
      <w:pPr>
        <w:ind w:left="27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E4317"/>
    <w:multiLevelType w:val="hybridMultilevel"/>
    <w:tmpl w:val="3C0E4D0E"/>
    <w:lvl w:ilvl="0" w:tplc="0409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Symbol"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Arial" w:hint="default"/>
      </w:rPr>
    </w:lvl>
    <w:lvl w:ilvl="4" w:tplc="04090003">
      <w:start w:val="1"/>
      <w:numFmt w:val="bullet"/>
      <w:lvlText w:val="o"/>
      <w:lvlJc w:val="left"/>
      <w:pPr>
        <w:ind w:left="5760" w:hanging="360"/>
      </w:pPr>
      <w:rPr>
        <w:rFonts w:ascii="Courier New" w:hAnsi="Courier New" w:cs="Symbol"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Arial" w:hint="default"/>
      </w:rPr>
    </w:lvl>
    <w:lvl w:ilvl="7" w:tplc="04090003">
      <w:start w:val="1"/>
      <w:numFmt w:val="bullet"/>
      <w:lvlText w:val="o"/>
      <w:lvlJc w:val="left"/>
      <w:pPr>
        <w:ind w:left="7920" w:hanging="360"/>
      </w:pPr>
      <w:rPr>
        <w:rFonts w:ascii="Courier New" w:hAnsi="Courier New" w:cs="Symbol" w:hint="default"/>
      </w:rPr>
    </w:lvl>
    <w:lvl w:ilvl="8" w:tplc="04090005">
      <w:start w:val="1"/>
      <w:numFmt w:val="bullet"/>
      <w:lvlText w:val=""/>
      <w:lvlJc w:val="left"/>
      <w:pPr>
        <w:ind w:left="8640" w:hanging="360"/>
      </w:pPr>
      <w:rPr>
        <w:rFonts w:ascii="Wingdings" w:hAnsi="Wingdings" w:cs="Wingdings" w:hint="default"/>
      </w:rPr>
    </w:lvl>
  </w:abstractNum>
  <w:abstractNum w:abstractNumId="4" w15:restartNumberingAfterBreak="0">
    <w:nsid w:val="20C27BBE"/>
    <w:multiLevelType w:val="hybridMultilevel"/>
    <w:tmpl w:val="3DB46B30"/>
    <w:lvl w:ilvl="0" w:tplc="96A8464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6A5F5D"/>
    <w:multiLevelType w:val="hybridMultilevel"/>
    <w:tmpl w:val="9F0863EE"/>
    <w:lvl w:ilvl="0" w:tplc="04090015">
      <w:start w:val="2"/>
      <w:numFmt w:val="upperLetter"/>
      <w:lvlText w:val="%1."/>
      <w:lvlJc w:val="left"/>
      <w:pPr>
        <w:ind w:left="1080" w:hanging="360"/>
      </w:pPr>
      <w:rPr>
        <w:rFonts w:hint="default"/>
      </w:rPr>
    </w:lvl>
    <w:lvl w:ilvl="1" w:tplc="0409000F">
      <w:start w:val="1"/>
      <w:numFmt w:val="decimal"/>
      <w:lvlText w:val="%2."/>
      <w:lvlJc w:val="left"/>
      <w:pPr>
        <w:ind w:left="27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2D323D"/>
    <w:multiLevelType w:val="hybridMultilevel"/>
    <w:tmpl w:val="13B8B82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EFD55F6"/>
    <w:multiLevelType w:val="hybridMultilevel"/>
    <w:tmpl w:val="D4846D8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A36321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51F86"/>
    <w:multiLevelType w:val="hybridMultilevel"/>
    <w:tmpl w:val="F8D80C64"/>
    <w:lvl w:ilvl="0" w:tplc="04090001">
      <w:start w:val="1"/>
      <w:numFmt w:val="bullet"/>
      <w:lvlText w:val=""/>
      <w:lvlJc w:val="left"/>
      <w:pPr>
        <w:ind w:left="1440" w:hanging="360"/>
      </w:pPr>
      <w:rPr>
        <w:rFonts w:ascii="Symbol" w:hAnsi="Symbol" w:cs="Courier New"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Courier New"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Courier New"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cs="Wingdings" w:hint="default"/>
      </w:rPr>
    </w:lvl>
  </w:abstractNum>
  <w:abstractNum w:abstractNumId="9" w15:restartNumberingAfterBreak="0">
    <w:nsid w:val="45F928A6"/>
    <w:multiLevelType w:val="hybridMultilevel"/>
    <w:tmpl w:val="2F5EA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40DBA"/>
    <w:multiLevelType w:val="hybridMultilevel"/>
    <w:tmpl w:val="40847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533BBC"/>
    <w:multiLevelType w:val="hybridMultilevel"/>
    <w:tmpl w:val="B03ED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0251B3"/>
    <w:multiLevelType w:val="hybridMultilevel"/>
    <w:tmpl w:val="80BC441A"/>
    <w:lvl w:ilvl="0" w:tplc="F926E6F0">
      <w:start w:val="1"/>
      <w:numFmt w:val="decimal"/>
      <w:lvlText w:val="%1."/>
      <w:lvlJc w:val="left"/>
      <w:pPr>
        <w:ind w:left="720" w:hanging="360"/>
      </w:pPr>
      <w:rPr>
        <w:rFonts w:hint="default"/>
        <w:b/>
        <w:sz w:val="24"/>
        <w:szCs w:val="24"/>
      </w:rPr>
    </w:lvl>
    <w:lvl w:ilvl="1" w:tplc="EC46E5FC">
      <w:start w:val="1"/>
      <w:numFmt w:val="lowerRoman"/>
      <w:lvlText w:val="%2."/>
      <w:lvlJc w:val="left"/>
      <w:pPr>
        <w:ind w:left="1440" w:hanging="360"/>
      </w:pPr>
      <w:rPr>
        <w:rFonts w:ascii="Arial" w:eastAsia="Calibri" w:hAnsi="Arial" w:cs="Arial"/>
        <w:b w:val="0"/>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7A65D4"/>
    <w:multiLevelType w:val="hybridMultilevel"/>
    <w:tmpl w:val="82EC2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FB4D21"/>
    <w:multiLevelType w:val="hybridMultilevel"/>
    <w:tmpl w:val="3C56F7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7122E0D"/>
    <w:multiLevelType w:val="hybridMultilevel"/>
    <w:tmpl w:val="B65442B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79B85AF2"/>
    <w:multiLevelType w:val="hybridMultilevel"/>
    <w:tmpl w:val="988CAD14"/>
    <w:lvl w:ilvl="0" w:tplc="F926E6F0">
      <w:start w:val="1"/>
      <w:numFmt w:val="decimal"/>
      <w:lvlText w:val="%1."/>
      <w:lvlJc w:val="left"/>
      <w:pPr>
        <w:ind w:left="720" w:hanging="360"/>
      </w:pPr>
      <w:rPr>
        <w:rFonts w:hint="default"/>
        <w:b/>
        <w:sz w:val="24"/>
        <w:szCs w:val="24"/>
      </w:rPr>
    </w:lvl>
    <w:lvl w:ilvl="1" w:tplc="1A64D296">
      <w:start w:val="1"/>
      <w:numFmt w:val="lowerLetter"/>
      <w:lvlText w:val="%2."/>
      <w:lvlJc w:val="left"/>
      <w:pPr>
        <w:ind w:left="1440" w:hanging="360"/>
      </w:pPr>
      <w:rPr>
        <w:b w:val="0"/>
      </w:rPr>
    </w:lvl>
    <w:lvl w:ilvl="2" w:tplc="0409000F">
      <w:start w:val="1"/>
      <w:numFmt w:val="decimal"/>
      <w:lvlText w:val="%3."/>
      <w:lvlJc w:val="left"/>
      <w:pPr>
        <w:ind w:left="2340" w:hanging="36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A777810"/>
    <w:multiLevelType w:val="hybridMultilevel"/>
    <w:tmpl w:val="8310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53AC6"/>
    <w:multiLevelType w:val="hybridMultilevel"/>
    <w:tmpl w:val="E760D0D0"/>
    <w:lvl w:ilvl="0" w:tplc="1A64D296">
      <w:start w:val="1"/>
      <w:numFmt w:val="lowerLetter"/>
      <w:lvlText w:val="%1."/>
      <w:lvlJc w:val="left"/>
      <w:pPr>
        <w:ind w:left="3240" w:hanging="360"/>
      </w:pPr>
      <w:rPr>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3"/>
  </w:num>
  <w:num w:numId="3">
    <w:abstractNumId w:val="17"/>
  </w:num>
  <w:num w:numId="4">
    <w:abstractNumId w:val="10"/>
  </w:num>
  <w:num w:numId="5">
    <w:abstractNumId w:val="13"/>
  </w:num>
  <w:num w:numId="6">
    <w:abstractNumId w:val="11"/>
  </w:num>
  <w:num w:numId="7">
    <w:abstractNumId w:val="1"/>
  </w:num>
  <w:num w:numId="8">
    <w:abstractNumId w:val="18"/>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16"/>
  </w:num>
  <w:num w:numId="14">
    <w:abstractNumId w:val="7"/>
  </w:num>
  <w:num w:numId="15">
    <w:abstractNumId w:val="5"/>
  </w:num>
  <w:num w:numId="16">
    <w:abstractNumId w:val="2"/>
  </w:num>
  <w:num w:numId="17">
    <w:abstractNumId w:val="9"/>
  </w:num>
  <w:num w:numId="18">
    <w:abstractNumId w:val="0"/>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1A"/>
    <w:rsid w:val="00005404"/>
    <w:rsid w:val="0000768E"/>
    <w:rsid w:val="00017226"/>
    <w:rsid w:val="000216C9"/>
    <w:rsid w:val="00053497"/>
    <w:rsid w:val="00054162"/>
    <w:rsid w:val="00061B39"/>
    <w:rsid w:val="000719AE"/>
    <w:rsid w:val="00073140"/>
    <w:rsid w:val="00076115"/>
    <w:rsid w:val="00085121"/>
    <w:rsid w:val="00092844"/>
    <w:rsid w:val="000B4124"/>
    <w:rsid w:val="000D2628"/>
    <w:rsid w:val="000D4E4E"/>
    <w:rsid w:val="000D70CE"/>
    <w:rsid w:val="0011101D"/>
    <w:rsid w:val="0012380B"/>
    <w:rsid w:val="0014427F"/>
    <w:rsid w:val="00144A33"/>
    <w:rsid w:val="0016379E"/>
    <w:rsid w:val="00165A54"/>
    <w:rsid w:val="00176186"/>
    <w:rsid w:val="00192FFC"/>
    <w:rsid w:val="001A11AD"/>
    <w:rsid w:val="001A3AC2"/>
    <w:rsid w:val="001D37E4"/>
    <w:rsid w:val="001E7231"/>
    <w:rsid w:val="002476BA"/>
    <w:rsid w:val="00265AC4"/>
    <w:rsid w:val="002843FC"/>
    <w:rsid w:val="00323EF1"/>
    <w:rsid w:val="00375261"/>
    <w:rsid w:val="003803CB"/>
    <w:rsid w:val="003846E0"/>
    <w:rsid w:val="0038570D"/>
    <w:rsid w:val="00385EBE"/>
    <w:rsid w:val="00396C47"/>
    <w:rsid w:val="00397AA4"/>
    <w:rsid w:val="003A556F"/>
    <w:rsid w:val="003B04EC"/>
    <w:rsid w:val="003B25E6"/>
    <w:rsid w:val="003E4032"/>
    <w:rsid w:val="003F59AF"/>
    <w:rsid w:val="00402661"/>
    <w:rsid w:val="00434F15"/>
    <w:rsid w:val="0046149D"/>
    <w:rsid w:val="004954F9"/>
    <w:rsid w:val="004C5243"/>
    <w:rsid w:val="00514D8B"/>
    <w:rsid w:val="00525256"/>
    <w:rsid w:val="00532258"/>
    <w:rsid w:val="00542166"/>
    <w:rsid w:val="005636CA"/>
    <w:rsid w:val="00583F69"/>
    <w:rsid w:val="005B2187"/>
    <w:rsid w:val="005B722E"/>
    <w:rsid w:val="005C2339"/>
    <w:rsid w:val="006164BD"/>
    <w:rsid w:val="006250E4"/>
    <w:rsid w:val="00654577"/>
    <w:rsid w:val="006A7386"/>
    <w:rsid w:val="006C651A"/>
    <w:rsid w:val="00702E3E"/>
    <w:rsid w:val="00711AAF"/>
    <w:rsid w:val="00781627"/>
    <w:rsid w:val="00793FD1"/>
    <w:rsid w:val="007A6852"/>
    <w:rsid w:val="007B0482"/>
    <w:rsid w:val="007B0F49"/>
    <w:rsid w:val="007D5357"/>
    <w:rsid w:val="007E6706"/>
    <w:rsid w:val="00823A03"/>
    <w:rsid w:val="00847483"/>
    <w:rsid w:val="00856274"/>
    <w:rsid w:val="00863A3A"/>
    <w:rsid w:val="008B0C4E"/>
    <w:rsid w:val="008C6F4A"/>
    <w:rsid w:val="008D1C6D"/>
    <w:rsid w:val="008D1DFC"/>
    <w:rsid w:val="008F44BE"/>
    <w:rsid w:val="00907248"/>
    <w:rsid w:val="009138C0"/>
    <w:rsid w:val="009A6661"/>
    <w:rsid w:val="009D0A84"/>
    <w:rsid w:val="009D2C44"/>
    <w:rsid w:val="009F5C47"/>
    <w:rsid w:val="00A204FC"/>
    <w:rsid w:val="00A35391"/>
    <w:rsid w:val="00A36EEF"/>
    <w:rsid w:val="00A9083F"/>
    <w:rsid w:val="00AA37BE"/>
    <w:rsid w:val="00AA7B15"/>
    <w:rsid w:val="00AB5529"/>
    <w:rsid w:val="00AC63F3"/>
    <w:rsid w:val="00AC72A9"/>
    <w:rsid w:val="00AD7B40"/>
    <w:rsid w:val="00AE6683"/>
    <w:rsid w:val="00B0342C"/>
    <w:rsid w:val="00B07743"/>
    <w:rsid w:val="00B24377"/>
    <w:rsid w:val="00B272A3"/>
    <w:rsid w:val="00B427D5"/>
    <w:rsid w:val="00B67E2B"/>
    <w:rsid w:val="00BD5030"/>
    <w:rsid w:val="00BD65A4"/>
    <w:rsid w:val="00BE2AB2"/>
    <w:rsid w:val="00BF143D"/>
    <w:rsid w:val="00C00EC1"/>
    <w:rsid w:val="00C066BC"/>
    <w:rsid w:val="00C11F82"/>
    <w:rsid w:val="00C21480"/>
    <w:rsid w:val="00C24A41"/>
    <w:rsid w:val="00C26DDB"/>
    <w:rsid w:val="00C504D1"/>
    <w:rsid w:val="00C64A5A"/>
    <w:rsid w:val="00C653AA"/>
    <w:rsid w:val="00C775DE"/>
    <w:rsid w:val="00C81BCD"/>
    <w:rsid w:val="00C84036"/>
    <w:rsid w:val="00C95625"/>
    <w:rsid w:val="00D24516"/>
    <w:rsid w:val="00D32448"/>
    <w:rsid w:val="00D46967"/>
    <w:rsid w:val="00D622F9"/>
    <w:rsid w:val="00D64638"/>
    <w:rsid w:val="00DB6C1E"/>
    <w:rsid w:val="00DC0AE9"/>
    <w:rsid w:val="00DE0583"/>
    <w:rsid w:val="00E00B3B"/>
    <w:rsid w:val="00E222FF"/>
    <w:rsid w:val="00E305E6"/>
    <w:rsid w:val="00E772ED"/>
    <w:rsid w:val="00E776C9"/>
    <w:rsid w:val="00ED1CEC"/>
    <w:rsid w:val="00F234DF"/>
    <w:rsid w:val="00F3689C"/>
    <w:rsid w:val="00F467FF"/>
    <w:rsid w:val="00F65133"/>
    <w:rsid w:val="00F76EFB"/>
    <w:rsid w:val="00F862BB"/>
    <w:rsid w:val="00FE23C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156C320"/>
  <w15:chartTrackingRefBased/>
  <w15:docId w15:val="{035A74B3-D66A-4357-871A-B158ACE4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No Spacing" w:qFormat="1"/>
    <w:lsdException w:name="List Paragraph" w:qFormat="1"/>
    <w:lsdException w:name="Quote" w:qFormat="1"/>
    <w:lsdException w:name="Intense Quote" w:qFormat="1"/>
    <w:lsdException w:name="Colorful List Accent 1" w:uiPriority="99"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51A"/>
    <w:pPr>
      <w:spacing w:after="200" w:line="276" w:lineRule="auto"/>
    </w:pPr>
    <w:rPr>
      <w:rFonts w:ascii="Arial" w:eastAsia="Calibri" w:hAnsi="Arial" w:cs="Arial"/>
      <w:sz w:val="24"/>
      <w:szCs w:val="24"/>
    </w:rPr>
  </w:style>
  <w:style w:type="paragraph" w:styleId="Heading1">
    <w:name w:val="heading 1"/>
    <w:basedOn w:val="Normal"/>
    <w:next w:val="Normal"/>
    <w:link w:val="Heading1Char"/>
    <w:qFormat/>
    <w:rsid w:val="00BF14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9"/>
    <w:qFormat/>
    <w:rsid w:val="00847483"/>
    <w:pPr>
      <w:spacing w:beforeLines="1" w:afterLines="1" w:line="240" w:lineRule="auto"/>
      <w:outlineLvl w:val="1"/>
    </w:pPr>
    <w:rPr>
      <w:rFonts w:ascii="Times" w:hAnsi="Times"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005404"/>
    <w:pPr>
      <w:spacing w:after="0" w:line="240" w:lineRule="auto"/>
    </w:pPr>
    <w:rPr>
      <w:rFonts w:ascii="Lucida Grande" w:hAnsi="Lucida Grande"/>
      <w:sz w:val="18"/>
      <w:szCs w:val="18"/>
    </w:rPr>
  </w:style>
  <w:style w:type="character" w:customStyle="1" w:styleId="BalloonTextChar">
    <w:name w:val="Balloon Text Char"/>
    <w:uiPriority w:val="99"/>
    <w:semiHidden/>
    <w:rsid w:val="00C90292"/>
    <w:rPr>
      <w:rFonts w:ascii="Lucida Grande" w:hAnsi="Lucida Grande"/>
      <w:sz w:val="18"/>
      <w:szCs w:val="18"/>
    </w:rPr>
  </w:style>
  <w:style w:type="paragraph" w:styleId="ColorfulList-Accent1">
    <w:name w:val="Colorful List Accent 1"/>
    <w:basedOn w:val="Normal"/>
    <w:uiPriority w:val="99"/>
    <w:qFormat/>
    <w:rsid w:val="006C651A"/>
    <w:pPr>
      <w:ind w:left="720"/>
    </w:pPr>
  </w:style>
  <w:style w:type="paragraph" w:styleId="NormalWeb">
    <w:name w:val="Normal (Web)"/>
    <w:basedOn w:val="Normal"/>
    <w:uiPriority w:val="99"/>
    <w:rsid w:val="006C651A"/>
    <w:pPr>
      <w:spacing w:after="360" w:line="240" w:lineRule="auto"/>
      <w:jc w:val="both"/>
    </w:pPr>
    <w:rPr>
      <w:rFonts w:ascii="Times New Roman" w:eastAsia="Times New Roman" w:hAnsi="Times New Roman" w:cs="Times New Roman"/>
    </w:rPr>
  </w:style>
  <w:style w:type="character" w:styleId="CommentReference">
    <w:name w:val="annotation reference"/>
    <w:uiPriority w:val="99"/>
    <w:rsid w:val="00005404"/>
    <w:rPr>
      <w:sz w:val="18"/>
      <w:szCs w:val="18"/>
    </w:rPr>
  </w:style>
  <w:style w:type="paragraph" w:styleId="CommentText">
    <w:name w:val="annotation text"/>
    <w:basedOn w:val="Normal"/>
    <w:link w:val="CommentTextChar"/>
    <w:uiPriority w:val="99"/>
    <w:rsid w:val="00005404"/>
    <w:pPr>
      <w:spacing w:line="240" w:lineRule="auto"/>
    </w:pPr>
  </w:style>
  <w:style w:type="character" w:customStyle="1" w:styleId="CommentTextChar">
    <w:name w:val="Comment Text Char"/>
    <w:link w:val="CommentText"/>
    <w:uiPriority w:val="99"/>
    <w:rsid w:val="00005404"/>
    <w:rPr>
      <w:rFonts w:ascii="Arial" w:eastAsia="Calibri" w:hAnsi="Arial" w:cs="Arial"/>
    </w:rPr>
  </w:style>
  <w:style w:type="character" w:customStyle="1" w:styleId="BalloonTextChar2">
    <w:name w:val="Balloon Text Char2"/>
    <w:link w:val="BalloonText"/>
    <w:rsid w:val="00005404"/>
    <w:rPr>
      <w:rFonts w:ascii="Lucida Grande" w:eastAsia="Calibri" w:hAnsi="Lucida Grande" w:cs="Arial"/>
      <w:sz w:val="18"/>
      <w:szCs w:val="18"/>
    </w:rPr>
  </w:style>
  <w:style w:type="character" w:customStyle="1" w:styleId="BalloonTextChar1">
    <w:name w:val="Balloon Text Char1"/>
    <w:uiPriority w:val="99"/>
    <w:semiHidden/>
    <w:rsid w:val="005636CA"/>
    <w:rPr>
      <w:rFonts w:ascii="Tahoma" w:hAnsi="Tahoma" w:cs="Tahoma"/>
      <w:sz w:val="16"/>
      <w:szCs w:val="16"/>
    </w:rPr>
  </w:style>
  <w:style w:type="paragraph" w:styleId="Footer">
    <w:name w:val="footer"/>
    <w:basedOn w:val="Normal"/>
    <w:link w:val="FooterChar"/>
    <w:rsid w:val="00402661"/>
    <w:pPr>
      <w:tabs>
        <w:tab w:val="center" w:pos="4320"/>
        <w:tab w:val="right" w:pos="8640"/>
      </w:tabs>
      <w:spacing w:after="0" w:line="240" w:lineRule="auto"/>
    </w:pPr>
  </w:style>
  <w:style w:type="character" w:customStyle="1" w:styleId="FooterChar">
    <w:name w:val="Footer Char"/>
    <w:link w:val="Footer"/>
    <w:rsid w:val="00402661"/>
    <w:rPr>
      <w:rFonts w:ascii="Arial" w:eastAsia="Calibri" w:hAnsi="Arial" w:cs="Arial"/>
    </w:rPr>
  </w:style>
  <w:style w:type="character" w:styleId="PageNumber">
    <w:name w:val="page number"/>
    <w:basedOn w:val="DefaultParagraphFont"/>
    <w:rsid w:val="00402661"/>
  </w:style>
  <w:style w:type="paragraph" w:styleId="CommentSubject">
    <w:name w:val="annotation subject"/>
    <w:basedOn w:val="CommentText"/>
    <w:next w:val="CommentText"/>
    <w:link w:val="CommentSubjectChar"/>
    <w:rsid w:val="00C00EC1"/>
    <w:rPr>
      <w:b/>
      <w:bCs/>
      <w:sz w:val="20"/>
      <w:szCs w:val="20"/>
    </w:rPr>
  </w:style>
  <w:style w:type="character" w:customStyle="1" w:styleId="CommentSubjectChar">
    <w:name w:val="Comment Subject Char"/>
    <w:link w:val="CommentSubject"/>
    <w:rsid w:val="00C00EC1"/>
    <w:rPr>
      <w:rFonts w:ascii="Arial" w:eastAsia="Calibri" w:hAnsi="Arial" w:cs="Arial"/>
      <w:b/>
      <w:bCs/>
      <w:sz w:val="20"/>
      <w:szCs w:val="20"/>
    </w:rPr>
  </w:style>
  <w:style w:type="paragraph" w:styleId="Header">
    <w:name w:val="header"/>
    <w:basedOn w:val="Normal"/>
    <w:link w:val="HeaderChar"/>
    <w:uiPriority w:val="99"/>
    <w:rsid w:val="00DE0583"/>
    <w:pPr>
      <w:tabs>
        <w:tab w:val="center" w:pos="4320"/>
        <w:tab w:val="right" w:pos="8640"/>
      </w:tabs>
      <w:spacing w:after="0" w:line="240" w:lineRule="auto"/>
    </w:pPr>
  </w:style>
  <w:style w:type="character" w:customStyle="1" w:styleId="HeaderChar">
    <w:name w:val="Header Char"/>
    <w:link w:val="Header"/>
    <w:uiPriority w:val="99"/>
    <w:rsid w:val="00DE0583"/>
    <w:rPr>
      <w:rFonts w:ascii="Arial" w:eastAsia="Calibri" w:hAnsi="Arial" w:cs="Arial"/>
    </w:rPr>
  </w:style>
  <w:style w:type="paragraph" w:styleId="BodyTextIndent">
    <w:name w:val="Body Text Indent"/>
    <w:basedOn w:val="Normal"/>
    <w:link w:val="BodyTextIndentChar"/>
    <w:rsid w:val="00A9083F"/>
    <w:pPr>
      <w:widowControl w:val="0"/>
      <w:tabs>
        <w:tab w:val="left" w:pos="864"/>
        <w:tab w:val="left" w:pos="1440"/>
      </w:tabs>
      <w:spacing w:after="0" w:line="240" w:lineRule="auto"/>
      <w:ind w:right="25"/>
    </w:pPr>
    <w:rPr>
      <w:rFonts w:eastAsia="Times New Roman" w:cs="Times New Roman"/>
      <w:sz w:val="20"/>
      <w:szCs w:val="20"/>
    </w:rPr>
  </w:style>
  <w:style w:type="character" w:customStyle="1" w:styleId="BodyTextIndentChar">
    <w:name w:val="Body Text Indent Char"/>
    <w:link w:val="BodyTextIndent"/>
    <w:rsid w:val="00A9083F"/>
    <w:rPr>
      <w:rFonts w:ascii="Arial" w:eastAsia="Times New Roman" w:hAnsi="Arial" w:cs="Times New Roman"/>
      <w:sz w:val="20"/>
      <w:szCs w:val="20"/>
    </w:rPr>
  </w:style>
  <w:style w:type="paragraph" w:styleId="ColorfulShading-Accent1">
    <w:name w:val="Colorful Shading Accent 1"/>
    <w:hidden/>
    <w:rsid w:val="008F44BE"/>
    <w:rPr>
      <w:rFonts w:ascii="Arial" w:eastAsia="Calibri" w:hAnsi="Arial" w:cs="Arial"/>
      <w:sz w:val="24"/>
      <w:szCs w:val="24"/>
    </w:rPr>
  </w:style>
  <w:style w:type="paragraph" w:styleId="FootnoteText">
    <w:name w:val="footnote text"/>
    <w:basedOn w:val="Normal"/>
    <w:link w:val="FootnoteTextChar"/>
    <w:uiPriority w:val="99"/>
    <w:rsid w:val="008C6F4A"/>
    <w:pPr>
      <w:spacing w:after="0" w:line="240" w:lineRule="auto"/>
    </w:pPr>
  </w:style>
  <w:style w:type="character" w:customStyle="1" w:styleId="FootnoteTextChar">
    <w:name w:val="Footnote Text Char"/>
    <w:link w:val="FootnoteText"/>
    <w:uiPriority w:val="99"/>
    <w:rsid w:val="008C6F4A"/>
    <w:rPr>
      <w:rFonts w:ascii="Arial" w:eastAsia="Calibri" w:hAnsi="Arial" w:cs="Arial"/>
    </w:rPr>
  </w:style>
  <w:style w:type="character" w:styleId="FootnoteReference">
    <w:name w:val="footnote reference"/>
    <w:uiPriority w:val="99"/>
    <w:rsid w:val="008C6F4A"/>
    <w:rPr>
      <w:vertAlign w:val="superscript"/>
    </w:rPr>
  </w:style>
  <w:style w:type="character" w:customStyle="1" w:styleId="Heading2Char">
    <w:name w:val="Heading 2 Char"/>
    <w:link w:val="Heading2"/>
    <w:uiPriority w:val="99"/>
    <w:rsid w:val="00847483"/>
    <w:rPr>
      <w:rFonts w:ascii="Times" w:eastAsia="Calibri" w:hAnsi="Times" w:cs="Times New Roman"/>
      <w:b/>
      <w:bCs/>
      <w:sz w:val="36"/>
      <w:szCs w:val="36"/>
      <w:lang w:val="x-none" w:eastAsia="x-none"/>
    </w:rPr>
  </w:style>
  <w:style w:type="character" w:styleId="Hyperlink">
    <w:name w:val="Hyperlink"/>
    <w:uiPriority w:val="99"/>
    <w:rsid w:val="00847483"/>
    <w:rPr>
      <w:rFonts w:cs="Times New Roman"/>
      <w:color w:val="0000FF"/>
      <w:u w:val="single"/>
    </w:rPr>
  </w:style>
  <w:style w:type="paragraph" w:customStyle="1" w:styleId="Default">
    <w:name w:val="Default"/>
    <w:rsid w:val="00847483"/>
    <w:pPr>
      <w:widowControl w:val="0"/>
      <w:autoSpaceDE w:val="0"/>
      <w:autoSpaceDN w:val="0"/>
      <w:adjustRightInd w:val="0"/>
    </w:pPr>
    <w:rPr>
      <w:rFonts w:ascii="Arial" w:hAnsi="Arial" w:cs="Arial"/>
      <w:color w:val="000000"/>
      <w:sz w:val="24"/>
      <w:szCs w:val="24"/>
    </w:rPr>
  </w:style>
  <w:style w:type="character" w:styleId="FollowedHyperlink">
    <w:name w:val="FollowedHyperlink"/>
    <w:rsid w:val="00AA37BE"/>
    <w:rPr>
      <w:color w:val="800080"/>
      <w:u w:val="single"/>
    </w:rPr>
  </w:style>
  <w:style w:type="table" w:styleId="GridTable4-Accent3">
    <w:name w:val="Grid Table 4 Accent 3"/>
    <w:basedOn w:val="TableNormal"/>
    <w:uiPriority w:val="49"/>
    <w:rsid w:val="00BF143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Classic4">
    <w:name w:val="Table Classic 4"/>
    <w:basedOn w:val="TableNormal"/>
    <w:rsid w:val="00BF143D"/>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BF14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mh.ca.gov/dmhdocs/docs/notices11/11-06.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mh.ca.gov/dmhdocs/docs/notices10/10-23.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dmh.ca.gov/DMHDocs/docs/notices10/10-11.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mh.ca.gov/DMHDocs/docs/letters10/10-02.pdf" TargetMode="External"/><Relationship Id="rId2" Type="http://schemas.openxmlformats.org/officeDocument/2006/relationships/hyperlink" Target="http://www.dmh.ca.gov/DMHDocs/docs/letters02/02-06.pdf" TargetMode="External"/><Relationship Id="rId1" Type="http://schemas.openxmlformats.org/officeDocument/2006/relationships/hyperlink" Target="http://www.cms.gov/Outreach-and-Education/Medicare-Learning-Network-MLN/MLNProducts/downloads/Mental_Health_Services_ICN903195.pdf" TargetMode="External"/><Relationship Id="rId5" Type="http://schemas.openxmlformats.org/officeDocument/2006/relationships/hyperlink" Target="http://www.cms.gov/medicare-coverage-database/details/ncd-details.aspx?NCDId=347&amp;ncdver=1&amp;SearchType=Advanced&amp;CoverageSelection=Both&amp;NCSelection=NCA%7cCAL%7cNCD%7cMEDCAC%7cTA%7cMCD&amp;ArticleType=Ed%7cKey%7cSAD%7cFAQ&amp;PolicyType=Final&amp;s=---%7c5%7c6%7c66%7c67%7c9%7c38%7c63%7c41%7c64%7c65%7c44&amp;KeyWord=inpatient+rehabilitation&amp;KeyWordLookUp=Doc&amp;KeyWordSearchType=And&amp;kq=true&amp;bc=IAAAABAAAAAA&amp;" TargetMode="External"/><Relationship Id="rId4" Type="http://schemas.openxmlformats.org/officeDocument/2006/relationships/hyperlink" Target="http://www.cms.gov/medicare-coverage-database/details/ncd-details.aspx?NCDId=26&amp;ncdver=1&amp;SearchType=Advanced&amp;CoverageSelection=Both&amp;NCSelection=NCA%7CCAL%7CNCD%7CMEDCAC%7CTA%7CMCD&amp;ArticleType=Ed%7CKey%7CSAD%7CFAQ&amp;PolicyType=Final&amp;s=---%7C5%7C6%7C66%7C67%7C9%7C38%7C63%7C41%7C64%7C65%7C44&amp;KeyWord=inpatient+rehabilitation&amp;KeyWordLookUp=Doc&amp;KeyWordSearchType=And&amp;kq=true&amp;bc=IAAAABAAAAAA&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5D6794E1005A074DB3CDA58DCE25DF47" ma:contentTypeVersion="22" ma:contentTypeDescription="This is the Custom Document Type for use by DHCS" ma:contentTypeScope="" ma:versionID="05e56c22ec521151f9a8d0930d2253c1">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A4A08-9FB5-4F29-ADF7-7503308056E6}">
  <ds:schemaRefs>
    <ds:schemaRef ds:uri="http://schemas.microsoft.com/sharepoint/v3/contenttype/forms"/>
  </ds:schemaRefs>
</ds:datastoreItem>
</file>

<file path=customXml/itemProps2.xml><?xml version="1.0" encoding="utf-8"?>
<ds:datastoreItem xmlns:ds="http://schemas.openxmlformats.org/officeDocument/2006/customXml" ds:itemID="{DF982F4E-AB1C-4E8C-8D18-EF65C2979B57}"/>
</file>

<file path=customXml/itemProps3.xml><?xml version="1.0" encoding="utf-8"?>
<ds:datastoreItem xmlns:ds="http://schemas.openxmlformats.org/officeDocument/2006/customXml" ds:itemID="{3ACC4D3A-8F45-4845-A251-23AB6CBD8F00}">
  <ds:schemaRefs>
    <ds:schemaRef ds:uri="http://schemas.openxmlformats.org/officeDocument/2006/bibliography"/>
  </ds:schemaRefs>
</ds:datastoreItem>
</file>

<file path=customXml/itemProps4.xml><?xml version="1.0" encoding="utf-8"?>
<ds:datastoreItem xmlns:ds="http://schemas.openxmlformats.org/officeDocument/2006/customXml" ds:itemID="{2EB73E4A-CF3E-4867-8F5D-B7513370D0AB}">
  <ds:schemaRefs>
    <ds:schemaRef ds:uri="http://schemas.microsoft.com/office/2006/metadata/longProperties"/>
  </ds:schemaRefs>
</ds:datastoreItem>
</file>

<file path=customXml/itemProps5.xml><?xml version="1.0" encoding="utf-8"?>
<ds:datastoreItem xmlns:ds="http://schemas.openxmlformats.org/officeDocument/2006/customXml" ds:itemID="{3F110382-36DB-439D-AD53-5D7A8CB6D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C5FFCA-500C-4269-AF12-02458D9577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19284</CharactersWithSpaces>
  <SharedDoc>false</SharedDoc>
  <HLinks>
    <vt:vector size="48" baseType="variant">
      <vt:variant>
        <vt:i4>7602285</vt:i4>
      </vt:variant>
      <vt:variant>
        <vt:i4>6</vt:i4>
      </vt:variant>
      <vt:variant>
        <vt:i4>0</vt:i4>
      </vt:variant>
      <vt:variant>
        <vt:i4>5</vt:i4>
      </vt:variant>
      <vt:variant>
        <vt:lpwstr>http://www.dmh.ca.gov/dmhdocs/docs/notices11/11-06.pdf</vt:lpwstr>
      </vt:variant>
      <vt:variant>
        <vt:lpwstr/>
      </vt:variant>
      <vt:variant>
        <vt:i4>7340142</vt:i4>
      </vt:variant>
      <vt:variant>
        <vt:i4>3</vt:i4>
      </vt:variant>
      <vt:variant>
        <vt:i4>0</vt:i4>
      </vt:variant>
      <vt:variant>
        <vt:i4>5</vt:i4>
      </vt:variant>
      <vt:variant>
        <vt:lpwstr>http://www.dmh.ca.gov/dmhdocs/docs/notices10/10-23.pdf</vt:lpwstr>
      </vt:variant>
      <vt:variant>
        <vt:lpwstr/>
      </vt:variant>
      <vt:variant>
        <vt:i4>7471213</vt:i4>
      </vt:variant>
      <vt:variant>
        <vt:i4>0</vt:i4>
      </vt:variant>
      <vt:variant>
        <vt:i4>0</vt:i4>
      </vt:variant>
      <vt:variant>
        <vt:i4>5</vt:i4>
      </vt:variant>
      <vt:variant>
        <vt:lpwstr>http://www.dmh.ca.gov/DMHDocs/docs/notices10/10-11.pdf</vt:lpwstr>
      </vt:variant>
      <vt:variant>
        <vt:lpwstr/>
      </vt:variant>
      <vt:variant>
        <vt:i4>2228325</vt:i4>
      </vt:variant>
      <vt:variant>
        <vt:i4>12</vt:i4>
      </vt:variant>
      <vt:variant>
        <vt:i4>0</vt:i4>
      </vt:variant>
      <vt:variant>
        <vt:i4>5</vt:i4>
      </vt:variant>
      <vt:variant>
        <vt:lpwstr>http://www.cms.gov/medicare-coverage-database/details/ncd-details.aspx?NCDId=347&amp;ncdver=1&amp;SearchType=Advanced&amp;CoverageSelection=Both&amp;NCSelection=NCA%7cCAL%7cNCD%7cMEDCAC%7cTA%7cMCD&amp;ArticleType=Ed%7cKey%7cSAD%7cFAQ&amp;PolicyType=Final&amp;s=---%7c5%7c6%7c66%7c67%7c9%7c38%7c63%7c41%7c64%7c65%7c44&amp;KeyWord=inpatient+rehabilitation&amp;KeyWordLookUp=Doc&amp;KeyWordSearchType=And&amp;kq=true&amp;bc=IAAAABAAAAAA&amp;</vt:lpwstr>
      </vt:variant>
      <vt:variant>
        <vt:lpwstr/>
      </vt:variant>
      <vt:variant>
        <vt:i4>3276900</vt:i4>
      </vt:variant>
      <vt:variant>
        <vt:i4>9</vt:i4>
      </vt:variant>
      <vt:variant>
        <vt:i4>0</vt:i4>
      </vt:variant>
      <vt:variant>
        <vt:i4>5</vt:i4>
      </vt:variant>
      <vt:variant>
        <vt:lpwstr>http://www.cms.gov/medicare-coverage-database/details/ncd-details.aspx?NCDId=26&amp;ncdver=1&amp;SearchType=Advanced&amp;CoverageSelection=Both&amp;NCSelection=NCA%7CCAL%7CNCD%7CMEDCAC%7CTA%7CMCD&amp;ArticleType=Ed%7CKey%7CSAD%7CFAQ&amp;PolicyType=Final&amp;s=---%7C5%7C6%7C66%7C67%7C9%7C38%7C63%7C41%7C64%7C65%7C44&amp;KeyWord=inpatient+rehabilitation&amp;KeyWordLookUp=Doc&amp;KeyWordSearchType=And&amp;kq=true&amp;bc=IAAAABAAAAAA&amp;</vt:lpwstr>
      </vt:variant>
      <vt:variant>
        <vt:lpwstr/>
      </vt:variant>
      <vt:variant>
        <vt:i4>7667820</vt:i4>
      </vt:variant>
      <vt:variant>
        <vt:i4>6</vt:i4>
      </vt:variant>
      <vt:variant>
        <vt:i4>0</vt:i4>
      </vt:variant>
      <vt:variant>
        <vt:i4>5</vt:i4>
      </vt:variant>
      <vt:variant>
        <vt:lpwstr>http://www.dmh.ca.gov/DMHDocs/docs/letters10/10-02.pdf</vt:lpwstr>
      </vt:variant>
      <vt:variant>
        <vt:lpwstr/>
      </vt:variant>
      <vt:variant>
        <vt:i4>7471215</vt:i4>
      </vt:variant>
      <vt:variant>
        <vt:i4>3</vt:i4>
      </vt:variant>
      <vt:variant>
        <vt:i4>0</vt:i4>
      </vt:variant>
      <vt:variant>
        <vt:i4>5</vt:i4>
      </vt:variant>
      <vt:variant>
        <vt:lpwstr>http://www.dmh.ca.gov/DMHDocs/docs/letters02/02-06.pdf</vt:lpwstr>
      </vt:variant>
      <vt:variant>
        <vt:lpwstr/>
      </vt:variant>
      <vt:variant>
        <vt:i4>5046371</vt:i4>
      </vt:variant>
      <vt:variant>
        <vt:i4>0</vt:i4>
      </vt:variant>
      <vt:variant>
        <vt:i4>0</vt:i4>
      </vt:variant>
      <vt:variant>
        <vt:i4>5</vt:i4>
      </vt:variant>
      <vt:variant>
        <vt:lpwstr>http://www.cms.gov/Outreach-and-Education/Medicare-Learning-Network-MLN/MLNProducts/downloads/Mental_Health_Services_ICN903195.pdf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MOU template: Health Plan-County Department</dc:title>
  <dc:subject/>
  <dc:creator>Sarah Arnquist</dc:creator>
  <cp:keywords>Duals Demonstration</cp:keywords>
  <cp:lastModifiedBy>Jamie Bracht</cp:lastModifiedBy>
  <cp:revision>2</cp:revision>
  <dcterms:created xsi:type="dcterms:W3CDTF">2020-10-26T20:33:00Z</dcterms:created>
  <dcterms:modified xsi:type="dcterms:W3CDTF">2020-10-26T20:33:00Z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display_urn:schemas-microsoft-com:office:office#Editor">
    <vt:lpwstr>John SS01. Trapper</vt:lpwstr>
  </property>
  <property fmtid="{D5CDD505-2E9C-101B-9397-08002B2CF9AE}" pid="4" name="display_urn:schemas-microsoft-com:office:office#Author">
    <vt:lpwstr>John SS01. Trapper</vt:lpwstr>
  </property>
  <property fmtid="{D5CDD505-2E9C-101B-9397-08002B2CF9AE}" pid="5" name="_dlc_DocId">
    <vt:lpwstr>DHCSDOC-1797567310-752</vt:lpwstr>
  </property>
  <property fmtid="{D5CDD505-2E9C-101B-9397-08002B2CF9AE}" pid="6" name="_dlc_DocIdItemGuid">
    <vt:lpwstr>d7281714-d2ee-4344-b644-7135da1ca89e</vt:lpwstr>
  </property>
  <property fmtid="{D5CDD505-2E9C-101B-9397-08002B2CF9AE}" pid="7" name="_dlc_DocIdUrl">
    <vt:lpwstr>http://dhcs2016prod:88/_layouts/15/DocIdRedir.aspx?ID=DHCSDOC-1797567310-752, DHCSDOC-1797567310-752</vt:lpwstr>
  </property>
  <property fmtid="{D5CDD505-2E9C-101B-9397-08002B2CF9AE}" pid="8" name="ContentTypeId">
    <vt:lpwstr>0x0101000DD778A44A894D44A57135C48A267F0A</vt:lpwstr>
  </property>
</Properties>
</file>