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AA04" w14:textId="77777777" w:rsidR="006D061D" w:rsidRPr="006D061D" w:rsidRDefault="00550EDC" w:rsidP="001F51FD">
      <w:pPr>
        <w:pStyle w:val="Heading-Instructions"/>
        <w:jc w:val="left"/>
        <w:rPr>
          <w:sz w:val="22"/>
          <w:szCs w:val="22"/>
        </w:rPr>
      </w:pPr>
      <w:r>
        <w:tab/>
      </w:r>
    </w:p>
    <w:p w14:paraId="58E5AA05" w14:textId="77777777" w:rsidR="005D1BFF" w:rsidRDefault="00D1660E" w:rsidP="005D1BFF">
      <w:pPr>
        <w:pStyle w:val="BodyText2"/>
        <w:spacing w:after="120" w:line="360" w:lineRule="auto"/>
        <w:rPr>
          <w:rFonts w:cs="Arial"/>
          <w:strike w:val="0"/>
          <w:color w:val="000000"/>
          <w:sz w:val="22"/>
          <w:szCs w:val="22"/>
        </w:rPr>
      </w:pPr>
      <w:r w:rsidRPr="006D061D">
        <w:rPr>
          <w:rFonts w:cs="Arial"/>
          <w:strike w:val="0"/>
          <w:color w:val="000000"/>
          <w:sz w:val="22"/>
          <w:szCs w:val="22"/>
        </w:rPr>
        <w:t>These instructions are to assist the provider in preparing the FQHC/RHC Medi-Cal Change in Scope-Of-Service Request Cost Report in conformance with the State Medi</w:t>
      </w:r>
      <w:r w:rsidRPr="006D061D">
        <w:rPr>
          <w:rFonts w:cs="Arial"/>
          <w:strike w:val="0"/>
          <w:color w:val="000000"/>
          <w:sz w:val="22"/>
          <w:szCs w:val="22"/>
        </w:rPr>
        <w:noBreakHyphen/>
        <w:t>Cal cost reporting requirements.  All costs claimed are subject to the Medicare cost reimbursement principles in Title 42 Code of Federal Regulations (CFR), Part 413, California’s State Medi-Cal Plan, and current Financial Audits Branch policies.</w:t>
      </w:r>
    </w:p>
    <w:p w14:paraId="58E5AA06" w14:textId="77777777" w:rsidR="00777AF7" w:rsidRPr="006D061D" w:rsidRDefault="00777AF7" w:rsidP="005D1BFF">
      <w:pPr>
        <w:spacing w:line="360" w:lineRule="auto"/>
        <w:rPr>
          <w:rFonts w:ascii="Arial" w:hAnsi="Arial" w:cs="Arial"/>
          <w:sz w:val="22"/>
          <w:szCs w:val="22"/>
        </w:rPr>
      </w:pPr>
      <w:r w:rsidRPr="006D061D">
        <w:rPr>
          <w:rFonts w:ascii="Arial" w:hAnsi="Arial" w:cs="Arial"/>
          <w:sz w:val="22"/>
          <w:szCs w:val="22"/>
        </w:rPr>
        <w:t>A provider may request a Change in Scope-Of-Service Request (CSOSR) for a PPS rate revision due to one of the qualifying event</w:t>
      </w:r>
      <w:r w:rsidR="00584F9E" w:rsidRPr="006D061D">
        <w:rPr>
          <w:rFonts w:ascii="Arial" w:hAnsi="Arial" w:cs="Arial"/>
          <w:sz w:val="22"/>
          <w:szCs w:val="22"/>
        </w:rPr>
        <w:t>s</w:t>
      </w:r>
      <w:r w:rsidR="0097444A">
        <w:rPr>
          <w:rFonts w:ascii="Arial" w:hAnsi="Arial" w:cs="Arial"/>
          <w:sz w:val="22"/>
          <w:szCs w:val="22"/>
        </w:rPr>
        <w:t xml:space="preserve"> as defined in Welfare and Institution Code, S</w:t>
      </w:r>
      <w:r w:rsidRPr="006D061D">
        <w:rPr>
          <w:rFonts w:ascii="Arial" w:hAnsi="Arial" w:cs="Arial"/>
          <w:sz w:val="22"/>
          <w:szCs w:val="22"/>
        </w:rPr>
        <w:t xml:space="preserve">ection 14131.100 and the State Plan Amendment, attachment 4.19B, Page 6M, Section K.  </w:t>
      </w:r>
    </w:p>
    <w:p w14:paraId="58E5AA07" w14:textId="77777777" w:rsidR="00584F9E" w:rsidRPr="006D061D" w:rsidRDefault="00777AF7" w:rsidP="005D1BFF">
      <w:pPr>
        <w:numPr>
          <w:ilvl w:val="0"/>
          <w:numId w:val="41"/>
        </w:numPr>
        <w:spacing w:line="360" w:lineRule="auto"/>
        <w:rPr>
          <w:rFonts w:ascii="Arial" w:hAnsi="Arial" w:cs="Arial"/>
          <w:sz w:val="22"/>
          <w:szCs w:val="22"/>
        </w:rPr>
      </w:pPr>
      <w:r w:rsidRPr="006D061D">
        <w:rPr>
          <w:rFonts w:ascii="Arial" w:hAnsi="Arial" w:cs="Arial"/>
          <w:sz w:val="22"/>
          <w:szCs w:val="22"/>
        </w:rPr>
        <w:t>It must be filed within 150 days of the close of the fiscal period in which the qualifying change occurred.</w:t>
      </w:r>
    </w:p>
    <w:p w14:paraId="58E5AA08" w14:textId="77777777" w:rsidR="00777AF7" w:rsidRPr="006D061D" w:rsidRDefault="00777AF7" w:rsidP="005D1BFF">
      <w:pPr>
        <w:numPr>
          <w:ilvl w:val="0"/>
          <w:numId w:val="41"/>
        </w:numPr>
        <w:spacing w:line="360" w:lineRule="auto"/>
        <w:rPr>
          <w:rFonts w:ascii="Arial" w:hAnsi="Arial" w:cs="Arial"/>
          <w:sz w:val="22"/>
          <w:szCs w:val="22"/>
        </w:rPr>
      </w:pPr>
      <w:r w:rsidRPr="006D061D">
        <w:rPr>
          <w:rFonts w:ascii="Arial" w:hAnsi="Arial" w:cs="Arial"/>
          <w:sz w:val="22"/>
          <w:szCs w:val="22"/>
        </w:rPr>
        <w:t xml:space="preserve">The increase or decrease in </w:t>
      </w:r>
      <w:r w:rsidR="00584F9E" w:rsidRPr="006D061D">
        <w:rPr>
          <w:rFonts w:ascii="Arial" w:hAnsi="Arial" w:cs="Arial"/>
          <w:sz w:val="22"/>
          <w:szCs w:val="22"/>
        </w:rPr>
        <w:t xml:space="preserve">PPS </w:t>
      </w:r>
      <w:r w:rsidRPr="006D061D">
        <w:rPr>
          <w:rFonts w:ascii="Arial" w:hAnsi="Arial" w:cs="Arial"/>
          <w:sz w:val="22"/>
          <w:szCs w:val="22"/>
        </w:rPr>
        <w:t xml:space="preserve">rate for the CSOSR is compared </w:t>
      </w:r>
      <w:r w:rsidR="00584F9E" w:rsidRPr="006D061D">
        <w:rPr>
          <w:rFonts w:ascii="Arial" w:hAnsi="Arial" w:cs="Arial"/>
          <w:sz w:val="22"/>
          <w:szCs w:val="22"/>
        </w:rPr>
        <w:t xml:space="preserve">PPS rate in effect on the last day of the reporting period during which the CSOSR occurred and compared </w:t>
      </w:r>
      <w:r w:rsidRPr="006D061D">
        <w:rPr>
          <w:rFonts w:ascii="Arial" w:hAnsi="Arial" w:cs="Arial"/>
          <w:sz w:val="22"/>
          <w:szCs w:val="22"/>
        </w:rPr>
        <w:t xml:space="preserve">to thresholds </w:t>
      </w:r>
      <w:r w:rsidR="00584F9E" w:rsidRPr="006D061D">
        <w:rPr>
          <w:rFonts w:ascii="Arial" w:hAnsi="Arial" w:cs="Arial"/>
          <w:sz w:val="22"/>
          <w:szCs w:val="22"/>
        </w:rPr>
        <w:t xml:space="preserve">amounts </w:t>
      </w:r>
      <w:r w:rsidRPr="006D061D">
        <w:rPr>
          <w:rFonts w:ascii="Arial" w:hAnsi="Arial" w:cs="Arial"/>
          <w:sz w:val="22"/>
          <w:szCs w:val="22"/>
        </w:rPr>
        <w:t>prescribed by the State Plan Amendment(s) and if the thresholds are met, revision of the clinic’s PPS rate can proceed.  Since this process calculates an aggregate scope change at a point in time, multiple scope changes that occur in any qualifying period are covered</w:t>
      </w:r>
      <w:r w:rsidR="0053148B">
        <w:rPr>
          <w:rFonts w:ascii="Arial" w:hAnsi="Arial" w:cs="Arial"/>
          <w:sz w:val="22"/>
          <w:szCs w:val="22"/>
        </w:rPr>
        <w:t xml:space="preserve"> and should be reported in the same CSOSR</w:t>
      </w:r>
      <w:r w:rsidRPr="006D061D">
        <w:rPr>
          <w:rFonts w:ascii="Arial" w:hAnsi="Arial" w:cs="Arial"/>
          <w:sz w:val="22"/>
          <w:szCs w:val="22"/>
        </w:rPr>
        <w:t xml:space="preserve">.  </w:t>
      </w:r>
    </w:p>
    <w:p w14:paraId="58E5AA09" w14:textId="77777777" w:rsidR="00777AF7" w:rsidRPr="006D061D" w:rsidRDefault="00777AF7" w:rsidP="005D1BFF">
      <w:pPr>
        <w:numPr>
          <w:ilvl w:val="0"/>
          <w:numId w:val="41"/>
        </w:numPr>
        <w:spacing w:line="360" w:lineRule="auto"/>
        <w:rPr>
          <w:rFonts w:ascii="Arial" w:hAnsi="Arial" w:cs="Arial"/>
          <w:sz w:val="22"/>
          <w:szCs w:val="22"/>
        </w:rPr>
      </w:pPr>
      <w:r w:rsidRPr="006D061D">
        <w:rPr>
          <w:rFonts w:ascii="Arial" w:hAnsi="Arial" w:cs="Arial"/>
          <w:sz w:val="22"/>
          <w:szCs w:val="22"/>
        </w:rPr>
        <w:t xml:space="preserve">Due to the complexities involved in identifying the </w:t>
      </w:r>
      <w:r w:rsidRPr="006D061D">
        <w:rPr>
          <w:rFonts w:ascii="Arial" w:hAnsi="Arial" w:cs="Arial"/>
          <w:sz w:val="22"/>
          <w:szCs w:val="22"/>
          <w:u w:val="single"/>
        </w:rPr>
        <w:t>incremental</w:t>
      </w:r>
      <w:r w:rsidRPr="006D061D">
        <w:rPr>
          <w:rFonts w:ascii="Arial" w:hAnsi="Arial" w:cs="Arial"/>
          <w:sz w:val="22"/>
          <w:szCs w:val="22"/>
        </w:rPr>
        <w:t xml:space="preserve"> costs (direct and</w:t>
      </w:r>
      <w:r w:rsidR="00584F9E" w:rsidRPr="006D061D">
        <w:rPr>
          <w:rFonts w:ascii="Arial" w:hAnsi="Arial" w:cs="Arial"/>
          <w:sz w:val="22"/>
          <w:szCs w:val="22"/>
        </w:rPr>
        <w:t xml:space="preserve"> indirect cost) of CSOSR</w:t>
      </w:r>
      <w:r w:rsidRPr="006D061D">
        <w:rPr>
          <w:rFonts w:ascii="Arial" w:hAnsi="Arial" w:cs="Arial"/>
          <w:sz w:val="22"/>
          <w:szCs w:val="22"/>
        </w:rPr>
        <w:t xml:space="preserve">, the aggregate cost determination described above is being used. </w:t>
      </w:r>
    </w:p>
    <w:p w14:paraId="58E5AA0A" w14:textId="77777777" w:rsidR="00777AF7" w:rsidRPr="006D061D" w:rsidRDefault="00777AF7" w:rsidP="005D1BFF">
      <w:pPr>
        <w:numPr>
          <w:ilvl w:val="0"/>
          <w:numId w:val="41"/>
        </w:numPr>
        <w:spacing w:line="360" w:lineRule="auto"/>
        <w:rPr>
          <w:rFonts w:ascii="Arial" w:hAnsi="Arial" w:cs="Arial"/>
          <w:sz w:val="22"/>
          <w:szCs w:val="22"/>
        </w:rPr>
      </w:pPr>
      <w:r w:rsidRPr="006D061D">
        <w:rPr>
          <w:rFonts w:ascii="Arial" w:hAnsi="Arial" w:cs="Arial"/>
          <w:sz w:val="22"/>
          <w:szCs w:val="22"/>
        </w:rPr>
        <w:t xml:space="preserve">In using an aggregate approach, cost increases not necessarily related to a qualifying scope change are also captured. The State Plan Amendment does not provide for the inclusion of cost increases not related to a qualifying scope change.  As an expeditious method of eliminating such non-allowable cost increases, the methodology incorporated in the forms provides for an adjustment factor to eliminate such costs. </w:t>
      </w:r>
    </w:p>
    <w:p w14:paraId="58E5AA0B" w14:textId="77777777" w:rsidR="00584F9E" w:rsidRPr="006D061D" w:rsidRDefault="00584F9E" w:rsidP="0008283C">
      <w:pPr>
        <w:pStyle w:val="Heading1"/>
        <w:spacing w:line="240" w:lineRule="auto"/>
        <w:rPr>
          <w:rFonts w:ascii="Arial" w:hAnsi="Arial" w:cs="Arial"/>
          <w:sz w:val="22"/>
          <w:szCs w:val="22"/>
          <w:vertAlign w:val="baseline"/>
        </w:rPr>
      </w:pPr>
    </w:p>
    <w:p w14:paraId="58E5AA0C" w14:textId="77777777" w:rsidR="00D1660E" w:rsidRPr="006D061D" w:rsidRDefault="00D1660E" w:rsidP="005D1BFF">
      <w:pPr>
        <w:pStyle w:val="Heading1"/>
        <w:spacing w:line="360" w:lineRule="auto"/>
        <w:rPr>
          <w:rFonts w:ascii="Arial" w:hAnsi="Arial" w:cs="Arial"/>
          <w:sz w:val="22"/>
          <w:szCs w:val="22"/>
          <w:vertAlign w:val="baseline"/>
        </w:rPr>
      </w:pPr>
      <w:r w:rsidRPr="006D061D">
        <w:rPr>
          <w:rFonts w:ascii="Arial" w:hAnsi="Arial" w:cs="Arial"/>
          <w:sz w:val="22"/>
          <w:szCs w:val="22"/>
          <w:vertAlign w:val="baseline"/>
        </w:rPr>
        <w:t>QUALIFYING CHANGE IN SCOPE-OF-SERVICE</w:t>
      </w:r>
    </w:p>
    <w:p w14:paraId="58E5AA0D" w14:textId="77777777" w:rsidR="00D1660E" w:rsidRPr="006D061D" w:rsidRDefault="00D1660E" w:rsidP="005D1BFF">
      <w:pPr>
        <w:autoSpaceDE w:val="0"/>
        <w:autoSpaceDN w:val="0"/>
        <w:adjustRightInd w:val="0"/>
        <w:spacing w:line="360" w:lineRule="auto"/>
        <w:rPr>
          <w:rFonts w:ascii="Arial" w:hAnsi="Arial" w:cs="Arial"/>
          <w:sz w:val="22"/>
          <w:szCs w:val="22"/>
        </w:rPr>
      </w:pPr>
      <w:r w:rsidRPr="006D061D">
        <w:rPr>
          <w:rFonts w:ascii="Arial" w:hAnsi="Arial" w:cs="Arial"/>
          <w:sz w:val="22"/>
          <w:szCs w:val="22"/>
        </w:rPr>
        <w:t>California’s Welfare &amp; Institutions Code Section 14132.100(e)(3)(B) clarifies that no change in costs shall, in and of itself, be considered a scope-of-service change unless all of the following apply:</w:t>
      </w:r>
    </w:p>
    <w:p w14:paraId="58E5AA0E" w14:textId="77777777" w:rsidR="00D1660E" w:rsidRPr="006D061D" w:rsidRDefault="00D1660E" w:rsidP="005D1BFF">
      <w:pPr>
        <w:autoSpaceDE w:val="0"/>
        <w:autoSpaceDN w:val="0"/>
        <w:adjustRightInd w:val="0"/>
        <w:spacing w:line="360" w:lineRule="auto"/>
        <w:ind w:firstLine="720"/>
        <w:rPr>
          <w:rFonts w:ascii="Arial" w:hAnsi="Arial" w:cs="Arial"/>
          <w:sz w:val="22"/>
          <w:szCs w:val="22"/>
        </w:rPr>
      </w:pPr>
    </w:p>
    <w:p w14:paraId="58E5AA0F" w14:textId="77777777" w:rsidR="00D1660E" w:rsidRPr="005D1BFF" w:rsidRDefault="00D1660E" w:rsidP="005D1BFF">
      <w:pPr>
        <w:pStyle w:val="ListParagraph"/>
        <w:numPr>
          <w:ilvl w:val="0"/>
          <w:numId w:val="46"/>
        </w:numPr>
        <w:tabs>
          <w:tab w:val="left" w:pos="-180"/>
          <w:tab w:val="left" w:pos="540"/>
          <w:tab w:val="left" w:pos="720"/>
          <w:tab w:val="left" w:pos="900"/>
        </w:tabs>
        <w:spacing w:line="360" w:lineRule="auto"/>
        <w:rPr>
          <w:sz w:val="22"/>
          <w:szCs w:val="22"/>
        </w:rPr>
      </w:pPr>
      <w:r w:rsidRPr="005D1BFF">
        <w:rPr>
          <w:sz w:val="22"/>
          <w:szCs w:val="22"/>
        </w:rPr>
        <w:t>The increase or decrease in cost is attributable to an increase or decrease in the scope of FQHC or RHC services.</w:t>
      </w:r>
    </w:p>
    <w:p w14:paraId="58E5AA10" w14:textId="77777777" w:rsidR="00D1660E" w:rsidRPr="005D1BFF" w:rsidRDefault="00D1660E" w:rsidP="005D1BFF">
      <w:pPr>
        <w:pStyle w:val="ListParagraph"/>
        <w:numPr>
          <w:ilvl w:val="0"/>
          <w:numId w:val="46"/>
        </w:numPr>
        <w:autoSpaceDE w:val="0"/>
        <w:autoSpaceDN w:val="0"/>
        <w:adjustRightInd w:val="0"/>
        <w:spacing w:line="360" w:lineRule="auto"/>
        <w:rPr>
          <w:sz w:val="22"/>
          <w:szCs w:val="22"/>
        </w:rPr>
      </w:pPr>
      <w:r w:rsidRPr="005D1BFF">
        <w:rPr>
          <w:sz w:val="22"/>
          <w:szCs w:val="22"/>
        </w:rPr>
        <w:lastRenderedPageBreak/>
        <w:t>The cost is allowable under Medicare reasonable cost principles set forth in Part 413 (commencing with Section 413) of Subchapter B of Chapter 4 of Title 42 of the Code of Federal Regulations, or its successor.</w:t>
      </w:r>
    </w:p>
    <w:p w14:paraId="58E5AA11" w14:textId="77777777" w:rsidR="00D1660E" w:rsidRPr="005D1BFF" w:rsidRDefault="00D1660E" w:rsidP="005D1BFF">
      <w:pPr>
        <w:pStyle w:val="ListParagraph"/>
        <w:numPr>
          <w:ilvl w:val="0"/>
          <w:numId w:val="46"/>
        </w:numPr>
        <w:autoSpaceDE w:val="0"/>
        <w:autoSpaceDN w:val="0"/>
        <w:adjustRightInd w:val="0"/>
        <w:spacing w:line="360" w:lineRule="auto"/>
        <w:rPr>
          <w:sz w:val="22"/>
          <w:szCs w:val="22"/>
        </w:rPr>
      </w:pPr>
      <w:r w:rsidRPr="005D1BFF">
        <w:rPr>
          <w:sz w:val="22"/>
          <w:szCs w:val="22"/>
        </w:rPr>
        <w:t>The change in the scope-of-services is a change in the type, intensity, duration, or amount of services, or any combination thereof.</w:t>
      </w:r>
    </w:p>
    <w:p w14:paraId="58E5AA12" w14:textId="77777777" w:rsidR="00D1660E" w:rsidRPr="005D1BFF" w:rsidRDefault="00D1660E" w:rsidP="005D1BFF">
      <w:pPr>
        <w:pStyle w:val="ListParagraph"/>
        <w:numPr>
          <w:ilvl w:val="0"/>
          <w:numId w:val="46"/>
        </w:numPr>
        <w:autoSpaceDE w:val="0"/>
        <w:autoSpaceDN w:val="0"/>
        <w:adjustRightInd w:val="0"/>
        <w:spacing w:line="360" w:lineRule="auto"/>
        <w:rPr>
          <w:sz w:val="22"/>
          <w:szCs w:val="22"/>
        </w:rPr>
      </w:pPr>
      <w:r w:rsidRPr="005D1BFF">
        <w:rPr>
          <w:sz w:val="22"/>
          <w:szCs w:val="22"/>
        </w:rPr>
        <w:t xml:space="preserve">The net change in the FQHC's or RHC's rate equals or exceeds 1.75 percent for the affected FQHC or RHC site.  "Net change" means the per-visit rate change attributable to the cumulative effect of all increases and decreases for a </w:t>
      </w:r>
      <w:bookmarkStart w:id="0" w:name="Document0zzSDUNumber7"/>
      <w:bookmarkEnd w:id="0"/>
      <w:r w:rsidRPr="005D1BFF">
        <w:rPr>
          <w:sz w:val="22"/>
          <w:szCs w:val="22"/>
        </w:rPr>
        <w:t>particular fiscal year.</w:t>
      </w:r>
    </w:p>
    <w:p w14:paraId="58E5AA13" w14:textId="77777777" w:rsidR="00D1660E" w:rsidRPr="006D061D" w:rsidRDefault="00D1660E" w:rsidP="005D1BFF">
      <w:pPr>
        <w:spacing w:line="360" w:lineRule="auto"/>
        <w:rPr>
          <w:rFonts w:ascii="Arial" w:hAnsi="Arial" w:cs="Arial"/>
          <w:sz w:val="22"/>
          <w:szCs w:val="22"/>
        </w:rPr>
      </w:pPr>
      <w:r w:rsidRPr="006D061D">
        <w:rPr>
          <w:rFonts w:ascii="Arial" w:hAnsi="Arial" w:cs="Arial"/>
          <w:sz w:val="22"/>
          <w:szCs w:val="22"/>
        </w:rPr>
        <w:t>California Welfare &amp; Institutions Code Section 14132.100(e)(2) defines a scope-of-service change as:</w:t>
      </w:r>
    </w:p>
    <w:p w14:paraId="58E5AA14" w14:textId="77777777" w:rsidR="00D1660E" w:rsidRPr="006D061D" w:rsidRDefault="00D1660E" w:rsidP="00A83ACA">
      <w:pPr>
        <w:numPr>
          <w:ilvl w:val="0"/>
          <w:numId w:val="23"/>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 xml:space="preserve">The addition of a new FQHC/RHC service that is not incorporated in the baseline prospective payment system (PPS) rate, or a deletion of an FQHC/RHC service that is incorporated in the baseline rate. </w:t>
      </w:r>
    </w:p>
    <w:p w14:paraId="58E5AA15" w14:textId="77777777" w:rsidR="00D1660E" w:rsidRPr="006D061D" w:rsidRDefault="00D1660E" w:rsidP="00A83ACA">
      <w:pPr>
        <w:numPr>
          <w:ilvl w:val="0"/>
          <w:numId w:val="26"/>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A change in service due to amended regulatory requirements or rules.</w:t>
      </w:r>
    </w:p>
    <w:p w14:paraId="58E5AA16" w14:textId="77777777" w:rsidR="00D1660E" w:rsidRPr="006D061D" w:rsidRDefault="00D1660E" w:rsidP="00A83ACA">
      <w:pPr>
        <w:numPr>
          <w:ilvl w:val="0"/>
          <w:numId w:val="33"/>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A change in service resulting from relocating or remodeling an FQHC or RHC.</w:t>
      </w:r>
    </w:p>
    <w:p w14:paraId="58E5AA17" w14:textId="77777777" w:rsidR="00D1660E" w:rsidRPr="006D061D" w:rsidRDefault="00D1660E" w:rsidP="00A83ACA">
      <w:pPr>
        <w:numPr>
          <w:ilvl w:val="0"/>
          <w:numId w:val="27"/>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 xml:space="preserve">A change in types of services due to a change in applicable technology and medical practice utilized by the center or clinic. </w:t>
      </w:r>
    </w:p>
    <w:p w14:paraId="58E5AA18" w14:textId="77777777" w:rsidR="00D1660E" w:rsidRPr="006D061D" w:rsidRDefault="00D1660E" w:rsidP="00A83ACA">
      <w:pPr>
        <w:numPr>
          <w:ilvl w:val="0"/>
          <w:numId w:val="28"/>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 xml:space="preserve">An increase in service intensity attributable to changes in the types of patients served, including but not limited to populations with HIV or AIDS, or other chronic diseases, or homeless, elderly, migrant, or other special populations. </w:t>
      </w:r>
    </w:p>
    <w:p w14:paraId="58E5AA19" w14:textId="77777777" w:rsidR="00D1660E" w:rsidRPr="006D061D" w:rsidRDefault="00D1660E" w:rsidP="00A83ACA">
      <w:pPr>
        <w:numPr>
          <w:ilvl w:val="0"/>
          <w:numId w:val="29"/>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 xml:space="preserve">Any changes in any of the services described in Sections 1396d(a)(2)(B) &amp; (C) of Title 42 of the United States Code, or in the provider mix of an FQHC or RHC or one of </w:t>
      </w:r>
      <w:r w:rsidR="002F42BC" w:rsidRPr="006D061D">
        <w:rPr>
          <w:rFonts w:ascii="Arial" w:hAnsi="Arial" w:cs="Arial"/>
          <w:sz w:val="22"/>
          <w:szCs w:val="22"/>
        </w:rPr>
        <w:t>its</w:t>
      </w:r>
      <w:r w:rsidRPr="006D061D">
        <w:rPr>
          <w:rFonts w:ascii="Arial" w:hAnsi="Arial" w:cs="Arial"/>
          <w:sz w:val="22"/>
          <w:szCs w:val="22"/>
        </w:rPr>
        <w:t xml:space="preserve"> sites.</w:t>
      </w:r>
    </w:p>
    <w:p w14:paraId="58E5AA1A" w14:textId="77777777" w:rsidR="00D1660E" w:rsidRPr="006D061D" w:rsidRDefault="00D1660E" w:rsidP="00A83ACA">
      <w:pPr>
        <w:numPr>
          <w:ilvl w:val="0"/>
          <w:numId w:val="30"/>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Changes in operating costs attributable to capital expenditures associated with a modification of the scope of any of the services described in Sections 1396d(a)(2)(B) &amp; (C) of Title 42 of the United States Code, including new or expanded service facilities, regulatory compliance, or changes in technology or medical practices at the center or clinic.</w:t>
      </w:r>
    </w:p>
    <w:p w14:paraId="58E5AA1B" w14:textId="77777777" w:rsidR="0053148B" w:rsidRDefault="00D1660E" w:rsidP="00A83ACA">
      <w:pPr>
        <w:numPr>
          <w:ilvl w:val="0"/>
          <w:numId w:val="31"/>
        </w:numPr>
        <w:tabs>
          <w:tab w:val="clear" w:pos="360"/>
          <w:tab w:val="num" w:pos="720"/>
        </w:tabs>
        <w:spacing w:line="360" w:lineRule="auto"/>
        <w:ind w:left="720"/>
        <w:rPr>
          <w:rFonts w:ascii="Arial" w:hAnsi="Arial" w:cs="Arial"/>
          <w:sz w:val="22"/>
          <w:szCs w:val="22"/>
        </w:rPr>
      </w:pPr>
      <w:r w:rsidRPr="006D061D">
        <w:rPr>
          <w:rFonts w:ascii="Arial" w:hAnsi="Arial" w:cs="Arial"/>
          <w:sz w:val="22"/>
          <w:szCs w:val="22"/>
        </w:rPr>
        <w:t>Indirect medical education adjustments and a direct graduate medical education payment that reflects the costs of providing teaching services to interns and residents.</w:t>
      </w:r>
    </w:p>
    <w:p w14:paraId="58E5AA1C" w14:textId="77777777" w:rsidR="00D1660E" w:rsidRDefault="00D1660E" w:rsidP="00A83ACA">
      <w:pPr>
        <w:numPr>
          <w:ilvl w:val="0"/>
          <w:numId w:val="31"/>
        </w:numPr>
        <w:tabs>
          <w:tab w:val="clear" w:pos="360"/>
          <w:tab w:val="num" w:pos="720"/>
        </w:tabs>
        <w:spacing w:line="360" w:lineRule="auto"/>
        <w:ind w:left="720"/>
        <w:rPr>
          <w:rFonts w:ascii="Arial" w:hAnsi="Arial" w:cs="Arial"/>
          <w:sz w:val="22"/>
          <w:szCs w:val="22"/>
        </w:rPr>
      </w:pPr>
      <w:r w:rsidRPr="0053148B">
        <w:rPr>
          <w:rFonts w:ascii="Arial" w:hAnsi="Arial" w:cs="Arial"/>
          <w:sz w:val="22"/>
          <w:szCs w:val="22"/>
        </w:rPr>
        <w:lastRenderedPageBreak/>
        <w:t>Any changes in the scope of a project approved by the federal Health Resources and Service Administration (HRSA).</w:t>
      </w:r>
    </w:p>
    <w:p w14:paraId="58E5AA1D" w14:textId="77777777" w:rsidR="0053148B" w:rsidRPr="0053148B" w:rsidRDefault="0053148B" w:rsidP="00A83ACA">
      <w:pPr>
        <w:numPr>
          <w:ilvl w:val="0"/>
          <w:numId w:val="31"/>
        </w:numPr>
        <w:tabs>
          <w:tab w:val="clear" w:pos="360"/>
          <w:tab w:val="num" w:pos="720"/>
        </w:tabs>
        <w:spacing w:line="360" w:lineRule="auto"/>
        <w:ind w:left="720"/>
        <w:rPr>
          <w:rFonts w:ascii="Arial" w:hAnsi="Arial" w:cs="Arial"/>
          <w:sz w:val="22"/>
          <w:szCs w:val="22"/>
        </w:rPr>
      </w:pPr>
      <w:r>
        <w:rPr>
          <w:rFonts w:ascii="Arial" w:hAnsi="Arial" w:cs="Arial"/>
          <w:sz w:val="22"/>
          <w:szCs w:val="22"/>
        </w:rPr>
        <w:t>The deletion of a Medi-Cal covered service previously provided by the FQHC or RHC (such as deleting pharmacy services, and any other Medi-Cal covered services that do not require a face-to-face visit with an FQHC or RHC provider, e.g. laboratory, x-ray, etc.</w:t>
      </w:r>
    </w:p>
    <w:p w14:paraId="58E5AA1E" w14:textId="77777777" w:rsidR="00D1660E" w:rsidRPr="006D061D" w:rsidRDefault="00D1660E" w:rsidP="0008283C">
      <w:pPr>
        <w:rPr>
          <w:rFonts w:ascii="Arial" w:hAnsi="Arial" w:cs="Arial"/>
          <w:sz w:val="22"/>
          <w:szCs w:val="22"/>
        </w:rPr>
      </w:pPr>
    </w:p>
    <w:p w14:paraId="58E5AA1F" w14:textId="77777777" w:rsidR="00584F9E" w:rsidRPr="006D061D" w:rsidRDefault="00584F9E" w:rsidP="005D1BFF">
      <w:pPr>
        <w:pStyle w:val="Heading1"/>
        <w:spacing w:line="360" w:lineRule="auto"/>
        <w:rPr>
          <w:rFonts w:ascii="Arial" w:hAnsi="Arial" w:cs="Arial"/>
          <w:sz w:val="22"/>
          <w:szCs w:val="22"/>
          <w:vertAlign w:val="baseline"/>
        </w:rPr>
      </w:pPr>
      <w:r w:rsidRPr="006D061D">
        <w:rPr>
          <w:rFonts w:ascii="Arial" w:hAnsi="Arial" w:cs="Arial"/>
          <w:sz w:val="22"/>
          <w:szCs w:val="22"/>
          <w:vertAlign w:val="baseline"/>
        </w:rPr>
        <w:t>CONSOLIDATED VERSUS INDIVIDUAL CSOSR</w:t>
      </w:r>
    </w:p>
    <w:p w14:paraId="58E5AA20" w14:textId="77777777" w:rsidR="00385AF2" w:rsidRPr="006D061D" w:rsidRDefault="00584F9E" w:rsidP="005D1BFF">
      <w:pPr>
        <w:spacing w:line="360" w:lineRule="auto"/>
        <w:rPr>
          <w:rFonts w:ascii="Arial" w:hAnsi="Arial" w:cs="Arial"/>
          <w:sz w:val="22"/>
          <w:szCs w:val="22"/>
        </w:rPr>
      </w:pPr>
      <w:r w:rsidRPr="006D061D">
        <w:rPr>
          <w:rFonts w:ascii="Arial" w:hAnsi="Arial" w:cs="Arial"/>
          <w:color w:val="000000"/>
          <w:sz w:val="22"/>
          <w:szCs w:val="22"/>
        </w:rPr>
        <w:t>A pr</w:t>
      </w:r>
      <w:r w:rsidR="0044552A" w:rsidRPr="006D061D">
        <w:rPr>
          <w:rFonts w:ascii="Arial" w:hAnsi="Arial" w:cs="Arial"/>
          <w:color w:val="000000"/>
          <w:sz w:val="22"/>
          <w:szCs w:val="22"/>
        </w:rPr>
        <w:t xml:space="preserve">ovider is </w:t>
      </w:r>
      <w:r w:rsidRPr="006D061D">
        <w:rPr>
          <w:rFonts w:ascii="Arial" w:hAnsi="Arial" w:cs="Arial"/>
          <w:color w:val="000000"/>
          <w:sz w:val="22"/>
          <w:szCs w:val="22"/>
        </w:rPr>
        <w:t xml:space="preserve">required to report cost and visit information </w:t>
      </w:r>
      <w:r w:rsidR="00385AF2" w:rsidRPr="006D061D">
        <w:rPr>
          <w:rFonts w:ascii="Arial" w:hAnsi="Arial" w:cs="Arial"/>
          <w:color w:val="000000"/>
          <w:sz w:val="22"/>
          <w:szCs w:val="22"/>
        </w:rPr>
        <w:t xml:space="preserve">for the CSOSR consistent with the </w:t>
      </w:r>
      <w:r w:rsidR="005B1400">
        <w:rPr>
          <w:rFonts w:ascii="Arial" w:hAnsi="Arial" w:cs="Arial"/>
          <w:color w:val="000000"/>
          <w:sz w:val="22"/>
          <w:szCs w:val="22"/>
        </w:rPr>
        <w:t xml:space="preserve">original </w:t>
      </w:r>
      <w:r w:rsidR="00385AF2" w:rsidRPr="006D061D">
        <w:rPr>
          <w:rFonts w:ascii="Arial" w:hAnsi="Arial" w:cs="Arial"/>
          <w:color w:val="000000"/>
          <w:sz w:val="22"/>
          <w:szCs w:val="22"/>
        </w:rPr>
        <w:t>cost report</w:t>
      </w:r>
      <w:r w:rsidR="005B1400">
        <w:rPr>
          <w:rFonts w:ascii="Arial" w:hAnsi="Arial" w:cs="Arial"/>
          <w:color w:val="000000"/>
          <w:sz w:val="22"/>
          <w:szCs w:val="22"/>
        </w:rPr>
        <w:t xml:space="preserve"> </w:t>
      </w:r>
      <w:r w:rsidR="00385AF2" w:rsidRPr="006D061D">
        <w:rPr>
          <w:rFonts w:ascii="Arial" w:hAnsi="Arial" w:cs="Arial"/>
          <w:color w:val="000000"/>
          <w:sz w:val="22"/>
          <w:szCs w:val="22"/>
        </w:rPr>
        <w:t xml:space="preserve">filed </w:t>
      </w:r>
      <w:r w:rsidR="0053148B">
        <w:rPr>
          <w:rFonts w:ascii="Arial" w:hAnsi="Arial" w:cs="Arial"/>
          <w:color w:val="000000"/>
          <w:sz w:val="22"/>
          <w:szCs w:val="22"/>
        </w:rPr>
        <w:t xml:space="preserve">to establish the </w:t>
      </w:r>
      <w:r w:rsidR="005B1400">
        <w:rPr>
          <w:rFonts w:ascii="Arial" w:hAnsi="Arial" w:cs="Arial"/>
          <w:color w:val="000000"/>
          <w:sz w:val="22"/>
          <w:szCs w:val="22"/>
        </w:rPr>
        <w:t>PPS rate</w:t>
      </w:r>
      <w:r w:rsidR="00385AF2" w:rsidRPr="006D061D">
        <w:rPr>
          <w:rFonts w:ascii="Arial" w:hAnsi="Arial" w:cs="Arial"/>
          <w:color w:val="000000"/>
          <w:sz w:val="22"/>
          <w:szCs w:val="22"/>
        </w:rPr>
        <w:t>.</w:t>
      </w:r>
      <w:r w:rsidR="0044552A" w:rsidRPr="006D061D">
        <w:rPr>
          <w:rFonts w:ascii="Arial" w:hAnsi="Arial" w:cs="Arial"/>
          <w:color w:val="000000"/>
          <w:sz w:val="22"/>
          <w:szCs w:val="22"/>
        </w:rPr>
        <w:t xml:space="preserve">  </w:t>
      </w:r>
      <w:r w:rsidR="0053148B">
        <w:rPr>
          <w:rFonts w:ascii="Arial" w:hAnsi="Arial" w:cs="Arial"/>
          <w:sz w:val="22"/>
          <w:szCs w:val="22"/>
        </w:rPr>
        <w:t>If a CSOSR</w:t>
      </w:r>
      <w:r w:rsidR="0044552A" w:rsidRPr="006D061D">
        <w:rPr>
          <w:rFonts w:ascii="Arial" w:hAnsi="Arial" w:cs="Arial"/>
          <w:sz w:val="22"/>
          <w:szCs w:val="22"/>
        </w:rPr>
        <w:t xml:space="preserve"> is being requested for more than one clinic in the organization, a separate CSOSR request must be completed for </w:t>
      </w:r>
      <w:r w:rsidR="0044552A" w:rsidRPr="0053148B">
        <w:rPr>
          <w:rFonts w:ascii="Arial" w:hAnsi="Arial" w:cs="Arial"/>
          <w:b/>
          <w:sz w:val="22"/>
          <w:szCs w:val="22"/>
        </w:rPr>
        <w:t>each</w:t>
      </w:r>
      <w:r w:rsidR="0044552A" w:rsidRPr="006D061D">
        <w:rPr>
          <w:rFonts w:ascii="Arial" w:hAnsi="Arial" w:cs="Arial"/>
          <w:sz w:val="22"/>
          <w:szCs w:val="22"/>
        </w:rPr>
        <w:t xml:space="preserve"> clinic.  </w:t>
      </w:r>
    </w:p>
    <w:p w14:paraId="58E5AA21" w14:textId="77777777" w:rsidR="0044552A" w:rsidRPr="006D061D" w:rsidRDefault="0044552A" w:rsidP="0008283C">
      <w:pPr>
        <w:rPr>
          <w:rFonts w:ascii="Arial" w:hAnsi="Arial" w:cs="Arial"/>
          <w:strike/>
          <w:color w:val="000000"/>
          <w:sz w:val="22"/>
          <w:szCs w:val="22"/>
        </w:rPr>
      </w:pPr>
    </w:p>
    <w:p w14:paraId="58E5AA22" w14:textId="77777777" w:rsidR="00385AF2" w:rsidRPr="006D061D" w:rsidRDefault="00385AF2" w:rsidP="005D1BFF">
      <w:pPr>
        <w:pStyle w:val="BodyText2"/>
        <w:spacing w:after="120" w:line="360" w:lineRule="auto"/>
        <w:rPr>
          <w:rFonts w:cs="Arial"/>
          <w:b/>
          <w:strike w:val="0"/>
          <w:color w:val="000000"/>
          <w:sz w:val="22"/>
          <w:szCs w:val="22"/>
        </w:rPr>
      </w:pPr>
      <w:r w:rsidRPr="006D061D">
        <w:rPr>
          <w:rFonts w:cs="Arial"/>
          <w:strike w:val="0"/>
          <w:color w:val="000000"/>
          <w:sz w:val="22"/>
          <w:szCs w:val="22"/>
        </w:rPr>
        <w:t>I</w:t>
      </w:r>
      <w:r w:rsidRPr="006D061D">
        <w:rPr>
          <w:rFonts w:cs="Arial"/>
          <w:b/>
          <w:strike w:val="0"/>
          <w:color w:val="000000"/>
          <w:sz w:val="22"/>
          <w:szCs w:val="22"/>
        </w:rPr>
        <w:t>ndividual Clinic CSOSR</w:t>
      </w:r>
    </w:p>
    <w:p w14:paraId="58E5AA23" w14:textId="77777777" w:rsidR="00584F9E" w:rsidRDefault="00385AF2" w:rsidP="005D1BFF">
      <w:pPr>
        <w:pStyle w:val="BodyText2"/>
        <w:spacing w:after="120" w:line="360" w:lineRule="auto"/>
        <w:rPr>
          <w:rFonts w:cs="Arial"/>
          <w:strike w:val="0"/>
          <w:color w:val="000000"/>
          <w:sz w:val="22"/>
          <w:szCs w:val="22"/>
        </w:rPr>
      </w:pPr>
      <w:r w:rsidRPr="006D061D">
        <w:rPr>
          <w:rFonts w:cs="Arial"/>
          <w:strike w:val="0"/>
          <w:color w:val="000000"/>
          <w:sz w:val="22"/>
          <w:szCs w:val="22"/>
        </w:rPr>
        <w:t>A provider will need to</w:t>
      </w:r>
      <w:r w:rsidR="0053148B">
        <w:rPr>
          <w:rFonts w:cs="Arial"/>
          <w:strike w:val="0"/>
          <w:color w:val="000000"/>
          <w:sz w:val="22"/>
          <w:szCs w:val="22"/>
        </w:rPr>
        <w:t xml:space="preserve"> file an individual site clinic </w:t>
      </w:r>
      <w:r w:rsidRPr="006D061D">
        <w:rPr>
          <w:rFonts w:cs="Arial"/>
          <w:strike w:val="0"/>
          <w:color w:val="000000"/>
          <w:sz w:val="22"/>
          <w:szCs w:val="22"/>
        </w:rPr>
        <w:t xml:space="preserve">CSOSR if the cost report </w:t>
      </w:r>
      <w:r w:rsidR="0053148B">
        <w:rPr>
          <w:rFonts w:cs="Arial"/>
          <w:strike w:val="0"/>
          <w:color w:val="000000"/>
          <w:sz w:val="22"/>
          <w:szCs w:val="22"/>
        </w:rPr>
        <w:t xml:space="preserve">filed to </w:t>
      </w:r>
      <w:r w:rsidR="005B1400">
        <w:rPr>
          <w:rFonts w:cs="Arial"/>
          <w:strike w:val="0"/>
          <w:color w:val="000000"/>
          <w:sz w:val="22"/>
          <w:szCs w:val="22"/>
        </w:rPr>
        <w:t xml:space="preserve">set the original </w:t>
      </w:r>
      <w:r w:rsidRPr="006D061D">
        <w:rPr>
          <w:rFonts w:cs="Arial"/>
          <w:strike w:val="0"/>
          <w:color w:val="000000"/>
          <w:sz w:val="22"/>
          <w:szCs w:val="22"/>
        </w:rPr>
        <w:t>PPS rate was filed on an individual clinic site basis.</w:t>
      </w:r>
    </w:p>
    <w:p w14:paraId="58E5AA24" w14:textId="77777777" w:rsidR="00A83ACA" w:rsidRPr="006D061D" w:rsidRDefault="00A83ACA" w:rsidP="0008283C">
      <w:pPr>
        <w:rPr>
          <w:rFonts w:cs="Arial"/>
          <w:strike/>
          <w:color w:val="000000"/>
          <w:sz w:val="22"/>
          <w:szCs w:val="22"/>
        </w:rPr>
      </w:pPr>
    </w:p>
    <w:p w14:paraId="58E5AA25" w14:textId="77777777" w:rsidR="00385AF2" w:rsidRPr="006D061D" w:rsidRDefault="00385AF2" w:rsidP="005D1BFF">
      <w:pPr>
        <w:pStyle w:val="BodyText2"/>
        <w:spacing w:after="120" w:line="360" w:lineRule="auto"/>
        <w:rPr>
          <w:rFonts w:cs="Arial"/>
          <w:b/>
          <w:strike w:val="0"/>
          <w:color w:val="000000"/>
          <w:sz w:val="22"/>
          <w:szCs w:val="22"/>
        </w:rPr>
      </w:pPr>
      <w:r w:rsidRPr="006D061D">
        <w:rPr>
          <w:rFonts w:cs="Arial"/>
          <w:b/>
          <w:strike w:val="0"/>
          <w:color w:val="000000"/>
          <w:sz w:val="22"/>
          <w:szCs w:val="22"/>
        </w:rPr>
        <w:t>Consolidated Clinic CSOSR</w:t>
      </w:r>
    </w:p>
    <w:p w14:paraId="58E5AA26" w14:textId="77777777" w:rsidR="00385AF2" w:rsidRPr="006D061D" w:rsidRDefault="004C3D19" w:rsidP="005D1BFF">
      <w:pPr>
        <w:pStyle w:val="BodyText2"/>
        <w:spacing w:after="120" w:line="360" w:lineRule="auto"/>
        <w:rPr>
          <w:rFonts w:cs="Arial"/>
          <w:strike w:val="0"/>
          <w:color w:val="000000"/>
          <w:sz w:val="22"/>
          <w:szCs w:val="22"/>
        </w:rPr>
      </w:pPr>
      <w:r w:rsidRPr="006D061D">
        <w:rPr>
          <w:rFonts w:cs="Arial"/>
          <w:strike w:val="0"/>
          <w:color w:val="000000"/>
          <w:sz w:val="22"/>
          <w:szCs w:val="22"/>
        </w:rPr>
        <w:t xml:space="preserve">A provider will need to file a consolidated clinic CSOSR if the cost report </w:t>
      </w:r>
      <w:r>
        <w:rPr>
          <w:rFonts w:cs="Arial"/>
          <w:strike w:val="0"/>
          <w:color w:val="000000"/>
          <w:sz w:val="22"/>
          <w:szCs w:val="22"/>
        </w:rPr>
        <w:t xml:space="preserve">filed to set the original </w:t>
      </w:r>
      <w:r w:rsidRPr="006D061D">
        <w:rPr>
          <w:rFonts w:cs="Arial"/>
          <w:strike w:val="0"/>
          <w:color w:val="000000"/>
          <w:sz w:val="22"/>
          <w:szCs w:val="22"/>
        </w:rPr>
        <w:t xml:space="preserve">PPS rate was filed based on consolidated clinic sites.  </w:t>
      </w:r>
      <w:r w:rsidR="00C10BE7" w:rsidRPr="006D061D">
        <w:rPr>
          <w:rFonts w:cs="Arial"/>
          <w:strike w:val="0"/>
          <w:color w:val="000000"/>
          <w:sz w:val="22"/>
          <w:szCs w:val="22"/>
        </w:rPr>
        <w:t>For example:</w:t>
      </w:r>
    </w:p>
    <w:p w14:paraId="58E5AA27" w14:textId="77777777" w:rsidR="00C10BE7" w:rsidRPr="006D061D" w:rsidRDefault="00C10BE7" w:rsidP="005D1BFF">
      <w:pPr>
        <w:pStyle w:val="BodyText2"/>
        <w:numPr>
          <w:ilvl w:val="0"/>
          <w:numId w:val="32"/>
        </w:numPr>
        <w:spacing w:after="120" w:line="360" w:lineRule="auto"/>
        <w:rPr>
          <w:rFonts w:cs="Arial"/>
          <w:strike w:val="0"/>
          <w:color w:val="000000"/>
          <w:sz w:val="22"/>
          <w:szCs w:val="22"/>
        </w:rPr>
      </w:pPr>
      <w:r w:rsidRPr="006D061D">
        <w:rPr>
          <w:rFonts w:cs="Arial"/>
          <w:strike w:val="0"/>
          <w:color w:val="000000"/>
          <w:sz w:val="22"/>
          <w:szCs w:val="22"/>
        </w:rPr>
        <w:t>I</w:t>
      </w:r>
      <w:r w:rsidR="00385AF2" w:rsidRPr="006D061D">
        <w:rPr>
          <w:rFonts w:cs="Arial"/>
          <w:strike w:val="0"/>
          <w:color w:val="000000"/>
          <w:sz w:val="22"/>
          <w:szCs w:val="22"/>
        </w:rPr>
        <w:t>f the clinic’s PPS rate was calculated using the costs and visits of mul</w:t>
      </w:r>
      <w:r w:rsidRPr="006D061D">
        <w:rPr>
          <w:rFonts w:cs="Arial"/>
          <w:strike w:val="0"/>
          <w:color w:val="000000"/>
          <w:sz w:val="22"/>
          <w:szCs w:val="22"/>
        </w:rPr>
        <w:t>tiple clinic sites, and only on</w:t>
      </w:r>
      <w:r w:rsidR="00385AF2" w:rsidRPr="006D061D">
        <w:rPr>
          <w:rFonts w:cs="Arial"/>
          <w:strike w:val="0"/>
          <w:color w:val="000000"/>
          <w:sz w:val="22"/>
          <w:szCs w:val="22"/>
        </w:rPr>
        <w:t xml:space="preserve">e clinic has had a scope change, then the CSOSR should include the cost and visit data for all those clinics included in the </w:t>
      </w:r>
      <w:r w:rsidR="0053148B">
        <w:rPr>
          <w:rFonts w:cs="Arial"/>
          <w:strike w:val="0"/>
          <w:color w:val="000000"/>
          <w:sz w:val="22"/>
          <w:szCs w:val="22"/>
        </w:rPr>
        <w:t xml:space="preserve">previous cost report used to establish the </w:t>
      </w:r>
      <w:r w:rsidR="005B1400">
        <w:rPr>
          <w:rFonts w:cs="Arial"/>
          <w:strike w:val="0"/>
          <w:color w:val="000000"/>
          <w:sz w:val="22"/>
          <w:szCs w:val="22"/>
        </w:rPr>
        <w:t>original PPS rate</w:t>
      </w:r>
      <w:r w:rsidR="00385AF2" w:rsidRPr="006D061D">
        <w:rPr>
          <w:rFonts w:cs="Arial"/>
          <w:strike w:val="0"/>
          <w:color w:val="000000"/>
          <w:sz w:val="22"/>
          <w:szCs w:val="22"/>
        </w:rPr>
        <w:t>.</w:t>
      </w:r>
    </w:p>
    <w:p w14:paraId="58E5AA28" w14:textId="77777777" w:rsidR="00C10BE7" w:rsidRPr="006D061D" w:rsidRDefault="00C10BE7" w:rsidP="005D1BFF">
      <w:pPr>
        <w:pStyle w:val="BodyText2"/>
        <w:numPr>
          <w:ilvl w:val="0"/>
          <w:numId w:val="32"/>
        </w:numPr>
        <w:spacing w:after="120" w:line="360" w:lineRule="auto"/>
        <w:rPr>
          <w:rFonts w:cs="Arial"/>
          <w:strike w:val="0"/>
          <w:color w:val="auto"/>
          <w:sz w:val="22"/>
          <w:szCs w:val="22"/>
        </w:rPr>
      </w:pPr>
      <w:r w:rsidRPr="006D061D">
        <w:rPr>
          <w:rFonts w:cs="Arial"/>
          <w:strike w:val="0"/>
          <w:color w:val="auto"/>
          <w:sz w:val="22"/>
          <w:szCs w:val="22"/>
        </w:rPr>
        <w:t xml:space="preserve">If one or more of the original clinics no longer exist (i.e., clinics have closed), then the remaining clinics </w:t>
      </w:r>
      <w:r w:rsidR="00D70DE9">
        <w:rPr>
          <w:rFonts w:cs="Arial"/>
          <w:strike w:val="0"/>
          <w:color w:val="auto"/>
          <w:sz w:val="22"/>
          <w:szCs w:val="22"/>
        </w:rPr>
        <w:t>should be included in the scope-</w:t>
      </w:r>
      <w:r w:rsidRPr="006D061D">
        <w:rPr>
          <w:rFonts w:cs="Arial"/>
          <w:strike w:val="0"/>
          <w:color w:val="auto"/>
          <w:sz w:val="22"/>
          <w:szCs w:val="22"/>
        </w:rPr>
        <w:t>of</w:t>
      </w:r>
      <w:r w:rsidR="00D70DE9">
        <w:rPr>
          <w:rFonts w:cs="Arial"/>
          <w:strike w:val="0"/>
          <w:color w:val="auto"/>
          <w:sz w:val="22"/>
          <w:szCs w:val="22"/>
        </w:rPr>
        <w:t>-</w:t>
      </w:r>
      <w:r w:rsidRPr="006D061D">
        <w:rPr>
          <w:rFonts w:cs="Arial"/>
          <w:strike w:val="0"/>
          <w:color w:val="auto"/>
          <w:sz w:val="22"/>
          <w:szCs w:val="22"/>
        </w:rPr>
        <w:t xml:space="preserve"> service change </w:t>
      </w:r>
      <w:r w:rsidR="0053148B">
        <w:rPr>
          <w:rFonts w:cs="Arial"/>
          <w:strike w:val="0"/>
          <w:color w:val="auto"/>
          <w:sz w:val="22"/>
          <w:szCs w:val="22"/>
        </w:rPr>
        <w:t>request.</w:t>
      </w:r>
      <w:r w:rsidRPr="006D061D">
        <w:rPr>
          <w:rFonts w:cs="Arial"/>
          <w:color w:val="auto"/>
          <w:sz w:val="22"/>
          <w:szCs w:val="22"/>
        </w:rPr>
        <w:t xml:space="preserve"> </w:t>
      </w:r>
    </w:p>
    <w:p w14:paraId="58E5AA29" w14:textId="77777777" w:rsidR="00A83ACA" w:rsidRDefault="00C10BE7" w:rsidP="00A83ACA">
      <w:pPr>
        <w:pStyle w:val="BodyText2"/>
        <w:numPr>
          <w:ilvl w:val="0"/>
          <w:numId w:val="32"/>
        </w:numPr>
        <w:spacing w:after="120" w:line="360" w:lineRule="auto"/>
        <w:rPr>
          <w:rFonts w:cs="Arial"/>
          <w:strike w:val="0"/>
          <w:color w:val="000000"/>
          <w:sz w:val="22"/>
          <w:szCs w:val="22"/>
        </w:rPr>
      </w:pPr>
      <w:r w:rsidRPr="006D061D">
        <w:rPr>
          <w:rFonts w:cs="Arial"/>
          <w:strike w:val="0"/>
          <w:color w:val="auto"/>
          <w:sz w:val="22"/>
          <w:szCs w:val="22"/>
        </w:rPr>
        <w:t>For any new clinics added after the consolidated PPS rate</w:t>
      </w:r>
      <w:r w:rsidR="0053148B">
        <w:rPr>
          <w:rFonts w:cs="Arial"/>
          <w:strike w:val="0"/>
          <w:color w:val="auto"/>
          <w:sz w:val="22"/>
          <w:szCs w:val="22"/>
        </w:rPr>
        <w:t>, t</w:t>
      </w:r>
      <w:r w:rsidRPr="006D061D">
        <w:rPr>
          <w:rFonts w:cs="Arial"/>
          <w:strike w:val="0"/>
          <w:color w:val="auto"/>
          <w:sz w:val="22"/>
          <w:szCs w:val="22"/>
        </w:rPr>
        <w:t>he cost report for the new clinic must be filed on an individual clinic basis.</w:t>
      </w:r>
    </w:p>
    <w:p w14:paraId="58E5AA2A" w14:textId="77777777" w:rsidR="00A83ACA" w:rsidRPr="00A83ACA" w:rsidRDefault="00A83ACA" w:rsidP="0008283C">
      <w:pPr>
        <w:rPr>
          <w:rFonts w:cs="Arial"/>
          <w:strike/>
          <w:color w:val="000000"/>
          <w:sz w:val="22"/>
          <w:szCs w:val="22"/>
        </w:rPr>
      </w:pPr>
    </w:p>
    <w:p w14:paraId="58E5AA2B" w14:textId="77777777" w:rsidR="00C10BE7" w:rsidRPr="006D061D" w:rsidRDefault="00C10BE7" w:rsidP="005D1BFF">
      <w:pPr>
        <w:pStyle w:val="Heading1"/>
        <w:spacing w:line="360" w:lineRule="auto"/>
        <w:rPr>
          <w:rFonts w:ascii="Arial" w:hAnsi="Arial" w:cs="Arial"/>
          <w:sz w:val="22"/>
          <w:szCs w:val="22"/>
          <w:vertAlign w:val="baseline"/>
        </w:rPr>
      </w:pPr>
      <w:r w:rsidRPr="006D061D">
        <w:rPr>
          <w:rFonts w:ascii="Arial" w:hAnsi="Arial" w:cs="Arial"/>
          <w:sz w:val="22"/>
          <w:szCs w:val="22"/>
          <w:vertAlign w:val="baseline"/>
        </w:rPr>
        <w:t>HOME OFFICE</w:t>
      </w:r>
    </w:p>
    <w:p w14:paraId="58E5AA2C" w14:textId="77777777" w:rsidR="00C10BE7" w:rsidRPr="006D061D" w:rsidRDefault="00C10BE7" w:rsidP="005D1BFF">
      <w:pPr>
        <w:spacing w:line="360" w:lineRule="auto"/>
        <w:rPr>
          <w:rFonts w:ascii="Arial" w:hAnsi="Arial" w:cs="Arial"/>
          <w:sz w:val="22"/>
          <w:szCs w:val="22"/>
        </w:rPr>
      </w:pPr>
      <w:r w:rsidRPr="006D061D">
        <w:rPr>
          <w:rFonts w:ascii="Arial" w:hAnsi="Arial" w:cs="Arial"/>
          <w:sz w:val="22"/>
          <w:szCs w:val="22"/>
        </w:rPr>
        <w:t>If a CSOSR is being requested for a clinic, which is part of a c</w:t>
      </w:r>
      <w:r w:rsidR="0044552A" w:rsidRPr="006D061D">
        <w:rPr>
          <w:rFonts w:ascii="Arial" w:hAnsi="Arial" w:cs="Arial"/>
          <w:sz w:val="22"/>
          <w:szCs w:val="22"/>
        </w:rPr>
        <w:t>hain organization, a Home Office Cost R</w:t>
      </w:r>
      <w:r w:rsidRPr="006D061D">
        <w:rPr>
          <w:rFonts w:ascii="Arial" w:hAnsi="Arial" w:cs="Arial"/>
          <w:sz w:val="22"/>
          <w:szCs w:val="22"/>
        </w:rPr>
        <w:t xml:space="preserve">eport is required to be filed </w:t>
      </w:r>
      <w:r w:rsidR="0044552A" w:rsidRPr="006D061D">
        <w:rPr>
          <w:rFonts w:ascii="Arial" w:hAnsi="Arial" w:cs="Arial"/>
          <w:sz w:val="22"/>
          <w:szCs w:val="22"/>
        </w:rPr>
        <w:t xml:space="preserve">to </w:t>
      </w:r>
      <w:r w:rsidRPr="006D061D">
        <w:rPr>
          <w:rFonts w:ascii="Arial" w:hAnsi="Arial" w:cs="Arial"/>
          <w:sz w:val="22"/>
          <w:szCs w:val="22"/>
        </w:rPr>
        <w:t xml:space="preserve">ensure that all of the home office costs associated with a </w:t>
      </w:r>
      <w:r w:rsidRPr="006D061D">
        <w:rPr>
          <w:rFonts w:ascii="Arial" w:hAnsi="Arial" w:cs="Arial"/>
          <w:sz w:val="22"/>
          <w:szCs w:val="22"/>
        </w:rPr>
        <w:lastRenderedPageBreak/>
        <w:t>clinic are included</w:t>
      </w:r>
      <w:r w:rsidR="0044552A" w:rsidRPr="006D061D">
        <w:rPr>
          <w:rFonts w:ascii="Arial" w:hAnsi="Arial" w:cs="Arial"/>
          <w:sz w:val="22"/>
          <w:szCs w:val="22"/>
        </w:rPr>
        <w:t xml:space="preserve"> in the rate calculation</w:t>
      </w:r>
      <w:r w:rsidRPr="006D061D">
        <w:rPr>
          <w:rFonts w:ascii="Arial" w:hAnsi="Arial" w:cs="Arial"/>
          <w:sz w:val="22"/>
          <w:szCs w:val="22"/>
        </w:rPr>
        <w:t xml:space="preserve">. </w:t>
      </w:r>
    </w:p>
    <w:p w14:paraId="58E5AA2D" w14:textId="77777777" w:rsidR="00C10BE7" w:rsidRPr="006D061D" w:rsidRDefault="00C10BE7" w:rsidP="0008283C">
      <w:pPr>
        <w:rPr>
          <w:rFonts w:ascii="Arial" w:hAnsi="Arial" w:cs="Arial"/>
          <w:sz w:val="22"/>
          <w:szCs w:val="22"/>
        </w:rPr>
      </w:pPr>
    </w:p>
    <w:p w14:paraId="58E5AA2E" w14:textId="77777777" w:rsidR="0044552A" w:rsidRPr="006D061D" w:rsidRDefault="0044552A" w:rsidP="005D1BFF">
      <w:pPr>
        <w:pStyle w:val="PlainText"/>
        <w:spacing w:line="360" w:lineRule="auto"/>
        <w:jc w:val="left"/>
        <w:rPr>
          <w:rFonts w:cs="Arial"/>
          <w:b/>
          <w:sz w:val="22"/>
          <w:szCs w:val="22"/>
        </w:rPr>
      </w:pPr>
      <w:r w:rsidRPr="006D061D">
        <w:rPr>
          <w:rFonts w:cs="Arial"/>
          <w:b/>
          <w:sz w:val="22"/>
          <w:szCs w:val="22"/>
        </w:rPr>
        <w:t>Home Office is:</w:t>
      </w:r>
    </w:p>
    <w:p w14:paraId="58E5AA2F" w14:textId="77777777" w:rsidR="0044552A" w:rsidRPr="006D061D" w:rsidRDefault="00C10BE7" w:rsidP="005D1BFF">
      <w:pPr>
        <w:pStyle w:val="PlainText"/>
        <w:numPr>
          <w:ilvl w:val="0"/>
          <w:numId w:val="42"/>
        </w:numPr>
        <w:spacing w:line="360" w:lineRule="auto"/>
        <w:jc w:val="left"/>
        <w:rPr>
          <w:rFonts w:cs="Arial"/>
          <w:sz w:val="22"/>
          <w:szCs w:val="22"/>
        </w:rPr>
      </w:pPr>
      <w:r w:rsidRPr="006D061D">
        <w:rPr>
          <w:rFonts w:cs="Arial"/>
          <w:sz w:val="22"/>
          <w:szCs w:val="22"/>
        </w:rPr>
        <w:t>A chain organization consisting of two or more facilities which are owned, leased, or by some devise, controlled by one organization. A chain organization may include more than one type of program in addition to the FQHC/RHC program.</w:t>
      </w:r>
    </w:p>
    <w:p w14:paraId="58E5AA30" w14:textId="77777777" w:rsidR="0044552A" w:rsidRPr="006D061D" w:rsidRDefault="0044552A" w:rsidP="005D1BFF">
      <w:pPr>
        <w:pStyle w:val="PlainText"/>
        <w:ind w:left="720"/>
        <w:jc w:val="left"/>
        <w:rPr>
          <w:rFonts w:cs="Arial"/>
          <w:sz w:val="22"/>
          <w:szCs w:val="22"/>
        </w:rPr>
      </w:pPr>
    </w:p>
    <w:p w14:paraId="58E5AA31" w14:textId="77777777" w:rsidR="0044552A" w:rsidRPr="006D061D" w:rsidRDefault="00C10BE7" w:rsidP="005D1BFF">
      <w:pPr>
        <w:pStyle w:val="PlainText"/>
        <w:numPr>
          <w:ilvl w:val="0"/>
          <w:numId w:val="42"/>
        </w:numPr>
        <w:spacing w:line="360" w:lineRule="auto"/>
        <w:jc w:val="left"/>
        <w:rPr>
          <w:rFonts w:cs="Arial"/>
          <w:color w:val="000000"/>
          <w:sz w:val="22"/>
          <w:szCs w:val="22"/>
        </w:rPr>
      </w:pPr>
      <w:r w:rsidRPr="006D061D">
        <w:rPr>
          <w:rFonts w:cs="Arial"/>
          <w:sz w:val="22"/>
          <w:szCs w:val="22"/>
        </w:rPr>
        <w:t xml:space="preserve">The home office of a chain organization is </w:t>
      </w:r>
      <w:r w:rsidRPr="006D061D">
        <w:rPr>
          <w:rFonts w:cs="Arial"/>
          <w:color w:val="000000"/>
          <w:sz w:val="22"/>
          <w:szCs w:val="22"/>
        </w:rPr>
        <w:t>typically not a provider of health care. The relationship of the home office to the FQHC/RHC clinics is that of a related organization to a participating provider(s). Home offices usually furnish central management and administrative services such as centralized accounting, purchasing, payroll, personnel services, management direction and control, and other services.</w:t>
      </w:r>
    </w:p>
    <w:p w14:paraId="58E5AA32" w14:textId="77777777" w:rsidR="0044552A" w:rsidRPr="006D061D" w:rsidRDefault="00C10BE7" w:rsidP="005D1BFF">
      <w:pPr>
        <w:pStyle w:val="PlainText"/>
        <w:jc w:val="left"/>
        <w:rPr>
          <w:rFonts w:cs="Arial"/>
          <w:color w:val="000000"/>
          <w:sz w:val="22"/>
          <w:szCs w:val="22"/>
        </w:rPr>
      </w:pPr>
      <w:r w:rsidRPr="006D061D">
        <w:rPr>
          <w:rFonts w:cs="Arial"/>
          <w:color w:val="000000"/>
          <w:sz w:val="22"/>
          <w:szCs w:val="22"/>
        </w:rPr>
        <w:t xml:space="preserve"> </w:t>
      </w:r>
    </w:p>
    <w:p w14:paraId="58E5AA33" w14:textId="77777777" w:rsidR="00C10BE7" w:rsidRPr="006D061D" w:rsidRDefault="00C10BE7" w:rsidP="005D1BFF">
      <w:pPr>
        <w:pStyle w:val="PlainText"/>
        <w:numPr>
          <w:ilvl w:val="0"/>
          <w:numId w:val="42"/>
        </w:numPr>
        <w:spacing w:line="360" w:lineRule="auto"/>
        <w:jc w:val="left"/>
        <w:rPr>
          <w:rFonts w:cs="Arial"/>
          <w:color w:val="000000"/>
          <w:sz w:val="22"/>
          <w:szCs w:val="22"/>
        </w:rPr>
      </w:pPr>
      <w:r w:rsidRPr="006D061D">
        <w:rPr>
          <w:rFonts w:cs="Arial"/>
          <w:color w:val="000000"/>
          <w:sz w:val="22"/>
          <w:szCs w:val="22"/>
        </w:rPr>
        <w:t>In the case</w:t>
      </w:r>
      <w:r w:rsidR="0044552A" w:rsidRPr="006D061D">
        <w:rPr>
          <w:rFonts w:cs="Arial"/>
          <w:color w:val="000000"/>
          <w:sz w:val="22"/>
          <w:szCs w:val="22"/>
        </w:rPr>
        <w:t xml:space="preserve"> of clinics, it may be a </w:t>
      </w:r>
      <w:r w:rsidRPr="006D061D">
        <w:rPr>
          <w:rFonts w:cs="Arial"/>
          <w:color w:val="000000"/>
          <w:sz w:val="22"/>
          <w:szCs w:val="22"/>
        </w:rPr>
        <w:t>main clinic</w:t>
      </w:r>
      <w:r w:rsidR="0044552A" w:rsidRPr="006D061D">
        <w:rPr>
          <w:rFonts w:cs="Arial"/>
          <w:color w:val="000000"/>
          <w:sz w:val="22"/>
          <w:szCs w:val="22"/>
        </w:rPr>
        <w:t xml:space="preserve"> that provides administrative and shared services to other clinics </w:t>
      </w:r>
      <w:r w:rsidRPr="006D061D">
        <w:rPr>
          <w:rFonts w:cs="Arial"/>
          <w:color w:val="000000"/>
          <w:sz w:val="22"/>
          <w:szCs w:val="22"/>
        </w:rPr>
        <w:t>, in addition to providing health care services.  In other words, the main clinic may also serve as the “home office” for the other clinics in the chain and may contain costs (direct or allocable) pertaining to the other clin</w:t>
      </w:r>
      <w:r w:rsidR="0044552A" w:rsidRPr="006D061D">
        <w:rPr>
          <w:rFonts w:cs="Arial"/>
          <w:color w:val="000000"/>
          <w:sz w:val="22"/>
          <w:szCs w:val="22"/>
        </w:rPr>
        <w:t>ics in the chain. In these situations</w:t>
      </w:r>
      <w:r w:rsidRPr="006D061D">
        <w:rPr>
          <w:rFonts w:cs="Arial"/>
          <w:color w:val="000000"/>
          <w:sz w:val="22"/>
          <w:szCs w:val="22"/>
        </w:rPr>
        <w:t xml:space="preserve">, the </w:t>
      </w:r>
      <w:r w:rsidR="0044552A" w:rsidRPr="006D061D">
        <w:rPr>
          <w:rFonts w:cs="Arial"/>
          <w:color w:val="000000"/>
          <w:sz w:val="22"/>
          <w:szCs w:val="22"/>
        </w:rPr>
        <w:t>Home Office Cost Report will s</w:t>
      </w:r>
      <w:r w:rsidRPr="006D061D">
        <w:rPr>
          <w:rFonts w:cs="Arial"/>
          <w:color w:val="000000"/>
          <w:sz w:val="22"/>
          <w:szCs w:val="22"/>
        </w:rPr>
        <w:t>till need</w:t>
      </w:r>
      <w:r w:rsidR="0044552A" w:rsidRPr="006D061D">
        <w:rPr>
          <w:rFonts w:cs="Arial"/>
          <w:color w:val="000000"/>
          <w:sz w:val="22"/>
          <w:szCs w:val="22"/>
        </w:rPr>
        <w:t xml:space="preserve"> to be filed</w:t>
      </w:r>
      <w:r w:rsidRPr="006D061D">
        <w:rPr>
          <w:rFonts w:cs="Arial"/>
          <w:color w:val="000000"/>
          <w:sz w:val="22"/>
          <w:szCs w:val="22"/>
        </w:rPr>
        <w:t>. However,</w:t>
      </w:r>
      <w:r w:rsidR="0044552A" w:rsidRPr="006D061D">
        <w:rPr>
          <w:rFonts w:cs="Arial"/>
          <w:color w:val="000000"/>
          <w:sz w:val="22"/>
          <w:szCs w:val="22"/>
        </w:rPr>
        <w:t xml:space="preserve"> the Home Office cost report will only include</w:t>
      </w:r>
      <w:r w:rsidRPr="006D061D">
        <w:rPr>
          <w:rFonts w:cs="Arial"/>
          <w:color w:val="000000"/>
          <w:sz w:val="22"/>
          <w:szCs w:val="22"/>
        </w:rPr>
        <w:t xml:space="preserve"> </w:t>
      </w:r>
      <w:r w:rsidR="0044552A" w:rsidRPr="006D061D">
        <w:rPr>
          <w:rFonts w:cs="Arial"/>
          <w:color w:val="000000"/>
          <w:sz w:val="22"/>
          <w:szCs w:val="22"/>
        </w:rPr>
        <w:t>d</w:t>
      </w:r>
      <w:r w:rsidRPr="006D061D">
        <w:rPr>
          <w:rFonts w:cs="Arial"/>
          <w:color w:val="000000"/>
          <w:sz w:val="22"/>
          <w:szCs w:val="22"/>
        </w:rPr>
        <w:t>irect or shared costs subject to allocatio</w:t>
      </w:r>
      <w:r w:rsidR="0044552A" w:rsidRPr="006D061D">
        <w:rPr>
          <w:rFonts w:cs="Arial"/>
          <w:color w:val="000000"/>
          <w:sz w:val="22"/>
          <w:szCs w:val="22"/>
        </w:rPr>
        <w:t xml:space="preserve">n to the clinics. The </w:t>
      </w:r>
      <w:r w:rsidRPr="006D061D">
        <w:rPr>
          <w:rFonts w:cs="Arial"/>
          <w:color w:val="000000"/>
          <w:sz w:val="22"/>
          <w:szCs w:val="22"/>
        </w:rPr>
        <w:t xml:space="preserve">costs related </w:t>
      </w:r>
      <w:r w:rsidR="0044552A" w:rsidRPr="006D061D">
        <w:rPr>
          <w:rFonts w:cs="Arial"/>
          <w:color w:val="000000"/>
          <w:sz w:val="22"/>
          <w:szCs w:val="22"/>
        </w:rPr>
        <w:t xml:space="preserve">directly to </w:t>
      </w:r>
      <w:r w:rsidRPr="006D061D">
        <w:rPr>
          <w:rFonts w:cs="Arial"/>
          <w:color w:val="000000"/>
          <w:sz w:val="22"/>
          <w:szCs w:val="22"/>
        </w:rPr>
        <w:t xml:space="preserve">the main clinic </w:t>
      </w:r>
      <w:r w:rsidR="0044552A" w:rsidRPr="006D061D">
        <w:rPr>
          <w:rFonts w:cs="Arial"/>
          <w:color w:val="000000"/>
          <w:sz w:val="22"/>
          <w:szCs w:val="22"/>
        </w:rPr>
        <w:t xml:space="preserve">only </w:t>
      </w:r>
      <w:r w:rsidRPr="006D061D">
        <w:rPr>
          <w:rFonts w:cs="Arial"/>
          <w:color w:val="000000"/>
          <w:sz w:val="22"/>
          <w:szCs w:val="22"/>
        </w:rPr>
        <w:t xml:space="preserve">and are </w:t>
      </w:r>
      <w:r w:rsidR="0044552A" w:rsidRPr="006D061D">
        <w:rPr>
          <w:rFonts w:cs="Arial"/>
          <w:color w:val="000000"/>
          <w:sz w:val="22"/>
          <w:szCs w:val="22"/>
        </w:rPr>
        <w:t>not</w:t>
      </w:r>
      <w:r w:rsidRPr="006D061D">
        <w:rPr>
          <w:rFonts w:cs="Arial"/>
          <w:color w:val="000000"/>
          <w:sz w:val="22"/>
          <w:szCs w:val="22"/>
        </w:rPr>
        <w:t xml:space="preserve"> allocable to other clinics </w:t>
      </w:r>
      <w:r w:rsidR="0044552A" w:rsidRPr="006D061D">
        <w:rPr>
          <w:rFonts w:cs="Arial"/>
          <w:color w:val="000000"/>
          <w:sz w:val="22"/>
          <w:szCs w:val="22"/>
        </w:rPr>
        <w:t xml:space="preserve">and </w:t>
      </w:r>
      <w:r w:rsidRPr="006D061D">
        <w:rPr>
          <w:rFonts w:cs="Arial"/>
          <w:color w:val="000000"/>
          <w:sz w:val="22"/>
          <w:szCs w:val="22"/>
        </w:rPr>
        <w:t>should be excluded. The main clinic however</w:t>
      </w:r>
      <w:r w:rsidR="0044552A" w:rsidRPr="006D061D">
        <w:rPr>
          <w:rFonts w:cs="Arial"/>
          <w:color w:val="000000"/>
          <w:sz w:val="22"/>
          <w:szCs w:val="22"/>
        </w:rPr>
        <w:t xml:space="preserve"> should be included in the Home Office Cost Report </w:t>
      </w:r>
      <w:r w:rsidRPr="006D061D">
        <w:rPr>
          <w:rFonts w:cs="Arial"/>
          <w:color w:val="000000"/>
          <w:sz w:val="22"/>
          <w:szCs w:val="22"/>
        </w:rPr>
        <w:t xml:space="preserve">as one of the clinics to receive cost allocations. </w:t>
      </w:r>
    </w:p>
    <w:p w14:paraId="58E5AA34" w14:textId="77777777" w:rsidR="00C10BE7" w:rsidRPr="006D061D" w:rsidRDefault="00C10BE7" w:rsidP="0008283C">
      <w:pPr>
        <w:pStyle w:val="PlainText"/>
        <w:jc w:val="left"/>
        <w:rPr>
          <w:rFonts w:cs="Arial"/>
          <w:sz w:val="22"/>
          <w:szCs w:val="22"/>
        </w:rPr>
      </w:pPr>
    </w:p>
    <w:p w14:paraId="58E5AA35" w14:textId="77777777" w:rsidR="00C37B29" w:rsidRDefault="00C37B29" w:rsidP="005D1BFF">
      <w:pPr>
        <w:pStyle w:val="PlainTextSubtitle"/>
        <w:spacing w:line="360" w:lineRule="auto"/>
        <w:rPr>
          <w:rFonts w:cs="Arial"/>
          <w:sz w:val="22"/>
          <w:szCs w:val="22"/>
        </w:rPr>
      </w:pPr>
      <w:r>
        <w:rPr>
          <w:rFonts w:cs="Arial"/>
          <w:sz w:val="22"/>
          <w:szCs w:val="22"/>
        </w:rPr>
        <w:t>filing a cost report</w:t>
      </w:r>
    </w:p>
    <w:p w14:paraId="58E5AA36" w14:textId="77777777" w:rsidR="001E6B99" w:rsidRPr="001E6B99" w:rsidRDefault="001E6B99" w:rsidP="001E6B99">
      <w:pPr>
        <w:pStyle w:val="BodyText2"/>
        <w:spacing w:after="120" w:line="360" w:lineRule="auto"/>
        <w:rPr>
          <w:strike w:val="0"/>
          <w:color w:val="auto"/>
          <w:sz w:val="22"/>
          <w:szCs w:val="22"/>
        </w:rPr>
      </w:pPr>
      <w:r w:rsidRPr="001E6B99">
        <w:rPr>
          <w:strike w:val="0"/>
          <w:color w:val="auto"/>
          <w:sz w:val="22"/>
          <w:szCs w:val="22"/>
        </w:rPr>
        <w:t>All Medi-Cal providers follow</w:t>
      </w:r>
      <w:r w:rsidR="00436B7A">
        <w:rPr>
          <w:strike w:val="0"/>
          <w:color w:val="auto"/>
          <w:sz w:val="22"/>
          <w:szCs w:val="22"/>
        </w:rPr>
        <w:t xml:space="preserve"> the e-File Medi-Cal Worksheets</w:t>
      </w:r>
      <w:r w:rsidRPr="001E6B99">
        <w:rPr>
          <w:strike w:val="0"/>
          <w:color w:val="auto"/>
          <w:sz w:val="22"/>
          <w:szCs w:val="22"/>
        </w:rPr>
        <w:t xml:space="preserve"> Submission Protocol for submission </w:t>
      </w:r>
      <w:r w:rsidR="00436B7A">
        <w:rPr>
          <w:strike w:val="0"/>
          <w:color w:val="auto"/>
          <w:sz w:val="22"/>
          <w:szCs w:val="22"/>
        </w:rPr>
        <w:t>of FQHC/RHC Worksheets</w:t>
      </w:r>
      <w:r w:rsidRPr="001E6B99">
        <w:rPr>
          <w:strike w:val="0"/>
          <w:color w:val="auto"/>
          <w:sz w:val="22"/>
          <w:szCs w:val="22"/>
        </w:rPr>
        <w:t xml:space="preserve">. </w:t>
      </w:r>
      <w:r w:rsidR="00436B7A">
        <w:rPr>
          <w:strike w:val="0"/>
          <w:color w:val="auto"/>
          <w:sz w:val="22"/>
          <w:szCs w:val="22"/>
        </w:rPr>
        <w:t xml:space="preserve"> Submit the e-file worksheets</w:t>
      </w:r>
      <w:r w:rsidR="00531B79">
        <w:rPr>
          <w:strike w:val="0"/>
          <w:color w:val="auto"/>
          <w:sz w:val="22"/>
          <w:szCs w:val="22"/>
        </w:rPr>
        <w:t xml:space="preserve"> to </w:t>
      </w:r>
      <w:r w:rsidR="00FB2441">
        <w:rPr>
          <w:strike w:val="0"/>
          <w:color w:val="auto"/>
          <w:sz w:val="22"/>
          <w:szCs w:val="22"/>
        </w:rPr>
        <w:t xml:space="preserve">the </w:t>
      </w:r>
      <w:r w:rsidRPr="001E6B99">
        <w:rPr>
          <w:strike w:val="0"/>
          <w:color w:val="auto"/>
          <w:sz w:val="22"/>
          <w:szCs w:val="22"/>
        </w:rPr>
        <w:t xml:space="preserve">inbox </w:t>
      </w:r>
      <w:r w:rsidR="00531B79">
        <w:rPr>
          <w:strike w:val="0"/>
          <w:color w:val="auto"/>
          <w:sz w:val="22"/>
          <w:szCs w:val="22"/>
        </w:rPr>
        <w:t xml:space="preserve">below </w:t>
      </w:r>
      <w:r w:rsidRPr="001E6B99">
        <w:rPr>
          <w:strike w:val="0"/>
          <w:color w:val="auto"/>
          <w:sz w:val="22"/>
          <w:szCs w:val="22"/>
        </w:rPr>
        <w:t>and include the audited financial statements</w:t>
      </w:r>
      <w:r w:rsidR="00436B7A">
        <w:rPr>
          <w:strike w:val="0"/>
          <w:color w:val="auto"/>
          <w:sz w:val="22"/>
          <w:szCs w:val="22"/>
        </w:rPr>
        <w:t xml:space="preserve"> (if applicable)</w:t>
      </w:r>
      <w:r w:rsidRPr="001E6B99">
        <w:rPr>
          <w:strike w:val="0"/>
          <w:color w:val="auto"/>
          <w:sz w:val="22"/>
          <w:szCs w:val="22"/>
        </w:rPr>
        <w:t xml:space="preserve">, trial balance and </w:t>
      </w:r>
      <w:r w:rsidR="00436B7A">
        <w:rPr>
          <w:strike w:val="0"/>
          <w:color w:val="auto"/>
          <w:sz w:val="22"/>
          <w:szCs w:val="22"/>
        </w:rPr>
        <w:t>working papers used to prepare the Worksheets.</w:t>
      </w:r>
      <w:r w:rsidR="00531B79">
        <w:rPr>
          <w:strike w:val="0"/>
          <w:color w:val="auto"/>
          <w:sz w:val="22"/>
          <w:szCs w:val="22"/>
        </w:rPr>
        <w:t xml:space="preserve">  You will receive an email response.</w:t>
      </w:r>
    </w:p>
    <w:p w14:paraId="58E5AA37" w14:textId="77777777" w:rsidR="001E6B99" w:rsidRPr="006C5737" w:rsidRDefault="001E6B99" w:rsidP="001E6B99">
      <w:pPr>
        <w:pStyle w:val="BodyText"/>
        <w:numPr>
          <w:ilvl w:val="2"/>
          <w:numId w:val="48"/>
        </w:numPr>
        <w:tabs>
          <w:tab w:val="left" w:pos="1553"/>
        </w:tabs>
        <w:spacing w:line="262" w:lineRule="exact"/>
        <w:jc w:val="left"/>
        <w:rPr>
          <w:szCs w:val="24"/>
        </w:rPr>
      </w:pPr>
      <w:r w:rsidRPr="006C5737">
        <w:rPr>
          <w:color w:val="0000FF"/>
          <w:spacing w:val="-1"/>
          <w:szCs w:val="24"/>
          <w:u w:val="single" w:color="0000FF"/>
        </w:rPr>
        <w:t>ChangeInScope.Clinics@dhcs.ca.gov</w:t>
      </w:r>
    </w:p>
    <w:p w14:paraId="58E5AA38" w14:textId="77777777" w:rsidR="001E6B99" w:rsidRPr="00C37B29" w:rsidRDefault="001E6B99" w:rsidP="001E6B99">
      <w:pPr>
        <w:pStyle w:val="BodyText2"/>
        <w:spacing w:after="120" w:line="360" w:lineRule="auto"/>
        <w:rPr>
          <w:strike w:val="0"/>
          <w:sz w:val="22"/>
          <w:szCs w:val="22"/>
        </w:rPr>
      </w:pPr>
    </w:p>
    <w:p w14:paraId="58E5AA39" w14:textId="77777777" w:rsidR="001E6B99" w:rsidRDefault="001E6B99" w:rsidP="001E6B99">
      <w:pPr>
        <w:pStyle w:val="PlainText"/>
        <w:spacing w:after="120" w:line="360" w:lineRule="auto"/>
        <w:jc w:val="left"/>
        <w:rPr>
          <w:noProof w:val="0"/>
          <w:sz w:val="22"/>
          <w:szCs w:val="22"/>
        </w:rPr>
      </w:pPr>
      <w:r w:rsidRPr="000851BE">
        <w:rPr>
          <w:noProof w:val="0"/>
          <w:sz w:val="22"/>
          <w:szCs w:val="22"/>
        </w:rPr>
        <w:t xml:space="preserve">Documents </w:t>
      </w:r>
      <w:r>
        <w:rPr>
          <w:noProof w:val="0"/>
          <w:sz w:val="22"/>
          <w:szCs w:val="22"/>
        </w:rPr>
        <w:t>must be complete</w:t>
      </w:r>
      <w:r w:rsidR="00FB2441">
        <w:rPr>
          <w:noProof w:val="0"/>
          <w:sz w:val="22"/>
          <w:szCs w:val="22"/>
        </w:rPr>
        <w:t xml:space="preserve">. Worksheets </w:t>
      </w:r>
      <w:r w:rsidRPr="000851BE">
        <w:rPr>
          <w:noProof w:val="0"/>
          <w:sz w:val="22"/>
          <w:szCs w:val="22"/>
        </w:rPr>
        <w:t>will be returned if not completed in accordance with these instructions.</w:t>
      </w:r>
    </w:p>
    <w:p w14:paraId="58E5AA3A" w14:textId="77777777" w:rsidR="001E6B99" w:rsidRDefault="001E6B99" w:rsidP="001E6B99">
      <w:pPr>
        <w:spacing w:before="12" w:after="12" w:line="360" w:lineRule="auto"/>
        <w:rPr>
          <w:rFonts w:ascii="Arial" w:hAnsi="Arial" w:cs="Arial"/>
          <w:sz w:val="22"/>
          <w:szCs w:val="22"/>
        </w:rPr>
      </w:pPr>
      <w:r>
        <w:rPr>
          <w:rFonts w:ascii="Arial" w:hAnsi="Arial" w:cs="Arial"/>
          <w:sz w:val="22"/>
          <w:szCs w:val="22"/>
        </w:rPr>
        <w:lastRenderedPageBreak/>
        <w:t xml:space="preserve">For assistance/questions, </w:t>
      </w:r>
      <w:r w:rsidRPr="000851BE">
        <w:rPr>
          <w:rFonts w:ascii="Arial" w:hAnsi="Arial" w:cs="Arial"/>
          <w:sz w:val="22"/>
          <w:szCs w:val="22"/>
        </w:rPr>
        <w:t>please contact the FQHC/RH</w:t>
      </w:r>
      <w:r>
        <w:rPr>
          <w:rFonts w:ascii="Arial" w:hAnsi="Arial" w:cs="Arial"/>
          <w:sz w:val="22"/>
          <w:szCs w:val="22"/>
        </w:rPr>
        <w:t xml:space="preserve">C Section at (916) 322-1681 or </w:t>
      </w:r>
      <w:hyperlink r:id="rId13" w:history="1">
        <w:r w:rsidRPr="000019A1">
          <w:rPr>
            <w:rStyle w:val="Hyperlink"/>
            <w:rFonts w:ascii="Arial" w:hAnsi="Arial" w:cs="Arial"/>
            <w:sz w:val="22"/>
            <w:szCs w:val="22"/>
          </w:rPr>
          <w:t>Clinics@dhcs.ca.gov</w:t>
        </w:r>
      </w:hyperlink>
      <w:r w:rsidRPr="000851BE">
        <w:rPr>
          <w:rFonts w:ascii="Arial" w:hAnsi="Arial" w:cs="Arial"/>
          <w:sz w:val="22"/>
          <w:szCs w:val="22"/>
        </w:rPr>
        <w:t>.</w:t>
      </w:r>
    </w:p>
    <w:p w14:paraId="58E5AA3B" w14:textId="77777777" w:rsidR="00C37B29" w:rsidRPr="000851BE" w:rsidRDefault="00C37B29" w:rsidP="0008283C">
      <w:pPr>
        <w:pStyle w:val="Address"/>
        <w:ind w:left="0"/>
        <w:rPr>
          <w:rFonts w:cs="Arial"/>
          <w:sz w:val="22"/>
          <w:szCs w:val="22"/>
        </w:rPr>
      </w:pPr>
    </w:p>
    <w:p w14:paraId="58E5AA3C" w14:textId="77777777" w:rsidR="00C37B29" w:rsidRPr="000851BE" w:rsidRDefault="00C37B29" w:rsidP="005D1BFF">
      <w:pPr>
        <w:pStyle w:val="PlainTextSubtitle"/>
        <w:spacing w:line="360" w:lineRule="auto"/>
        <w:rPr>
          <w:rFonts w:cs="Arial"/>
          <w:sz w:val="22"/>
          <w:szCs w:val="22"/>
        </w:rPr>
      </w:pPr>
      <w:r w:rsidRPr="000851BE">
        <w:rPr>
          <w:rFonts w:cs="Arial"/>
          <w:sz w:val="22"/>
          <w:szCs w:val="22"/>
        </w:rPr>
        <w:t>Cover Sheet</w:t>
      </w:r>
    </w:p>
    <w:p w14:paraId="58E5AA3D" w14:textId="77777777" w:rsidR="00C37B29" w:rsidRPr="000851BE" w:rsidRDefault="00C37B29" w:rsidP="005D1BFF">
      <w:pPr>
        <w:pStyle w:val="Address"/>
        <w:spacing w:line="360" w:lineRule="auto"/>
        <w:ind w:left="0"/>
        <w:rPr>
          <w:rFonts w:cs="Arial"/>
          <w:sz w:val="22"/>
          <w:szCs w:val="22"/>
        </w:rPr>
      </w:pPr>
      <w:r w:rsidRPr="000851BE">
        <w:rPr>
          <w:rFonts w:cs="Arial"/>
          <w:sz w:val="22"/>
          <w:szCs w:val="22"/>
        </w:rPr>
        <w:t>This Worksheet will automatically populate based on the information entered on Worksheet 1.</w:t>
      </w:r>
    </w:p>
    <w:p w14:paraId="58E5AA3E" w14:textId="77777777" w:rsidR="00C37B29" w:rsidRPr="000851BE" w:rsidRDefault="00C37B29" w:rsidP="005D1BFF">
      <w:pPr>
        <w:pStyle w:val="Address"/>
        <w:ind w:left="0"/>
        <w:rPr>
          <w:sz w:val="22"/>
          <w:szCs w:val="22"/>
        </w:rPr>
      </w:pPr>
    </w:p>
    <w:p w14:paraId="58E5AA3F" w14:textId="77777777" w:rsidR="00C37B29" w:rsidRPr="000851BE" w:rsidRDefault="00C37B29" w:rsidP="005D1BFF">
      <w:pPr>
        <w:pStyle w:val="PlainTextSubtitle"/>
        <w:spacing w:line="360" w:lineRule="auto"/>
        <w:rPr>
          <w:sz w:val="22"/>
          <w:szCs w:val="22"/>
        </w:rPr>
      </w:pPr>
      <w:r w:rsidRPr="000851BE">
        <w:rPr>
          <w:sz w:val="22"/>
          <w:szCs w:val="22"/>
        </w:rPr>
        <w:t>Statistical Data / Certification Statement</w:t>
      </w:r>
    </w:p>
    <w:p w14:paraId="58E5AA40" w14:textId="77777777" w:rsidR="00C37B29" w:rsidRPr="000851BE" w:rsidRDefault="00D70DE9" w:rsidP="005D1BFF">
      <w:pPr>
        <w:pStyle w:val="PlainText"/>
        <w:spacing w:after="120" w:line="360" w:lineRule="auto"/>
        <w:jc w:val="left"/>
        <w:rPr>
          <w:sz w:val="22"/>
          <w:szCs w:val="22"/>
        </w:rPr>
      </w:pPr>
      <w:r>
        <w:rPr>
          <w:sz w:val="22"/>
          <w:szCs w:val="22"/>
        </w:rPr>
        <w:t>Complete items 1–10</w:t>
      </w:r>
      <w:r w:rsidR="00C37B29" w:rsidRPr="000851BE">
        <w:rPr>
          <w:sz w:val="22"/>
          <w:szCs w:val="22"/>
        </w:rPr>
        <w:t xml:space="preserve"> and the Certification Statement.  The individual signing this statement must be an officer or other authorized representative.  An original signature is required.  The cost report will be returned if it is not signed.</w:t>
      </w:r>
    </w:p>
    <w:p w14:paraId="58E5AA41" w14:textId="77777777" w:rsidR="00C37B29" w:rsidRPr="000851BE" w:rsidRDefault="00C37B29" w:rsidP="005D1BFF">
      <w:pPr>
        <w:pStyle w:val="PlainText"/>
        <w:spacing w:line="360" w:lineRule="auto"/>
        <w:jc w:val="left"/>
        <w:rPr>
          <w:sz w:val="22"/>
          <w:szCs w:val="22"/>
        </w:rPr>
      </w:pPr>
      <w:r w:rsidRPr="000851BE">
        <w:rPr>
          <w:sz w:val="22"/>
          <w:szCs w:val="22"/>
        </w:rPr>
        <w:t xml:space="preserve">Check the appropriate box at the top of the form to indicate if the cost report is based on projected costs for the purpose of setting an interim rate, or reporting actual costs for the first full year of operation for the purpose of setting a final PPS rate.  For questions 5 through </w:t>
      </w:r>
      <w:r w:rsidR="00D70DE9">
        <w:rPr>
          <w:sz w:val="22"/>
          <w:szCs w:val="22"/>
        </w:rPr>
        <w:t>10</w:t>
      </w:r>
      <w:r w:rsidRPr="000851BE">
        <w:rPr>
          <w:sz w:val="22"/>
          <w:szCs w:val="22"/>
        </w:rPr>
        <w:t xml:space="preserve"> attach additional sheets as necessary.</w:t>
      </w:r>
    </w:p>
    <w:p w14:paraId="58E5AA42" w14:textId="77777777" w:rsidR="00C37B29" w:rsidRPr="000851BE" w:rsidRDefault="00C37B29" w:rsidP="005D1BFF">
      <w:pPr>
        <w:pStyle w:val="Address"/>
        <w:ind w:left="0"/>
        <w:rPr>
          <w:sz w:val="22"/>
          <w:szCs w:val="22"/>
        </w:rPr>
      </w:pPr>
    </w:p>
    <w:p w14:paraId="58E5AA43" w14:textId="77777777" w:rsidR="00C37B29" w:rsidRPr="000851BE" w:rsidRDefault="00C37B29" w:rsidP="005D1BFF">
      <w:pPr>
        <w:pStyle w:val="PlainTextSubtitle"/>
        <w:spacing w:line="360" w:lineRule="auto"/>
        <w:rPr>
          <w:sz w:val="22"/>
          <w:szCs w:val="22"/>
        </w:rPr>
      </w:pPr>
      <w:r w:rsidRPr="000851BE">
        <w:rPr>
          <w:sz w:val="22"/>
          <w:szCs w:val="22"/>
        </w:rPr>
        <w:t>WorkSheetS 1, 1A, &amp; 1B –TRIAL BALANCE OF EXPENSES</w:t>
      </w:r>
      <w:r>
        <w:rPr>
          <w:sz w:val="22"/>
          <w:szCs w:val="22"/>
        </w:rPr>
        <w:t xml:space="preserve"> - </w:t>
      </w:r>
      <w:r w:rsidRPr="000851BE">
        <w:rPr>
          <w:sz w:val="22"/>
          <w:szCs w:val="22"/>
        </w:rPr>
        <w:t>RECLASSIFICATION &amp; ADJUSTMENT</w:t>
      </w:r>
    </w:p>
    <w:p w14:paraId="58E5AA44" w14:textId="77777777" w:rsidR="00C37B29" w:rsidRPr="000851BE" w:rsidRDefault="00C37B29" w:rsidP="005D1BFF">
      <w:pPr>
        <w:pStyle w:val="PlainText"/>
        <w:spacing w:after="120" w:line="360" w:lineRule="auto"/>
        <w:jc w:val="left"/>
        <w:rPr>
          <w:sz w:val="22"/>
          <w:szCs w:val="22"/>
        </w:rPr>
      </w:pPr>
      <w:r w:rsidRPr="000851BE">
        <w:rPr>
          <w:sz w:val="22"/>
          <w:szCs w:val="22"/>
        </w:rPr>
        <w:t xml:space="preserve">Worksheet 1, Columns 1 and 2 are used to record the trial balance of expenses from the clinic's accounting books and records.  The cost report must reconcile to the provider's general ledger and the audited financial statements. </w:t>
      </w:r>
      <w:r w:rsidRPr="000851BE">
        <w:rPr>
          <w:b/>
          <w:sz w:val="22"/>
          <w:szCs w:val="22"/>
        </w:rPr>
        <w:t xml:space="preserve"> All amounts should be rounded to the nearest dollar, attach additional sheets if necessary.</w:t>
      </w:r>
    </w:p>
    <w:p w14:paraId="58E5AA45" w14:textId="77777777" w:rsidR="00C37B29" w:rsidRPr="000851BE" w:rsidRDefault="00C37B29" w:rsidP="005D1BFF">
      <w:pPr>
        <w:pStyle w:val="PlainText"/>
        <w:spacing w:after="120" w:line="360" w:lineRule="auto"/>
        <w:jc w:val="left"/>
        <w:rPr>
          <w:sz w:val="22"/>
          <w:szCs w:val="22"/>
        </w:rPr>
      </w:pPr>
      <w:r w:rsidRPr="000851BE">
        <w:rPr>
          <w:sz w:val="22"/>
          <w:szCs w:val="22"/>
        </w:rPr>
        <w:t>Enter in Column 4 any reclassifications needed for proper cost allocation.  For example, if a physician’s duties include  some administrative duties, the appropriate portion of compensation, and applicable payroll taxes and fringe benefits may be reclassified from Line 1 to Line 42, Office Salaries.  All reclassifications in column 4 must be detailed on Worksheet 1A.  Worksheet 1A provides an explanation of the reclassifications and indicates the amount allocated to each of the affected cost centers.  The net total of Column 4 must equal zero.</w:t>
      </w:r>
    </w:p>
    <w:p w14:paraId="58E5AA46" w14:textId="77777777" w:rsidR="005D1BFF" w:rsidRDefault="00C37B29" w:rsidP="0008283C">
      <w:pPr>
        <w:pStyle w:val="PlainText"/>
        <w:spacing w:after="120" w:line="360" w:lineRule="auto"/>
        <w:jc w:val="left"/>
        <w:rPr>
          <w:b/>
          <w:sz w:val="22"/>
          <w:szCs w:val="22"/>
        </w:rPr>
      </w:pPr>
      <w:r w:rsidRPr="000851BE">
        <w:rPr>
          <w:sz w:val="22"/>
          <w:szCs w:val="22"/>
        </w:rPr>
        <w:t xml:space="preserve">Enter in Column 6 any adjustments to the reclassified expenses.  Adjustments are required for </w:t>
      </w:r>
      <w:r w:rsidRPr="000851BE">
        <w:rPr>
          <w:b/>
          <w:sz w:val="22"/>
          <w:szCs w:val="22"/>
        </w:rPr>
        <w:t>home office costs</w:t>
      </w:r>
      <w:r w:rsidRPr="000851BE">
        <w:rPr>
          <w:sz w:val="22"/>
          <w:szCs w:val="22"/>
        </w:rPr>
        <w:t xml:space="preserve"> and to adjust expenses in accordance with allowable costs as defined in 42 </w:t>
      </w:r>
      <w:r w:rsidRPr="000851BE">
        <w:rPr>
          <w:sz w:val="22"/>
          <w:szCs w:val="22"/>
        </w:rPr>
        <w:lastRenderedPageBreak/>
        <w:t xml:space="preserve">CFR, Part 413.  All adjustments in Column 6 must be detailed on Worksheet 1B. Worksheet 1B provides a description of the adjustment, basis of adjustment (cost or amount received), dollar amount and the affected cost center(s).  Reductions to expenses are shown in brackets. </w:t>
      </w:r>
      <w:r w:rsidRPr="000851BE">
        <w:rPr>
          <w:b/>
          <w:sz w:val="22"/>
          <w:szCs w:val="22"/>
        </w:rPr>
        <w:t>(Transferred Home Office costs must agree with the amounts from DHCS 3089 or 3089.1 Home Office Cost Report - Schedule 6)</w:t>
      </w:r>
    </w:p>
    <w:p w14:paraId="58E5AA47" w14:textId="77777777" w:rsidR="00763B50" w:rsidRDefault="00763B50" w:rsidP="005D1BFF">
      <w:pPr>
        <w:pStyle w:val="PlainTextSubtitle"/>
        <w:spacing w:line="360" w:lineRule="auto"/>
        <w:rPr>
          <w:sz w:val="22"/>
          <w:szCs w:val="22"/>
        </w:rPr>
      </w:pPr>
    </w:p>
    <w:p w14:paraId="58E5AA48" w14:textId="77777777" w:rsidR="00C37B29" w:rsidRPr="000851BE" w:rsidRDefault="00C37B29" w:rsidP="005D1BFF">
      <w:pPr>
        <w:pStyle w:val="PlainTextSubtitle"/>
        <w:spacing w:line="360" w:lineRule="auto"/>
        <w:rPr>
          <w:sz w:val="22"/>
          <w:szCs w:val="22"/>
        </w:rPr>
      </w:pPr>
      <w:r w:rsidRPr="000851BE">
        <w:rPr>
          <w:sz w:val="22"/>
          <w:szCs w:val="22"/>
        </w:rPr>
        <w:t>WorkSheet 2: PARTS A &amp; B – DETERMINATION OF FQHC/RHC COSTS AND RATE PER VISIT</w:t>
      </w:r>
    </w:p>
    <w:p w14:paraId="58E5AA49" w14:textId="77777777" w:rsidR="00C37B29" w:rsidRDefault="00C37B29" w:rsidP="005D1BFF">
      <w:pPr>
        <w:pStyle w:val="PlainText"/>
        <w:spacing w:after="120" w:line="360" w:lineRule="auto"/>
        <w:jc w:val="left"/>
        <w:rPr>
          <w:sz w:val="22"/>
          <w:szCs w:val="22"/>
        </w:rPr>
      </w:pPr>
      <w:r w:rsidRPr="000851BE">
        <w:rPr>
          <w:sz w:val="22"/>
          <w:szCs w:val="22"/>
        </w:rPr>
        <w:t>This worksheet is used to determine the total costs of health care services and to determine the PPS reimbursement rate.</w:t>
      </w:r>
      <w:r>
        <w:rPr>
          <w:sz w:val="22"/>
          <w:szCs w:val="22"/>
        </w:rPr>
        <w:t xml:space="preserve">  The numbers used in this Worksheet flow from other Worksheet.  Once all of the Worksheets are completed, this schedule will be automatically calculated due to formulas contained in the Worksheet.</w:t>
      </w:r>
    </w:p>
    <w:p w14:paraId="58E5AA4A" w14:textId="77777777" w:rsidR="005D1BFF" w:rsidRDefault="005D1BFF" w:rsidP="005D1BFF">
      <w:pPr>
        <w:pStyle w:val="PlainTextSubtitle"/>
        <w:rPr>
          <w:sz w:val="22"/>
          <w:szCs w:val="22"/>
        </w:rPr>
      </w:pPr>
    </w:p>
    <w:p w14:paraId="58E5AA4B" w14:textId="77777777" w:rsidR="00C37B29" w:rsidRPr="000851BE" w:rsidRDefault="00C37B29" w:rsidP="005D1BFF">
      <w:pPr>
        <w:pStyle w:val="PlainTextSubtitle"/>
        <w:spacing w:line="360" w:lineRule="auto"/>
        <w:rPr>
          <w:sz w:val="22"/>
          <w:szCs w:val="22"/>
        </w:rPr>
      </w:pPr>
      <w:r w:rsidRPr="000851BE">
        <w:rPr>
          <w:sz w:val="22"/>
          <w:szCs w:val="22"/>
        </w:rPr>
        <w:t>Part A (Lines 1–8)</w:t>
      </w:r>
    </w:p>
    <w:p w14:paraId="58E5AA4C" w14:textId="77777777" w:rsidR="00C37B29" w:rsidRPr="000851BE" w:rsidRDefault="00C37B29" w:rsidP="005D1BFF">
      <w:pPr>
        <w:pStyle w:val="PlainText"/>
        <w:spacing w:after="120" w:line="360" w:lineRule="auto"/>
        <w:jc w:val="left"/>
        <w:rPr>
          <w:sz w:val="22"/>
          <w:szCs w:val="22"/>
        </w:rPr>
      </w:pPr>
      <w:r w:rsidRPr="000851BE">
        <w:rPr>
          <w:sz w:val="22"/>
          <w:szCs w:val="22"/>
        </w:rPr>
        <w:t>The purpose of this section is to allocate overhead cost (capital and administrative) reported on Worksheet 1, Page 2, line 5</w:t>
      </w:r>
      <w:r w:rsidR="00A2345B">
        <w:rPr>
          <w:sz w:val="22"/>
          <w:szCs w:val="22"/>
        </w:rPr>
        <w:t>5</w:t>
      </w:r>
      <w:r w:rsidRPr="000851BE">
        <w:rPr>
          <w:sz w:val="22"/>
          <w:szCs w:val="22"/>
        </w:rPr>
        <w:t xml:space="preserve"> to the FQHC/RHC Health Care Services Costs and Nonreimbursable Cost centers.  Costs are allocated based to each component based on percentage of total costs (excluding overhead). </w:t>
      </w:r>
    </w:p>
    <w:p w14:paraId="58E5AA4D" w14:textId="77777777" w:rsidR="005D1BFF" w:rsidRDefault="005D1BFF" w:rsidP="005D1BFF">
      <w:pPr>
        <w:pStyle w:val="PlainTextSubtitle"/>
        <w:rPr>
          <w:sz w:val="22"/>
          <w:szCs w:val="22"/>
        </w:rPr>
      </w:pPr>
    </w:p>
    <w:p w14:paraId="58E5AA4E" w14:textId="77777777" w:rsidR="00C37B29" w:rsidRPr="000851BE" w:rsidRDefault="00C37B29" w:rsidP="005D1BFF">
      <w:pPr>
        <w:pStyle w:val="PlainTextSubtitle"/>
        <w:spacing w:line="360" w:lineRule="auto"/>
        <w:rPr>
          <w:sz w:val="22"/>
          <w:szCs w:val="22"/>
        </w:rPr>
      </w:pPr>
      <w:r w:rsidRPr="000851BE">
        <w:rPr>
          <w:sz w:val="22"/>
          <w:szCs w:val="22"/>
        </w:rPr>
        <w:t>Part B (Lines 1–5)</w:t>
      </w:r>
    </w:p>
    <w:p w14:paraId="58E5AA4F" w14:textId="77777777" w:rsidR="00C37B29" w:rsidRPr="000851BE" w:rsidRDefault="00C37B29" w:rsidP="005D1BFF">
      <w:pPr>
        <w:pStyle w:val="PlainText"/>
        <w:spacing w:after="120" w:line="360" w:lineRule="auto"/>
        <w:jc w:val="left"/>
        <w:rPr>
          <w:sz w:val="22"/>
          <w:szCs w:val="22"/>
        </w:rPr>
      </w:pPr>
      <w:r w:rsidRPr="000851BE">
        <w:rPr>
          <w:sz w:val="22"/>
          <w:szCs w:val="22"/>
        </w:rPr>
        <w:t xml:space="preserve">The purpose of this section is to determine the FQHC/RHC PPS rate per visit payable by the Medi-Cal program.  The PPS rate is computed by dividing the total reimbursable costs computed in PART A, by total reimbursable visits from Worksheet 6 per the provider's records in accordance with </w:t>
      </w:r>
      <w:r w:rsidRPr="000851BE">
        <w:rPr>
          <w:b/>
          <w:sz w:val="22"/>
          <w:szCs w:val="22"/>
        </w:rPr>
        <w:t>CMS Pub 100-04, Sec. 40.3</w:t>
      </w:r>
      <w:r w:rsidRPr="000851BE">
        <w:rPr>
          <w:sz w:val="22"/>
          <w:szCs w:val="22"/>
        </w:rPr>
        <w:t>. Total visits include all visits for all payor types meeting the definition of a “visit” as outlined below REGARDLESS of whether such visits were billed and/or paid. The same definition for patient visits must be used for both billing and rate setting purposes.</w:t>
      </w:r>
    </w:p>
    <w:p w14:paraId="58E5AA50" w14:textId="77777777" w:rsidR="00C37B29" w:rsidRPr="000851BE" w:rsidRDefault="00C37B29" w:rsidP="005D1BFF">
      <w:pPr>
        <w:spacing w:line="360" w:lineRule="auto"/>
        <w:ind w:left="720" w:hanging="720"/>
        <w:rPr>
          <w:rFonts w:ascii="Arial" w:hAnsi="Arial"/>
          <w:sz w:val="22"/>
          <w:szCs w:val="22"/>
        </w:rPr>
      </w:pPr>
      <w:r w:rsidRPr="000851BE">
        <w:rPr>
          <w:rFonts w:ascii="Arial" w:hAnsi="Arial"/>
          <w:sz w:val="22"/>
          <w:szCs w:val="22"/>
        </w:rPr>
        <w:t>A “visit” for purposes of reimbursing FQHC/RHC services is based on the following:</w:t>
      </w:r>
    </w:p>
    <w:p w14:paraId="58E5AA51" w14:textId="77777777" w:rsidR="00C37B29" w:rsidRPr="000851BE" w:rsidRDefault="00C37B29" w:rsidP="005D1BFF">
      <w:pPr>
        <w:pStyle w:val="Footer"/>
        <w:tabs>
          <w:tab w:val="clear" w:pos="4320"/>
          <w:tab w:val="clear" w:pos="8640"/>
        </w:tabs>
        <w:spacing w:line="360" w:lineRule="auto"/>
        <w:rPr>
          <w:sz w:val="22"/>
          <w:szCs w:val="22"/>
        </w:rPr>
      </w:pPr>
    </w:p>
    <w:p w14:paraId="58E5AA52" w14:textId="2DF6CE93" w:rsidR="00C37B29" w:rsidRPr="000851BE" w:rsidRDefault="00C37B29" w:rsidP="005D1BFF">
      <w:pPr>
        <w:spacing w:line="360" w:lineRule="auto"/>
        <w:ind w:left="1440" w:hanging="720"/>
        <w:rPr>
          <w:rFonts w:ascii="Arial" w:hAnsi="Arial"/>
          <w:sz w:val="22"/>
          <w:szCs w:val="22"/>
        </w:rPr>
      </w:pPr>
      <w:r w:rsidRPr="000851BE">
        <w:rPr>
          <w:rFonts w:ascii="Arial" w:hAnsi="Arial"/>
          <w:sz w:val="22"/>
          <w:szCs w:val="22"/>
        </w:rPr>
        <w:lastRenderedPageBreak/>
        <w:t>(a)</w:t>
      </w:r>
      <w:r w:rsidRPr="000851BE">
        <w:rPr>
          <w:rFonts w:ascii="Arial" w:hAnsi="Arial"/>
          <w:sz w:val="22"/>
          <w:szCs w:val="22"/>
        </w:rPr>
        <w:tab/>
        <w:t>A face-to-face encounter between an FQHC or RHC patient and a physician, physician assistant, nurse practitioner, certified nurse midwife, clinical psychologist, licensed clinical social worker, or visiting nurse, hereafter referred to as a “health professional,” to the extent the services are reimbursable</w:t>
      </w:r>
      <w:r w:rsidRPr="000851BE">
        <w:rPr>
          <w:rFonts w:ascii="Arial" w:hAnsi="Arial"/>
          <w:sz w:val="22"/>
          <w:szCs w:val="22"/>
          <w:u w:val="single"/>
        </w:rPr>
        <w:t xml:space="preserve"> as covered benefits described in section 1905(a)(2)(C) of the Social Security Act (the Act) that are furnished by an FQHC or services described in section 1905(a)(2)(B) of the Act that are furnished by an RHC.</w:t>
      </w:r>
      <w:r w:rsidRPr="000851BE">
        <w:rPr>
          <w:rFonts w:ascii="Arial" w:hAnsi="Arial"/>
          <w:sz w:val="22"/>
          <w:szCs w:val="22"/>
        </w:rPr>
        <w:t xml:space="preserve">  The definition of “physician” includes the following:</w:t>
      </w:r>
    </w:p>
    <w:p w14:paraId="58E5AA53" w14:textId="77777777" w:rsidR="00C37B29" w:rsidRPr="000851BE" w:rsidRDefault="00C37B29" w:rsidP="005D1BFF">
      <w:pPr>
        <w:spacing w:line="360" w:lineRule="auto"/>
        <w:rPr>
          <w:rFonts w:ascii="Arial" w:hAnsi="Arial"/>
          <w:sz w:val="22"/>
          <w:szCs w:val="22"/>
        </w:rPr>
      </w:pPr>
    </w:p>
    <w:p w14:paraId="58E5AA54" w14:textId="77777777" w:rsidR="00C37B29" w:rsidRPr="000851BE" w:rsidRDefault="00C37B29" w:rsidP="005D1BFF">
      <w:pPr>
        <w:spacing w:line="360" w:lineRule="auto"/>
        <w:ind w:left="2160" w:hanging="720"/>
        <w:rPr>
          <w:rFonts w:ascii="Arial" w:hAnsi="Arial"/>
          <w:sz w:val="22"/>
          <w:szCs w:val="22"/>
        </w:rPr>
      </w:pPr>
      <w:r w:rsidRPr="000851BE">
        <w:rPr>
          <w:rFonts w:ascii="Arial" w:hAnsi="Arial"/>
          <w:sz w:val="22"/>
          <w:szCs w:val="22"/>
        </w:rPr>
        <w:t>(</w:t>
      </w:r>
      <w:proofErr w:type="spellStart"/>
      <w:r w:rsidRPr="000851BE">
        <w:rPr>
          <w:rFonts w:ascii="Arial" w:hAnsi="Arial"/>
          <w:sz w:val="22"/>
          <w:szCs w:val="22"/>
        </w:rPr>
        <w:t>i</w:t>
      </w:r>
      <w:proofErr w:type="spellEnd"/>
      <w:r w:rsidRPr="000851BE">
        <w:rPr>
          <w:rFonts w:ascii="Arial" w:hAnsi="Arial"/>
          <w:sz w:val="22"/>
          <w:szCs w:val="22"/>
        </w:rPr>
        <w:t>)</w:t>
      </w:r>
      <w:r w:rsidRPr="000851BE">
        <w:rPr>
          <w:rFonts w:ascii="Arial" w:hAnsi="Arial"/>
          <w:sz w:val="22"/>
          <w:szCs w:val="22"/>
        </w:rPr>
        <w:tab/>
        <w:t xml:space="preserve">A doctor of medicine or osteopathy authorized to practice medicine and surgery by the State and who is acting within the scope of his/her license. </w:t>
      </w:r>
    </w:p>
    <w:p w14:paraId="58E5AA55" w14:textId="0D8A714D" w:rsidR="00C37B29" w:rsidRPr="000851BE" w:rsidRDefault="00C37B29" w:rsidP="005D1BFF">
      <w:pPr>
        <w:spacing w:line="360" w:lineRule="auto"/>
        <w:rPr>
          <w:rFonts w:ascii="Arial" w:hAnsi="Arial"/>
          <w:sz w:val="22"/>
          <w:szCs w:val="22"/>
        </w:rPr>
      </w:pPr>
    </w:p>
    <w:p w14:paraId="58E5AA56" w14:textId="77777777" w:rsidR="00C37B29" w:rsidRPr="000851BE" w:rsidRDefault="00C37B29" w:rsidP="005D1BFF">
      <w:pPr>
        <w:numPr>
          <w:ilvl w:val="0"/>
          <w:numId w:val="38"/>
        </w:numPr>
        <w:spacing w:line="360" w:lineRule="auto"/>
        <w:rPr>
          <w:rFonts w:ascii="Arial" w:hAnsi="Arial"/>
          <w:sz w:val="22"/>
          <w:szCs w:val="22"/>
        </w:rPr>
      </w:pPr>
      <w:r w:rsidRPr="000851BE">
        <w:rPr>
          <w:rFonts w:ascii="Arial" w:hAnsi="Arial"/>
          <w:sz w:val="22"/>
          <w:szCs w:val="22"/>
        </w:rPr>
        <w:t>A doctor of podiatry authorized to practice podiatric medicine by the State and who is acting within the scope of his/her license.</w:t>
      </w:r>
    </w:p>
    <w:p w14:paraId="58E5AA57" w14:textId="77777777" w:rsidR="00C37B29" w:rsidRPr="000851BE" w:rsidRDefault="00C37B29" w:rsidP="005D1BFF">
      <w:pPr>
        <w:spacing w:line="360" w:lineRule="auto"/>
        <w:ind w:left="2160"/>
        <w:rPr>
          <w:rFonts w:ascii="Arial" w:hAnsi="Arial"/>
          <w:sz w:val="22"/>
          <w:szCs w:val="22"/>
        </w:rPr>
      </w:pPr>
    </w:p>
    <w:p w14:paraId="58E5AA58" w14:textId="77777777" w:rsidR="00C37B29" w:rsidRPr="000851BE" w:rsidRDefault="00C37B29" w:rsidP="005D1BFF">
      <w:pPr>
        <w:numPr>
          <w:ilvl w:val="0"/>
          <w:numId w:val="38"/>
        </w:numPr>
        <w:spacing w:line="360" w:lineRule="auto"/>
        <w:rPr>
          <w:rFonts w:ascii="Arial" w:hAnsi="Arial"/>
          <w:sz w:val="22"/>
          <w:szCs w:val="22"/>
        </w:rPr>
      </w:pPr>
      <w:r w:rsidRPr="000851BE">
        <w:rPr>
          <w:rFonts w:ascii="Arial" w:hAnsi="Arial"/>
          <w:sz w:val="22"/>
          <w:szCs w:val="22"/>
        </w:rPr>
        <w:t>A doctor of optometry authorized to practice optometry by the State and who is acting within the scope of his/her license.</w:t>
      </w:r>
    </w:p>
    <w:p w14:paraId="58E5AA59" w14:textId="77777777" w:rsidR="00C37B29" w:rsidRPr="000851BE" w:rsidRDefault="00C37B29" w:rsidP="005D1BFF">
      <w:pPr>
        <w:spacing w:line="360" w:lineRule="auto"/>
        <w:rPr>
          <w:rFonts w:ascii="Arial" w:hAnsi="Arial"/>
          <w:sz w:val="22"/>
          <w:szCs w:val="22"/>
        </w:rPr>
      </w:pPr>
    </w:p>
    <w:p w14:paraId="58E5AA5A" w14:textId="77777777" w:rsidR="00C37B29" w:rsidRPr="000851BE" w:rsidRDefault="00C37B29" w:rsidP="005D1BFF">
      <w:pPr>
        <w:numPr>
          <w:ilvl w:val="0"/>
          <w:numId w:val="38"/>
        </w:numPr>
        <w:spacing w:line="360" w:lineRule="auto"/>
        <w:rPr>
          <w:rFonts w:ascii="Arial" w:hAnsi="Arial"/>
          <w:sz w:val="22"/>
          <w:szCs w:val="22"/>
        </w:rPr>
      </w:pPr>
      <w:r w:rsidRPr="000851BE">
        <w:rPr>
          <w:rFonts w:ascii="Arial" w:hAnsi="Arial"/>
          <w:sz w:val="22"/>
          <w:szCs w:val="22"/>
        </w:rPr>
        <w:t>A doctor authorized to administer chiropractic services by the State and who is acting within the scope of his/her license.</w:t>
      </w:r>
    </w:p>
    <w:p w14:paraId="58E5AA5B" w14:textId="77777777" w:rsidR="00C37B29" w:rsidRPr="000851BE" w:rsidRDefault="00C37B29" w:rsidP="005D1BFF">
      <w:pPr>
        <w:spacing w:line="360" w:lineRule="auto"/>
        <w:ind w:left="1440"/>
        <w:rPr>
          <w:rFonts w:ascii="Arial" w:hAnsi="Arial"/>
          <w:sz w:val="22"/>
          <w:szCs w:val="22"/>
        </w:rPr>
      </w:pPr>
    </w:p>
    <w:p w14:paraId="58E5AA5C" w14:textId="77777777" w:rsidR="00C37B29" w:rsidRPr="000851BE" w:rsidRDefault="00C37B29" w:rsidP="005D1BFF">
      <w:pPr>
        <w:numPr>
          <w:ilvl w:val="0"/>
          <w:numId w:val="38"/>
        </w:numPr>
        <w:spacing w:line="360" w:lineRule="auto"/>
        <w:rPr>
          <w:rFonts w:ascii="Arial" w:hAnsi="Arial"/>
          <w:sz w:val="22"/>
          <w:szCs w:val="22"/>
        </w:rPr>
      </w:pPr>
      <w:r w:rsidRPr="000851BE">
        <w:rPr>
          <w:rFonts w:ascii="Arial" w:hAnsi="Arial"/>
          <w:sz w:val="22"/>
          <w:szCs w:val="22"/>
        </w:rPr>
        <w:t>A doctor of dental surgery (dentist) authorized to practice dentistry by the State and who is acting within the scope of his/her license.</w:t>
      </w:r>
    </w:p>
    <w:p w14:paraId="58E5AA5D" w14:textId="77777777" w:rsidR="00C37B29" w:rsidRPr="000851BE" w:rsidRDefault="00C37B29" w:rsidP="005D1BFF">
      <w:pPr>
        <w:spacing w:line="360" w:lineRule="auto"/>
        <w:ind w:left="1440"/>
        <w:rPr>
          <w:rFonts w:ascii="Arial" w:hAnsi="Arial"/>
          <w:sz w:val="22"/>
          <w:szCs w:val="22"/>
        </w:rPr>
      </w:pPr>
    </w:p>
    <w:p w14:paraId="58E5AA5E" w14:textId="77777777" w:rsidR="00C37B29" w:rsidRPr="000851BE" w:rsidRDefault="00C37B29" w:rsidP="005D1BFF">
      <w:pPr>
        <w:spacing w:line="360" w:lineRule="auto"/>
        <w:ind w:left="1440"/>
        <w:rPr>
          <w:rFonts w:ascii="Arial" w:hAnsi="Arial"/>
          <w:sz w:val="22"/>
          <w:szCs w:val="22"/>
        </w:rPr>
      </w:pPr>
      <w:r w:rsidRPr="000851BE">
        <w:rPr>
          <w:rFonts w:ascii="Arial" w:hAnsi="Arial"/>
          <w:sz w:val="22"/>
          <w:szCs w:val="22"/>
        </w:rPr>
        <w:t xml:space="preserve">Inclusion of a professional category within the term “physician” is for the purpose of defining the professionals whose services are reimbursable on a per visit basis, and not for the purpose of defining the types of services that these professionals may render during a visit (subject to the appropriate license).  </w:t>
      </w:r>
    </w:p>
    <w:p w14:paraId="58E5AA5F" w14:textId="77777777" w:rsidR="00C37B29" w:rsidRPr="000851BE" w:rsidRDefault="00C37B29" w:rsidP="005D1BFF">
      <w:pPr>
        <w:spacing w:line="360" w:lineRule="auto"/>
        <w:ind w:left="1440" w:hanging="720"/>
        <w:rPr>
          <w:rFonts w:ascii="Arial" w:hAnsi="Arial"/>
          <w:sz w:val="22"/>
          <w:szCs w:val="22"/>
        </w:rPr>
      </w:pPr>
    </w:p>
    <w:p w14:paraId="58E5AA60" w14:textId="77777777" w:rsidR="00C37B29" w:rsidRPr="000851BE" w:rsidRDefault="00C37B29" w:rsidP="005D1BFF">
      <w:pPr>
        <w:spacing w:line="360" w:lineRule="auto"/>
        <w:ind w:left="1440" w:hanging="720"/>
        <w:rPr>
          <w:rFonts w:ascii="Arial" w:hAnsi="Arial"/>
          <w:sz w:val="22"/>
          <w:szCs w:val="22"/>
        </w:rPr>
      </w:pPr>
      <w:r w:rsidRPr="000851BE">
        <w:rPr>
          <w:rFonts w:ascii="Arial" w:hAnsi="Arial"/>
          <w:sz w:val="22"/>
          <w:szCs w:val="22"/>
        </w:rPr>
        <w:t>(b)</w:t>
      </w:r>
      <w:r w:rsidRPr="000851BE">
        <w:rPr>
          <w:rFonts w:ascii="Arial" w:hAnsi="Arial"/>
          <w:sz w:val="22"/>
          <w:szCs w:val="22"/>
        </w:rPr>
        <w:tab/>
        <w:t xml:space="preserve">Comprehensive perinatal services when provided by a comprehensive perinatal services practitioner as defined in the California Code of Regulations, title 22, </w:t>
      </w:r>
      <w:r w:rsidRPr="000851BE">
        <w:rPr>
          <w:rFonts w:ascii="Arial" w:hAnsi="Arial"/>
          <w:sz w:val="22"/>
          <w:szCs w:val="22"/>
        </w:rPr>
        <w:lastRenderedPageBreak/>
        <w:t>Section 51179.7.</w:t>
      </w:r>
    </w:p>
    <w:p w14:paraId="58E5AA61" w14:textId="77777777" w:rsidR="00C37B29" w:rsidRPr="000851BE" w:rsidRDefault="00C37B29" w:rsidP="005D1BFF">
      <w:pPr>
        <w:spacing w:line="360" w:lineRule="auto"/>
        <w:rPr>
          <w:rFonts w:ascii="Arial" w:hAnsi="Arial"/>
          <w:sz w:val="22"/>
          <w:szCs w:val="22"/>
        </w:rPr>
      </w:pPr>
    </w:p>
    <w:p w14:paraId="58E5AA62" w14:textId="01A2959B" w:rsidR="00C37B29" w:rsidRPr="000851BE" w:rsidRDefault="00C37B29" w:rsidP="005D1BFF">
      <w:pPr>
        <w:spacing w:line="360" w:lineRule="auto"/>
        <w:ind w:left="720"/>
        <w:rPr>
          <w:rFonts w:ascii="Arial" w:hAnsi="Arial"/>
          <w:sz w:val="22"/>
          <w:szCs w:val="22"/>
        </w:rPr>
      </w:pPr>
      <w:r w:rsidRPr="000851BE">
        <w:rPr>
          <w:rFonts w:ascii="Arial" w:hAnsi="Arial"/>
          <w:sz w:val="22"/>
          <w:szCs w:val="22"/>
        </w:rPr>
        <w:t>Encounters with more than one health professional and multiple encounters with the same health professional, which take place on the same day and at a single location, constitute a single visit.  More than one visit may be counted on the same day (which may be at a different location) in either of the following situations:</w:t>
      </w:r>
    </w:p>
    <w:p w14:paraId="58E5AA63" w14:textId="77777777" w:rsidR="00C37B29" w:rsidRPr="000851BE" w:rsidRDefault="00C37B29" w:rsidP="005D1BFF">
      <w:pPr>
        <w:spacing w:line="360" w:lineRule="auto"/>
        <w:rPr>
          <w:rFonts w:ascii="Arial" w:hAnsi="Arial"/>
          <w:sz w:val="22"/>
          <w:szCs w:val="22"/>
        </w:rPr>
      </w:pPr>
    </w:p>
    <w:p w14:paraId="58E5AA64" w14:textId="77777777" w:rsidR="00C37B29" w:rsidRPr="000851BE" w:rsidRDefault="00C37B29" w:rsidP="005D1BFF">
      <w:pPr>
        <w:spacing w:line="360" w:lineRule="auto"/>
        <w:ind w:left="1440"/>
        <w:rPr>
          <w:rFonts w:ascii="Arial" w:hAnsi="Arial"/>
          <w:sz w:val="22"/>
          <w:szCs w:val="22"/>
        </w:rPr>
      </w:pPr>
      <w:r w:rsidRPr="000851BE">
        <w:rPr>
          <w:rFonts w:ascii="Arial" w:hAnsi="Arial"/>
          <w:sz w:val="22"/>
          <w:szCs w:val="22"/>
        </w:rPr>
        <w:t>(A)</w:t>
      </w:r>
      <w:r w:rsidRPr="000851BE">
        <w:rPr>
          <w:rFonts w:ascii="Arial" w:hAnsi="Arial"/>
          <w:sz w:val="22"/>
          <w:szCs w:val="22"/>
        </w:rPr>
        <w:tab/>
        <w:t>When the clinic patient, after the first visit, suffers illness or injury requiring another diagnosis or treatment then two visits may be counted.</w:t>
      </w:r>
    </w:p>
    <w:p w14:paraId="58E5AA65" w14:textId="77777777" w:rsidR="00C37B29" w:rsidRPr="000851BE" w:rsidRDefault="00C37B29" w:rsidP="005D1BFF">
      <w:pPr>
        <w:pStyle w:val="Footer"/>
        <w:tabs>
          <w:tab w:val="clear" w:pos="4320"/>
          <w:tab w:val="clear" w:pos="8640"/>
        </w:tabs>
        <w:spacing w:line="360" w:lineRule="auto"/>
        <w:rPr>
          <w:rFonts w:ascii="Arial" w:hAnsi="Arial"/>
          <w:sz w:val="22"/>
          <w:szCs w:val="22"/>
        </w:rPr>
      </w:pPr>
    </w:p>
    <w:p w14:paraId="58E5AA66" w14:textId="77777777" w:rsidR="00C37B29" w:rsidRPr="000851BE" w:rsidRDefault="00C37B29" w:rsidP="005D1BFF">
      <w:pPr>
        <w:spacing w:line="360" w:lineRule="auto"/>
        <w:ind w:left="1440"/>
        <w:rPr>
          <w:sz w:val="22"/>
          <w:szCs w:val="22"/>
        </w:rPr>
      </w:pPr>
      <w:r w:rsidRPr="000851BE">
        <w:rPr>
          <w:rFonts w:ascii="Arial" w:hAnsi="Arial"/>
          <w:sz w:val="22"/>
          <w:szCs w:val="22"/>
        </w:rPr>
        <w:t>(B)</w:t>
      </w:r>
      <w:r w:rsidRPr="000851BE">
        <w:rPr>
          <w:rFonts w:ascii="Arial" w:hAnsi="Arial"/>
          <w:sz w:val="22"/>
          <w:szCs w:val="22"/>
        </w:rPr>
        <w:tab/>
        <w:t>The clinic patient is seen by a dentist or registered dental hygienist and sees any one of the following providers: physician (as defined above in PART B (a)(</w:t>
      </w:r>
      <w:proofErr w:type="spellStart"/>
      <w:r w:rsidRPr="000851BE">
        <w:rPr>
          <w:rFonts w:ascii="Arial" w:hAnsi="Arial"/>
          <w:sz w:val="22"/>
          <w:szCs w:val="22"/>
        </w:rPr>
        <w:t>i</w:t>
      </w:r>
      <w:proofErr w:type="spellEnd"/>
      <w:r w:rsidRPr="000851BE">
        <w:rPr>
          <w:rFonts w:ascii="Arial" w:hAnsi="Arial"/>
          <w:sz w:val="22"/>
          <w:szCs w:val="22"/>
        </w:rPr>
        <w:t>)-(v)), physician assistant, nurse practitioner, certified nurse midwife, clinical psychologist, licensed clinical social worker, visiting nurse, or comprehensive perinatal services practitioner.</w:t>
      </w:r>
    </w:p>
    <w:p w14:paraId="58E5AA67" w14:textId="77777777" w:rsidR="00C37B29" w:rsidRPr="000851BE" w:rsidRDefault="00C37B29" w:rsidP="005D1BFF">
      <w:pPr>
        <w:spacing w:line="360" w:lineRule="auto"/>
        <w:rPr>
          <w:rFonts w:ascii="Arial" w:hAnsi="Arial"/>
          <w:b/>
          <w:sz w:val="22"/>
          <w:szCs w:val="22"/>
        </w:rPr>
      </w:pPr>
    </w:p>
    <w:p w14:paraId="58E5AA68" w14:textId="77777777" w:rsidR="00C37B29" w:rsidRPr="000851BE" w:rsidRDefault="00C37B29" w:rsidP="005D1BFF">
      <w:pPr>
        <w:spacing w:line="360" w:lineRule="auto"/>
        <w:rPr>
          <w:rFonts w:ascii="Arial" w:hAnsi="Arial"/>
          <w:sz w:val="22"/>
          <w:szCs w:val="22"/>
        </w:rPr>
      </w:pPr>
      <w:r w:rsidRPr="000851BE">
        <w:rPr>
          <w:rFonts w:ascii="Arial" w:hAnsi="Arial"/>
          <w:sz w:val="22"/>
          <w:szCs w:val="22"/>
        </w:rPr>
        <w:t xml:space="preserve">Line 1: </w:t>
      </w:r>
      <w:r w:rsidR="009805FE">
        <w:rPr>
          <w:rFonts w:ascii="Arial" w:hAnsi="Arial"/>
          <w:sz w:val="22"/>
          <w:szCs w:val="22"/>
        </w:rPr>
        <w:t xml:space="preserve"> </w:t>
      </w:r>
      <w:r w:rsidR="00147647">
        <w:rPr>
          <w:rFonts w:ascii="Arial" w:hAnsi="Arial"/>
          <w:sz w:val="22"/>
          <w:szCs w:val="22"/>
        </w:rPr>
        <w:t>Reimbursable FQHC/RHC costs (Part</w:t>
      </w:r>
      <w:r w:rsidRPr="000851BE">
        <w:rPr>
          <w:rFonts w:ascii="Arial" w:hAnsi="Arial"/>
          <w:sz w:val="22"/>
          <w:szCs w:val="22"/>
        </w:rPr>
        <w:t xml:space="preserve"> A, line 8)</w:t>
      </w:r>
    </w:p>
    <w:p w14:paraId="58E5AA69" w14:textId="77777777" w:rsidR="00C37B29" w:rsidRPr="000851BE" w:rsidRDefault="00C37B29" w:rsidP="00A83ACA">
      <w:pPr>
        <w:pStyle w:val="Footer"/>
        <w:tabs>
          <w:tab w:val="clear" w:pos="4320"/>
          <w:tab w:val="clear" w:pos="8640"/>
        </w:tabs>
        <w:rPr>
          <w:rFonts w:ascii="Arial" w:hAnsi="Arial"/>
          <w:sz w:val="22"/>
          <w:szCs w:val="22"/>
        </w:rPr>
      </w:pPr>
    </w:p>
    <w:p w14:paraId="58E5AA6A" w14:textId="77777777" w:rsidR="00C37B29" w:rsidRPr="000851BE" w:rsidRDefault="00C37B29" w:rsidP="005D1BFF">
      <w:pPr>
        <w:spacing w:line="360" w:lineRule="auto"/>
        <w:rPr>
          <w:rFonts w:ascii="Arial" w:hAnsi="Arial"/>
          <w:sz w:val="22"/>
          <w:szCs w:val="22"/>
        </w:rPr>
      </w:pPr>
      <w:r w:rsidRPr="000851BE">
        <w:rPr>
          <w:rFonts w:ascii="Arial" w:hAnsi="Arial"/>
          <w:sz w:val="22"/>
          <w:szCs w:val="22"/>
        </w:rPr>
        <w:t xml:space="preserve">Line 2: </w:t>
      </w:r>
      <w:r w:rsidR="009805FE">
        <w:rPr>
          <w:rFonts w:ascii="Arial" w:hAnsi="Arial"/>
          <w:sz w:val="22"/>
          <w:szCs w:val="22"/>
        </w:rPr>
        <w:t xml:space="preserve"> </w:t>
      </w:r>
      <w:r w:rsidRPr="000851BE">
        <w:rPr>
          <w:rFonts w:ascii="Arial" w:hAnsi="Arial"/>
          <w:sz w:val="22"/>
          <w:szCs w:val="22"/>
        </w:rPr>
        <w:t>Total FQHC/RHC visits (as defined above) from Worksheet 6, column 5, line 2</w:t>
      </w:r>
      <w:r w:rsidR="00B4464C">
        <w:rPr>
          <w:rFonts w:ascii="Arial" w:hAnsi="Arial"/>
          <w:sz w:val="22"/>
          <w:szCs w:val="22"/>
        </w:rPr>
        <w:t>0</w:t>
      </w:r>
      <w:r w:rsidRPr="000851BE">
        <w:rPr>
          <w:rFonts w:ascii="Arial" w:hAnsi="Arial"/>
          <w:sz w:val="22"/>
          <w:szCs w:val="22"/>
        </w:rPr>
        <w:t>.</w:t>
      </w:r>
    </w:p>
    <w:p w14:paraId="58E5AA6B" w14:textId="77777777" w:rsidR="00C37B29" w:rsidRPr="000851BE" w:rsidRDefault="00C37B29" w:rsidP="00A83ACA">
      <w:pPr>
        <w:rPr>
          <w:rFonts w:ascii="Arial" w:hAnsi="Arial"/>
          <w:sz w:val="22"/>
          <w:szCs w:val="22"/>
        </w:rPr>
      </w:pPr>
    </w:p>
    <w:p w14:paraId="58E5AA6C" w14:textId="77777777" w:rsidR="00C37B29" w:rsidRDefault="00C37B29" w:rsidP="00A2345B">
      <w:pPr>
        <w:pStyle w:val="BodyText2"/>
        <w:spacing w:line="360" w:lineRule="auto"/>
        <w:rPr>
          <w:sz w:val="22"/>
          <w:szCs w:val="22"/>
        </w:rPr>
      </w:pPr>
      <w:r w:rsidRPr="009805FE">
        <w:rPr>
          <w:strike w:val="0"/>
          <w:color w:val="auto"/>
          <w:sz w:val="22"/>
          <w:szCs w:val="22"/>
        </w:rPr>
        <w:t xml:space="preserve">Line 3: </w:t>
      </w:r>
      <w:r w:rsidR="009805FE">
        <w:rPr>
          <w:strike w:val="0"/>
          <w:color w:val="auto"/>
          <w:sz w:val="22"/>
          <w:szCs w:val="22"/>
        </w:rPr>
        <w:t xml:space="preserve"> </w:t>
      </w:r>
      <w:r w:rsidR="00147647" w:rsidRPr="00A2345B">
        <w:rPr>
          <w:strike w:val="0"/>
          <w:color w:val="000000" w:themeColor="text1"/>
          <w:sz w:val="22"/>
          <w:szCs w:val="22"/>
        </w:rPr>
        <w:t>FQHC/RHC PPS rate per visit (Part B, line 1 divided by Part</w:t>
      </w:r>
      <w:r w:rsidRPr="00A2345B">
        <w:rPr>
          <w:strike w:val="0"/>
          <w:color w:val="000000" w:themeColor="text1"/>
          <w:sz w:val="22"/>
          <w:szCs w:val="22"/>
        </w:rPr>
        <w:t xml:space="preserve"> B, line 4)</w:t>
      </w:r>
    </w:p>
    <w:p w14:paraId="58E5AA6D" w14:textId="5964BCC8" w:rsidR="00551C94" w:rsidRPr="006D061D" w:rsidRDefault="00551C94" w:rsidP="005D1BFF">
      <w:pPr>
        <w:rPr>
          <w:rFonts w:ascii="Arial" w:hAnsi="Arial" w:cs="Arial"/>
          <w:b/>
          <w:sz w:val="22"/>
          <w:szCs w:val="22"/>
        </w:rPr>
      </w:pPr>
    </w:p>
    <w:p w14:paraId="58E5AA6E" w14:textId="16144B44" w:rsidR="00420239" w:rsidRPr="006D061D" w:rsidRDefault="00420239" w:rsidP="005D1BFF">
      <w:pPr>
        <w:spacing w:line="360" w:lineRule="auto"/>
        <w:rPr>
          <w:rFonts w:ascii="Arial" w:hAnsi="Arial" w:cs="Arial"/>
          <w:b/>
          <w:sz w:val="22"/>
          <w:szCs w:val="22"/>
        </w:rPr>
      </w:pPr>
      <w:r w:rsidRPr="006D061D">
        <w:rPr>
          <w:rFonts w:ascii="Arial" w:hAnsi="Arial" w:cs="Arial"/>
          <w:b/>
          <w:sz w:val="22"/>
          <w:szCs w:val="22"/>
        </w:rPr>
        <w:t xml:space="preserve">PART C </w:t>
      </w:r>
    </w:p>
    <w:p w14:paraId="58E5AA6F" w14:textId="0C1F3ADE" w:rsidR="00420239" w:rsidRPr="006D061D" w:rsidRDefault="00420239" w:rsidP="005D1BFF">
      <w:pPr>
        <w:spacing w:line="360" w:lineRule="auto"/>
        <w:rPr>
          <w:rFonts w:ascii="Arial" w:hAnsi="Arial" w:cs="Arial"/>
          <w:sz w:val="22"/>
          <w:szCs w:val="22"/>
        </w:rPr>
      </w:pPr>
      <w:r w:rsidRPr="006D061D">
        <w:rPr>
          <w:rFonts w:ascii="Arial" w:hAnsi="Arial" w:cs="Arial"/>
          <w:sz w:val="22"/>
          <w:szCs w:val="22"/>
        </w:rPr>
        <w:t>The purpose of this part is to determine the PPS rate adjustment where a clinic has experienced either an increase in the scope-of-service</w:t>
      </w:r>
      <w:r w:rsidR="00551C94" w:rsidRPr="006D061D">
        <w:rPr>
          <w:rFonts w:ascii="Arial" w:hAnsi="Arial" w:cs="Arial"/>
          <w:sz w:val="22"/>
          <w:szCs w:val="22"/>
        </w:rPr>
        <w:t xml:space="preserve"> change</w:t>
      </w:r>
      <w:r w:rsidRPr="006D061D">
        <w:rPr>
          <w:rFonts w:ascii="Arial" w:hAnsi="Arial" w:cs="Arial"/>
          <w:sz w:val="22"/>
          <w:szCs w:val="22"/>
        </w:rPr>
        <w:t xml:space="preserve"> only or a mixture that includes both increases and decreases during the reporting period. This section will compute a net change between the reported</w:t>
      </w:r>
      <w:r w:rsidR="00551C94" w:rsidRPr="006D061D">
        <w:rPr>
          <w:rFonts w:ascii="Arial" w:hAnsi="Arial" w:cs="Arial"/>
          <w:sz w:val="22"/>
          <w:szCs w:val="22"/>
        </w:rPr>
        <w:t xml:space="preserve"> cost per visit and the PPS current</w:t>
      </w:r>
      <w:r w:rsidRPr="006D061D">
        <w:rPr>
          <w:rFonts w:ascii="Arial" w:hAnsi="Arial" w:cs="Arial"/>
          <w:sz w:val="22"/>
          <w:szCs w:val="22"/>
        </w:rPr>
        <w:t xml:space="preserve"> rate. (Reductions to expenses should be shown in brackets.) The net change in the PPS rate must be equal to or exceed 1.75 percent in order to be eligible for a scope-of- service rate adjustment. </w:t>
      </w:r>
    </w:p>
    <w:p w14:paraId="58E5AA70" w14:textId="77777777" w:rsidR="0008283C" w:rsidRDefault="0008283C" w:rsidP="005D1BFF">
      <w:pPr>
        <w:spacing w:line="360" w:lineRule="auto"/>
        <w:rPr>
          <w:rFonts w:ascii="Arial" w:hAnsi="Arial" w:cs="Arial"/>
          <w:sz w:val="22"/>
          <w:szCs w:val="22"/>
        </w:rPr>
      </w:pPr>
    </w:p>
    <w:p w14:paraId="58E5AA71"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t xml:space="preserve">Line 1:  </w:t>
      </w:r>
      <w:r w:rsidR="00420239" w:rsidRPr="006D061D">
        <w:rPr>
          <w:rFonts w:ascii="Arial" w:hAnsi="Arial" w:cs="Arial"/>
          <w:sz w:val="22"/>
          <w:szCs w:val="22"/>
        </w:rPr>
        <w:t>FQHC/RHC cost</w:t>
      </w:r>
      <w:r w:rsidR="00147647">
        <w:rPr>
          <w:rFonts w:ascii="Arial" w:hAnsi="Arial" w:cs="Arial"/>
          <w:sz w:val="22"/>
          <w:szCs w:val="22"/>
        </w:rPr>
        <w:t xml:space="preserve"> per visit from Part</w:t>
      </w:r>
      <w:r w:rsidR="00420239" w:rsidRPr="006D061D">
        <w:rPr>
          <w:rFonts w:ascii="Arial" w:hAnsi="Arial" w:cs="Arial"/>
          <w:sz w:val="22"/>
          <w:szCs w:val="22"/>
        </w:rPr>
        <w:t xml:space="preserve"> B</w:t>
      </w:r>
      <w:r w:rsidR="00420239" w:rsidRPr="006D061D">
        <w:rPr>
          <w:rFonts w:ascii="Arial" w:hAnsi="Arial" w:cs="Arial"/>
          <w:color w:val="0000FF"/>
          <w:sz w:val="22"/>
          <w:szCs w:val="22"/>
        </w:rPr>
        <w:t xml:space="preserve">, </w:t>
      </w:r>
      <w:r w:rsidR="00A2345B">
        <w:rPr>
          <w:rFonts w:ascii="Arial" w:hAnsi="Arial" w:cs="Arial"/>
          <w:sz w:val="22"/>
          <w:szCs w:val="22"/>
        </w:rPr>
        <w:t>Line 3</w:t>
      </w:r>
      <w:r w:rsidR="00420239" w:rsidRPr="006D061D">
        <w:rPr>
          <w:rFonts w:ascii="Arial" w:hAnsi="Arial" w:cs="Arial"/>
          <w:sz w:val="22"/>
          <w:szCs w:val="22"/>
        </w:rPr>
        <w:t xml:space="preserve">. </w:t>
      </w:r>
    </w:p>
    <w:p w14:paraId="58E5AA72" w14:textId="77777777" w:rsidR="00551C94" w:rsidRPr="006D061D" w:rsidRDefault="00551C94" w:rsidP="00F67B3C">
      <w:pPr>
        <w:rPr>
          <w:rFonts w:ascii="Arial" w:hAnsi="Arial" w:cs="Arial"/>
          <w:sz w:val="22"/>
          <w:szCs w:val="22"/>
        </w:rPr>
      </w:pPr>
    </w:p>
    <w:p w14:paraId="58E5AA73" w14:textId="77777777" w:rsidR="00420239" w:rsidRPr="006D061D" w:rsidRDefault="009805FE" w:rsidP="005D1BFF">
      <w:pPr>
        <w:spacing w:line="360" w:lineRule="auto"/>
        <w:rPr>
          <w:rFonts w:ascii="Arial" w:hAnsi="Arial" w:cs="Arial"/>
          <w:b/>
          <w:sz w:val="22"/>
          <w:szCs w:val="22"/>
          <w:u w:val="single"/>
        </w:rPr>
      </w:pPr>
      <w:r>
        <w:rPr>
          <w:rFonts w:ascii="Arial" w:hAnsi="Arial" w:cs="Arial"/>
          <w:sz w:val="22"/>
          <w:szCs w:val="22"/>
        </w:rPr>
        <w:t xml:space="preserve">Line 2:  </w:t>
      </w:r>
      <w:r w:rsidR="00420239" w:rsidRPr="006D061D">
        <w:rPr>
          <w:rFonts w:ascii="Arial" w:hAnsi="Arial" w:cs="Arial"/>
          <w:sz w:val="22"/>
          <w:szCs w:val="22"/>
        </w:rPr>
        <w:t xml:space="preserve">Current PPS rate per visit. This is the PPS rate per visit in effect on the last day of the </w:t>
      </w:r>
      <w:r w:rsidR="00420239" w:rsidRPr="006D061D">
        <w:rPr>
          <w:rFonts w:ascii="Arial" w:hAnsi="Arial" w:cs="Arial"/>
          <w:sz w:val="22"/>
          <w:szCs w:val="22"/>
        </w:rPr>
        <w:lastRenderedPageBreak/>
        <w:t xml:space="preserve">reporting period during which the scope-of-service change occurred. </w:t>
      </w:r>
    </w:p>
    <w:p w14:paraId="58E5AA74" w14:textId="77777777" w:rsidR="00420239" w:rsidRPr="006D061D" w:rsidRDefault="00420239" w:rsidP="00F67B3C">
      <w:pPr>
        <w:rPr>
          <w:rFonts w:ascii="Arial" w:hAnsi="Arial" w:cs="Arial"/>
          <w:sz w:val="22"/>
          <w:szCs w:val="22"/>
        </w:rPr>
      </w:pPr>
    </w:p>
    <w:p w14:paraId="58E5AA75" w14:textId="77777777" w:rsidR="00420239" w:rsidRPr="006D061D" w:rsidRDefault="00420239" w:rsidP="005D1BFF">
      <w:pPr>
        <w:spacing w:line="360" w:lineRule="auto"/>
        <w:rPr>
          <w:rFonts w:ascii="Arial" w:hAnsi="Arial" w:cs="Arial"/>
          <w:sz w:val="22"/>
          <w:szCs w:val="22"/>
        </w:rPr>
      </w:pPr>
      <w:r w:rsidRPr="006D061D">
        <w:rPr>
          <w:rFonts w:ascii="Arial" w:hAnsi="Arial" w:cs="Arial"/>
          <w:sz w:val="22"/>
          <w:szCs w:val="22"/>
        </w:rPr>
        <w:t>Line 3</w:t>
      </w:r>
      <w:r w:rsidR="009805FE">
        <w:rPr>
          <w:rFonts w:ascii="Arial" w:hAnsi="Arial" w:cs="Arial"/>
          <w:sz w:val="22"/>
          <w:szCs w:val="22"/>
        </w:rPr>
        <w:t xml:space="preserve">:  </w:t>
      </w:r>
      <w:r w:rsidRPr="006D061D">
        <w:rPr>
          <w:rFonts w:ascii="Arial" w:hAnsi="Arial" w:cs="Arial"/>
          <w:sz w:val="22"/>
          <w:szCs w:val="22"/>
        </w:rPr>
        <w:t>FQHC/RHC net increase or decrease in rate. (Line 1 less Line 2)</w:t>
      </w:r>
    </w:p>
    <w:p w14:paraId="58E5AA76" w14:textId="77777777" w:rsidR="00420239" w:rsidRPr="006D061D" w:rsidRDefault="00420239" w:rsidP="00F67B3C">
      <w:pPr>
        <w:rPr>
          <w:rFonts w:ascii="Arial" w:hAnsi="Arial" w:cs="Arial"/>
          <w:sz w:val="22"/>
          <w:szCs w:val="22"/>
        </w:rPr>
      </w:pPr>
    </w:p>
    <w:p w14:paraId="58E5AA77" w14:textId="77777777" w:rsidR="00420239" w:rsidRPr="006D061D" w:rsidRDefault="00420239" w:rsidP="005D1BFF">
      <w:pPr>
        <w:spacing w:line="360" w:lineRule="auto"/>
        <w:rPr>
          <w:rFonts w:ascii="Arial" w:hAnsi="Arial" w:cs="Arial"/>
          <w:sz w:val="22"/>
          <w:szCs w:val="22"/>
        </w:rPr>
      </w:pPr>
      <w:r w:rsidRPr="006D061D">
        <w:rPr>
          <w:rFonts w:ascii="Arial" w:hAnsi="Arial" w:cs="Arial"/>
          <w:sz w:val="22"/>
          <w:szCs w:val="22"/>
        </w:rPr>
        <w:t xml:space="preserve">If Line 3 is greater than zero, i.e. the FQHC/RHC Cost Per Visit on line 1 is more than the current PPS Rate on line </w:t>
      </w:r>
      <w:proofErr w:type="gramStart"/>
      <w:r w:rsidRPr="006D061D">
        <w:rPr>
          <w:rFonts w:ascii="Arial" w:hAnsi="Arial" w:cs="Arial"/>
          <w:sz w:val="22"/>
          <w:szCs w:val="22"/>
        </w:rPr>
        <w:t>2,  then</w:t>
      </w:r>
      <w:proofErr w:type="gramEnd"/>
      <w:r w:rsidRPr="006D061D">
        <w:rPr>
          <w:rFonts w:ascii="Arial" w:hAnsi="Arial" w:cs="Arial"/>
          <w:sz w:val="22"/>
          <w:szCs w:val="22"/>
        </w:rPr>
        <w:t xml:space="preserve"> proceed to Line 4 to determine whether the increase meets or exceeds the 1.75% threshold amount.</w:t>
      </w:r>
    </w:p>
    <w:p w14:paraId="58E5AA78" w14:textId="77777777" w:rsidR="00420239" w:rsidRPr="006D061D" w:rsidRDefault="00420239" w:rsidP="00F67B3C">
      <w:pPr>
        <w:rPr>
          <w:rFonts w:ascii="Arial" w:hAnsi="Arial" w:cs="Arial"/>
          <w:sz w:val="22"/>
          <w:szCs w:val="22"/>
        </w:rPr>
      </w:pPr>
    </w:p>
    <w:p w14:paraId="58E5AA79" w14:textId="77777777" w:rsidR="00420239" w:rsidRPr="006D061D" w:rsidRDefault="00420239" w:rsidP="005D1BFF">
      <w:pPr>
        <w:spacing w:line="360" w:lineRule="auto"/>
        <w:rPr>
          <w:rFonts w:ascii="Arial" w:hAnsi="Arial" w:cs="Arial"/>
          <w:sz w:val="22"/>
          <w:szCs w:val="22"/>
        </w:rPr>
      </w:pPr>
      <w:r w:rsidRPr="006D061D">
        <w:rPr>
          <w:rFonts w:ascii="Arial" w:hAnsi="Arial" w:cs="Arial"/>
          <w:sz w:val="22"/>
          <w:szCs w:val="22"/>
        </w:rPr>
        <w:t xml:space="preserve">If Line 3 is less than zero, i.e. the FQHC/RHC Cost Per Visit on line 1 is less than the current PPS rate on line </w:t>
      </w:r>
      <w:proofErr w:type="gramStart"/>
      <w:r w:rsidRPr="006D061D">
        <w:rPr>
          <w:rFonts w:ascii="Arial" w:hAnsi="Arial" w:cs="Arial"/>
          <w:sz w:val="22"/>
          <w:szCs w:val="22"/>
        </w:rPr>
        <w:t>2,  then</w:t>
      </w:r>
      <w:proofErr w:type="gramEnd"/>
      <w:r w:rsidRPr="006D061D">
        <w:rPr>
          <w:rFonts w:ascii="Arial" w:hAnsi="Arial" w:cs="Arial"/>
          <w:sz w:val="22"/>
          <w:szCs w:val="22"/>
        </w:rPr>
        <w:t xml:space="preserve"> proceed to Line 5 to determine whether the decrease is greater than the 2.5% threshold amount.</w:t>
      </w:r>
    </w:p>
    <w:p w14:paraId="58E5AA7A" w14:textId="77777777" w:rsidR="00420239" w:rsidRPr="006D061D" w:rsidRDefault="00420239" w:rsidP="00F67B3C">
      <w:pPr>
        <w:pStyle w:val="Footer"/>
        <w:tabs>
          <w:tab w:val="clear" w:pos="4320"/>
          <w:tab w:val="clear" w:pos="8640"/>
        </w:tabs>
        <w:rPr>
          <w:rFonts w:ascii="Arial" w:hAnsi="Arial" w:cs="Arial"/>
          <w:sz w:val="22"/>
          <w:szCs w:val="22"/>
        </w:rPr>
      </w:pPr>
    </w:p>
    <w:p w14:paraId="58E5AA7B"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t xml:space="preserve">Line 4:  </w:t>
      </w:r>
      <w:r w:rsidR="00420239" w:rsidRPr="006D061D">
        <w:rPr>
          <w:rFonts w:ascii="Arial" w:hAnsi="Arial" w:cs="Arial"/>
          <w:sz w:val="22"/>
          <w:szCs w:val="22"/>
        </w:rPr>
        <w:t>Threshold Amount for rate increases equals Line 2 multiplied by 1.75%.  If the increase amount (Line 3) is more than the threshold amount proceed to Part D. If the increase (Line 3 amount) is less than the threshold amount no scope of service change is to be calculated. It is not necessary to submit the forms.</w:t>
      </w:r>
    </w:p>
    <w:p w14:paraId="58E5AA7C" w14:textId="77777777" w:rsidR="00420239" w:rsidRPr="006D061D" w:rsidRDefault="00420239" w:rsidP="00F67B3C">
      <w:pPr>
        <w:rPr>
          <w:rFonts w:ascii="Arial" w:hAnsi="Arial" w:cs="Arial"/>
          <w:sz w:val="22"/>
          <w:szCs w:val="22"/>
        </w:rPr>
      </w:pPr>
    </w:p>
    <w:p w14:paraId="58E5AA7D"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t xml:space="preserve">Line 5:  </w:t>
      </w:r>
      <w:r w:rsidR="00420239" w:rsidRPr="006D061D">
        <w:rPr>
          <w:rFonts w:ascii="Arial" w:hAnsi="Arial" w:cs="Arial"/>
          <w:sz w:val="22"/>
          <w:szCs w:val="22"/>
        </w:rPr>
        <w:t>Threshold Amount for rate decreases equals Line 2 multiplied by 2.5%. If the decrease amount (Line 3) is more than the threshold amount proceed to Part D. If the decrease (Line 3 amount) is less than the threshold amount no scope of service change is to be calculated. It is not necessary to submit the forms.</w:t>
      </w:r>
    </w:p>
    <w:p w14:paraId="58E5AA7E" w14:textId="77777777" w:rsidR="005D1BFF" w:rsidRDefault="005D1BFF" w:rsidP="005D1BFF">
      <w:pPr>
        <w:pStyle w:val="Heading1"/>
        <w:spacing w:line="240" w:lineRule="auto"/>
        <w:rPr>
          <w:rFonts w:ascii="Arial" w:hAnsi="Arial" w:cs="Arial"/>
          <w:sz w:val="22"/>
          <w:szCs w:val="22"/>
          <w:vertAlign w:val="baseline"/>
        </w:rPr>
      </w:pPr>
    </w:p>
    <w:p w14:paraId="58E5AA7F" w14:textId="77777777" w:rsidR="00420239" w:rsidRPr="006D061D" w:rsidRDefault="00420239" w:rsidP="005D1BFF">
      <w:pPr>
        <w:pStyle w:val="Heading1"/>
        <w:spacing w:line="360" w:lineRule="auto"/>
        <w:rPr>
          <w:rFonts w:ascii="Arial" w:hAnsi="Arial" w:cs="Arial"/>
          <w:sz w:val="22"/>
          <w:szCs w:val="22"/>
          <w:vertAlign w:val="baseline"/>
        </w:rPr>
      </w:pPr>
      <w:r w:rsidRPr="006D061D">
        <w:rPr>
          <w:rFonts w:ascii="Arial" w:hAnsi="Arial" w:cs="Arial"/>
          <w:sz w:val="22"/>
          <w:szCs w:val="22"/>
          <w:vertAlign w:val="baseline"/>
        </w:rPr>
        <w:t>PART D</w:t>
      </w:r>
    </w:p>
    <w:p w14:paraId="58E5AA80" w14:textId="77777777" w:rsidR="00420239" w:rsidRPr="006D061D" w:rsidRDefault="00420239" w:rsidP="005D1BFF">
      <w:pPr>
        <w:spacing w:line="360" w:lineRule="auto"/>
        <w:rPr>
          <w:rFonts w:ascii="Arial" w:hAnsi="Arial" w:cs="Arial"/>
          <w:sz w:val="22"/>
          <w:szCs w:val="22"/>
        </w:rPr>
      </w:pPr>
      <w:r w:rsidRPr="006D061D">
        <w:rPr>
          <w:rFonts w:ascii="Arial" w:hAnsi="Arial" w:cs="Arial"/>
          <w:sz w:val="22"/>
          <w:szCs w:val="22"/>
        </w:rPr>
        <w:t xml:space="preserve">The purpose of this section is to determine the FQHC/RHC PPS </w:t>
      </w:r>
      <w:r w:rsidR="00551C94" w:rsidRPr="006D061D">
        <w:rPr>
          <w:rFonts w:ascii="Arial" w:hAnsi="Arial" w:cs="Arial"/>
          <w:sz w:val="22"/>
          <w:szCs w:val="22"/>
        </w:rPr>
        <w:t xml:space="preserve">rate after the scope-of-service </w:t>
      </w:r>
      <w:r w:rsidRPr="006D061D">
        <w:rPr>
          <w:rFonts w:ascii="Arial" w:hAnsi="Arial" w:cs="Arial"/>
          <w:sz w:val="22"/>
          <w:szCs w:val="22"/>
        </w:rPr>
        <w:t>change. (Rate reductions are to be shown in brackets/parenthesis)</w:t>
      </w:r>
    </w:p>
    <w:p w14:paraId="58E5AA81" w14:textId="77777777" w:rsidR="00420239" w:rsidRPr="006D061D" w:rsidRDefault="00420239" w:rsidP="005D1BFF">
      <w:pPr>
        <w:pStyle w:val="Footer"/>
        <w:tabs>
          <w:tab w:val="clear" w:pos="4320"/>
          <w:tab w:val="clear" w:pos="8640"/>
          <w:tab w:val="left" w:pos="8920"/>
        </w:tabs>
        <w:spacing w:line="360" w:lineRule="auto"/>
        <w:rPr>
          <w:rFonts w:ascii="Arial" w:hAnsi="Arial" w:cs="Arial"/>
          <w:sz w:val="22"/>
          <w:szCs w:val="22"/>
        </w:rPr>
      </w:pPr>
      <w:r w:rsidRPr="006D061D">
        <w:rPr>
          <w:rFonts w:ascii="Arial" w:hAnsi="Arial" w:cs="Arial"/>
          <w:sz w:val="22"/>
          <w:szCs w:val="22"/>
        </w:rPr>
        <w:tab/>
      </w:r>
    </w:p>
    <w:p w14:paraId="58E5AA82"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t xml:space="preserve">Lines 1:  </w:t>
      </w:r>
      <w:r w:rsidR="00420239" w:rsidRPr="006D061D">
        <w:rPr>
          <w:rFonts w:ascii="Arial" w:hAnsi="Arial" w:cs="Arial"/>
          <w:sz w:val="22"/>
          <w:szCs w:val="22"/>
        </w:rPr>
        <w:t>FQHC/RHC rat</w:t>
      </w:r>
      <w:r>
        <w:rPr>
          <w:rFonts w:ascii="Arial" w:hAnsi="Arial" w:cs="Arial"/>
          <w:sz w:val="22"/>
          <w:szCs w:val="22"/>
        </w:rPr>
        <w:t>e increase or decrease from Part</w:t>
      </w:r>
      <w:r w:rsidR="00420239" w:rsidRPr="006D061D">
        <w:rPr>
          <w:rFonts w:ascii="Arial" w:hAnsi="Arial" w:cs="Arial"/>
          <w:sz w:val="22"/>
          <w:szCs w:val="22"/>
        </w:rPr>
        <w:t xml:space="preserve"> C, Line 3. </w:t>
      </w:r>
    </w:p>
    <w:p w14:paraId="58E5AA83" w14:textId="77777777" w:rsidR="00420239" w:rsidRPr="006D061D" w:rsidRDefault="00420239" w:rsidP="00F67B3C">
      <w:pPr>
        <w:rPr>
          <w:rFonts w:ascii="Arial" w:hAnsi="Arial" w:cs="Arial"/>
          <w:sz w:val="22"/>
          <w:szCs w:val="22"/>
        </w:rPr>
      </w:pPr>
    </w:p>
    <w:p w14:paraId="58E5AA84"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t xml:space="preserve">Line 2:  </w:t>
      </w:r>
      <w:r w:rsidR="00420239" w:rsidRPr="006D061D">
        <w:rPr>
          <w:rFonts w:ascii="Arial" w:hAnsi="Arial" w:cs="Arial"/>
          <w:sz w:val="22"/>
          <w:szCs w:val="22"/>
        </w:rPr>
        <w:t xml:space="preserve">FQHC/RHC rate increase or decrease adjustment </w:t>
      </w:r>
      <w:proofErr w:type="gramStart"/>
      <w:r w:rsidR="00420239" w:rsidRPr="006D061D">
        <w:rPr>
          <w:rFonts w:ascii="Arial" w:hAnsi="Arial" w:cs="Arial"/>
          <w:sz w:val="22"/>
          <w:szCs w:val="22"/>
        </w:rPr>
        <w:t>amount  (</w:t>
      </w:r>
      <w:proofErr w:type="gramEnd"/>
      <w:r w:rsidR="00420239" w:rsidRPr="006D061D">
        <w:rPr>
          <w:rFonts w:ascii="Arial" w:hAnsi="Arial" w:cs="Arial"/>
          <w:sz w:val="22"/>
          <w:szCs w:val="22"/>
        </w:rPr>
        <w:t>Line 1 multiplied by the 20% adjustment factor)</w:t>
      </w:r>
    </w:p>
    <w:p w14:paraId="58E5AA85" w14:textId="77777777" w:rsidR="00420239" w:rsidRPr="006D061D" w:rsidRDefault="00420239" w:rsidP="00F67B3C">
      <w:pPr>
        <w:rPr>
          <w:rFonts w:ascii="Arial" w:hAnsi="Arial" w:cs="Arial"/>
          <w:sz w:val="22"/>
          <w:szCs w:val="22"/>
        </w:rPr>
      </w:pPr>
    </w:p>
    <w:p w14:paraId="58E5AA86"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t xml:space="preserve">Line 3:  </w:t>
      </w:r>
      <w:r w:rsidR="00420239" w:rsidRPr="006D061D">
        <w:rPr>
          <w:rFonts w:ascii="Arial" w:hAnsi="Arial" w:cs="Arial"/>
          <w:sz w:val="22"/>
          <w:szCs w:val="22"/>
        </w:rPr>
        <w:t xml:space="preserve">FQHC/RHC rate increase or decrease amount after the adjustment </w:t>
      </w:r>
      <w:proofErr w:type="gramStart"/>
      <w:r w:rsidR="00420239" w:rsidRPr="006D061D">
        <w:rPr>
          <w:rFonts w:ascii="Arial" w:hAnsi="Arial" w:cs="Arial"/>
          <w:sz w:val="22"/>
          <w:szCs w:val="22"/>
        </w:rPr>
        <w:t>factor  (</w:t>
      </w:r>
      <w:proofErr w:type="gramEnd"/>
      <w:r w:rsidR="00420239" w:rsidRPr="006D061D">
        <w:rPr>
          <w:rFonts w:ascii="Arial" w:hAnsi="Arial" w:cs="Arial"/>
          <w:sz w:val="22"/>
          <w:szCs w:val="22"/>
        </w:rPr>
        <w:t>Line 1 less Line 2).</w:t>
      </w:r>
    </w:p>
    <w:p w14:paraId="58E5AA87" w14:textId="77777777" w:rsidR="00420239" w:rsidRPr="006D061D" w:rsidRDefault="00420239" w:rsidP="00F67B3C">
      <w:pPr>
        <w:rPr>
          <w:rFonts w:ascii="Arial" w:hAnsi="Arial" w:cs="Arial"/>
          <w:sz w:val="22"/>
          <w:szCs w:val="22"/>
        </w:rPr>
      </w:pPr>
    </w:p>
    <w:p w14:paraId="58E5AA88"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lastRenderedPageBreak/>
        <w:t xml:space="preserve">Line 4:  </w:t>
      </w:r>
      <w:r w:rsidR="00420239" w:rsidRPr="006D061D">
        <w:rPr>
          <w:rFonts w:ascii="Arial" w:hAnsi="Arial" w:cs="Arial"/>
          <w:sz w:val="22"/>
          <w:szCs w:val="22"/>
        </w:rPr>
        <w:t>Current PPS rate per visit (from line C2)</w:t>
      </w:r>
    </w:p>
    <w:p w14:paraId="58E5AA89" w14:textId="77777777" w:rsidR="00420239" w:rsidRPr="006D061D" w:rsidRDefault="00420239" w:rsidP="00F67B3C">
      <w:pPr>
        <w:rPr>
          <w:rFonts w:ascii="Arial" w:hAnsi="Arial" w:cs="Arial"/>
          <w:sz w:val="22"/>
          <w:szCs w:val="22"/>
        </w:rPr>
      </w:pPr>
    </w:p>
    <w:p w14:paraId="58E5AA8A" w14:textId="77777777" w:rsidR="00420239" w:rsidRPr="006D061D" w:rsidRDefault="009805FE" w:rsidP="005D1BFF">
      <w:pPr>
        <w:spacing w:line="360" w:lineRule="auto"/>
        <w:rPr>
          <w:rFonts w:ascii="Arial" w:hAnsi="Arial" w:cs="Arial"/>
          <w:sz w:val="22"/>
          <w:szCs w:val="22"/>
        </w:rPr>
      </w:pPr>
      <w:r>
        <w:rPr>
          <w:rFonts w:ascii="Arial" w:hAnsi="Arial" w:cs="Arial"/>
          <w:sz w:val="22"/>
          <w:szCs w:val="22"/>
        </w:rPr>
        <w:t xml:space="preserve">Line 5:  </w:t>
      </w:r>
      <w:r w:rsidR="00420239" w:rsidRPr="006D061D">
        <w:rPr>
          <w:rFonts w:ascii="Arial" w:hAnsi="Arial" w:cs="Arial"/>
          <w:sz w:val="22"/>
          <w:szCs w:val="22"/>
        </w:rPr>
        <w:t>New PPS rate per visit (total of the current PPS rate from line 4 plus the increase or decrease from line 3).</w:t>
      </w:r>
    </w:p>
    <w:p w14:paraId="58E5AA8B" w14:textId="77777777" w:rsidR="00420239" w:rsidRPr="006D061D" w:rsidRDefault="00420239" w:rsidP="0008283C">
      <w:pPr>
        <w:rPr>
          <w:rFonts w:ascii="Arial" w:hAnsi="Arial" w:cs="Arial"/>
          <w:sz w:val="22"/>
          <w:szCs w:val="22"/>
        </w:rPr>
      </w:pPr>
    </w:p>
    <w:p w14:paraId="58E5AA8C" w14:textId="77777777" w:rsidR="009805FE" w:rsidRPr="000851BE" w:rsidRDefault="009805FE" w:rsidP="005D1BFF">
      <w:pPr>
        <w:pStyle w:val="PlainTextSubtitle"/>
        <w:spacing w:line="360" w:lineRule="auto"/>
        <w:rPr>
          <w:sz w:val="22"/>
          <w:szCs w:val="22"/>
        </w:rPr>
      </w:pPr>
      <w:r w:rsidRPr="000851BE">
        <w:rPr>
          <w:sz w:val="22"/>
          <w:szCs w:val="22"/>
        </w:rPr>
        <w:t>Worksheet 3 – VISITS, REVENUES AND EXPENDITURES</w:t>
      </w:r>
    </w:p>
    <w:p w14:paraId="58E5AA8D" w14:textId="77777777" w:rsidR="009805FE" w:rsidRPr="000851BE" w:rsidRDefault="009805FE" w:rsidP="005D1BFF">
      <w:pPr>
        <w:pStyle w:val="PlainText--Mapping"/>
        <w:spacing w:line="360" w:lineRule="auto"/>
        <w:jc w:val="left"/>
        <w:rPr>
          <w:sz w:val="22"/>
          <w:szCs w:val="22"/>
        </w:rPr>
      </w:pPr>
      <w:r w:rsidRPr="000851BE">
        <w:rPr>
          <w:b/>
          <w:sz w:val="22"/>
          <w:szCs w:val="22"/>
        </w:rPr>
        <w:t>Total Visits:</w:t>
      </w:r>
      <w:r w:rsidRPr="000851BE">
        <w:rPr>
          <w:sz w:val="22"/>
          <w:szCs w:val="22"/>
        </w:rPr>
        <w:tab/>
        <w:t>Enter the total number of visits recorded by funding source.  Please include all programs and visit statistics specific to your organization.</w:t>
      </w:r>
    </w:p>
    <w:p w14:paraId="58E5AA8E" w14:textId="77777777" w:rsidR="009805FE" w:rsidRPr="000851BE" w:rsidRDefault="009805FE" w:rsidP="005D1BFF">
      <w:pPr>
        <w:pStyle w:val="PlainText--Mapping"/>
        <w:spacing w:line="360" w:lineRule="auto"/>
        <w:jc w:val="left"/>
        <w:rPr>
          <w:sz w:val="22"/>
          <w:szCs w:val="22"/>
        </w:rPr>
      </w:pPr>
      <w:r w:rsidRPr="000851BE">
        <w:rPr>
          <w:sz w:val="22"/>
          <w:szCs w:val="22"/>
        </w:rPr>
        <w:tab/>
      </w:r>
      <w:r w:rsidRPr="000851BE">
        <w:rPr>
          <w:b/>
          <w:i/>
          <w:sz w:val="22"/>
          <w:szCs w:val="22"/>
        </w:rPr>
        <w:t>Note:</w:t>
      </w:r>
      <w:r w:rsidRPr="000851BE">
        <w:rPr>
          <w:sz w:val="22"/>
          <w:szCs w:val="22"/>
        </w:rPr>
        <w:t xml:space="preserve">  Total visits reported in Column 1 must agree with total visits reported on Wo</w:t>
      </w:r>
      <w:r w:rsidR="007C6E76">
        <w:rPr>
          <w:sz w:val="22"/>
          <w:szCs w:val="22"/>
        </w:rPr>
        <w:t>rksheet 6, Column 2, and line 2</w:t>
      </w:r>
      <w:r w:rsidR="00B4464C">
        <w:rPr>
          <w:sz w:val="22"/>
          <w:szCs w:val="22"/>
        </w:rPr>
        <w:t>0</w:t>
      </w:r>
      <w:r w:rsidRPr="000851BE">
        <w:rPr>
          <w:sz w:val="22"/>
          <w:szCs w:val="22"/>
        </w:rPr>
        <w:t>.</w:t>
      </w:r>
    </w:p>
    <w:p w14:paraId="58E5AA8F" w14:textId="77777777" w:rsidR="009805FE" w:rsidRPr="000851BE" w:rsidRDefault="009805FE" w:rsidP="005D1BFF">
      <w:pPr>
        <w:pStyle w:val="PlainText--Mapping"/>
        <w:spacing w:line="360" w:lineRule="auto"/>
        <w:jc w:val="left"/>
        <w:rPr>
          <w:sz w:val="22"/>
          <w:szCs w:val="22"/>
        </w:rPr>
      </w:pPr>
      <w:r w:rsidRPr="000851BE">
        <w:rPr>
          <w:b/>
          <w:sz w:val="22"/>
          <w:szCs w:val="22"/>
        </w:rPr>
        <w:t>Related Revenues:</w:t>
      </w:r>
      <w:r w:rsidRPr="000851BE">
        <w:rPr>
          <w:sz w:val="22"/>
          <w:szCs w:val="22"/>
        </w:rPr>
        <w:tab/>
        <w:t>Enter the total revenue received by funding source.  Enter all categories for which revenues are received for patient services provided even when the services do not constitute a “visit,” such as grant/contract funding received for outreach programs.  The “Other” category may also include any non-patient revenues.</w:t>
      </w:r>
    </w:p>
    <w:p w14:paraId="58E5AA90" w14:textId="77777777" w:rsidR="009805FE" w:rsidRPr="000851BE" w:rsidRDefault="009805FE" w:rsidP="005D1BFF">
      <w:pPr>
        <w:pStyle w:val="PlainText--Mapping"/>
        <w:spacing w:line="360" w:lineRule="auto"/>
        <w:jc w:val="left"/>
        <w:rPr>
          <w:sz w:val="22"/>
          <w:szCs w:val="22"/>
        </w:rPr>
      </w:pPr>
      <w:r w:rsidRPr="000851BE">
        <w:rPr>
          <w:sz w:val="22"/>
          <w:szCs w:val="22"/>
        </w:rPr>
        <w:tab/>
      </w:r>
      <w:r w:rsidRPr="000851BE">
        <w:rPr>
          <w:b/>
          <w:i/>
          <w:sz w:val="22"/>
          <w:szCs w:val="22"/>
        </w:rPr>
        <w:t>Note:</w:t>
      </w:r>
      <w:r w:rsidRPr="000851BE">
        <w:rPr>
          <w:sz w:val="22"/>
          <w:szCs w:val="22"/>
        </w:rPr>
        <w:t xml:space="preserve">  Total revenues reported in Column 2 must agree with the total patient and non-patient revenues recorded in the clinic’s general ledger or reported in the independently audited financial statements if completed at the time of filing the cost report.</w:t>
      </w:r>
    </w:p>
    <w:p w14:paraId="58E5AA91" w14:textId="77777777" w:rsidR="009805FE" w:rsidRPr="000851BE" w:rsidRDefault="009805FE" w:rsidP="005D1BFF">
      <w:pPr>
        <w:pStyle w:val="PlainText--Mapping"/>
        <w:spacing w:line="360" w:lineRule="auto"/>
        <w:jc w:val="left"/>
        <w:rPr>
          <w:sz w:val="22"/>
          <w:szCs w:val="22"/>
        </w:rPr>
      </w:pPr>
      <w:r w:rsidRPr="000851BE">
        <w:rPr>
          <w:b/>
          <w:sz w:val="22"/>
          <w:szCs w:val="22"/>
        </w:rPr>
        <w:t>Related Expenditures:</w:t>
      </w:r>
      <w:r w:rsidRPr="000851BE">
        <w:rPr>
          <w:sz w:val="22"/>
          <w:szCs w:val="22"/>
        </w:rPr>
        <w:tab/>
        <w:t>Enter the expenditures recorded by funding source with the exception of lines 1 through 14.</w:t>
      </w:r>
    </w:p>
    <w:p w14:paraId="58E5AA92" w14:textId="77777777" w:rsidR="009805FE" w:rsidRPr="000851BE" w:rsidRDefault="009805FE" w:rsidP="0008283C">
      <w:pPr>
        <w:pStyle w:val="Address"/>
        <w:ind w:left="0"/>
        <w:rPr>
          <w:sz w:val="22"/>
          <w:szCs w:val="22"/>
        </w:rPr>
      </w:pPr>
    </w:p>
    <w:p w14:paraId="58E5AA93" w14:textId="77777777" w:rsidR="009805FE" w:rsidRPr="000851BE" w:rsidRDefault="009805FE" w:rsidP="005D1BFF">
      <w:pPr>
        <w:pStyle w:val="PlainTextSubtitle"/>
        <w:spacing w:line="360" w:lineRule="auto"/>
        <w:rPr>
          <w:sz w:val="22"/>
          <w:szCs w:val="22"/>
        </w:rPr>
      </w:pPr>
      <w:r w:rsidRPr="000851BE">
        <w:rPr>
          <w:sz w:val="22"/>
          <w:szCs w:val="22"/>
        </w:rPr>
        <w:t>WorkSheet 4 – SUMMARY OF SERVICES PROVIDED BY CLINIC</w:t>
      </w:r>
    </w:p>
    <w:p w14:paraId="58E5AA94" w14:textId="77777777" w:rsidR="009805FE" w:rsidRPr="000851BE" w:rsidRDefault="009805FE" w:rsidP="005D1BFF">
      <w:pPr>
        <w:pStyle w:val="PlainText"/>
        <w:spacing w:after="120" w:line="360" w:lineRule="auto"/>
        <w:jc w:val="left"/>
        <w:rPr>
          <w:sz w:val="22"/>
          <w:szCs w:val="22"/>
        </w:rPr>
      </w:pPr>
      <w:r w:rsidRPr="000851BE">
        <w:rPr>
          <w:sz w:val="22"/>
          <w:szCs w:val="22"/>
        </w:rPr>
        <w:t xml:space="preserve">List all services available at, or provided by, the clinic.  </w:t>
      </w:r>
    </w:p>
    <w:p w14:paraId="58E5AA95" w14:textId="77777777" w:rsidR="009805FE" w:rsidRPr="000851BE" w:rsidRDefault="009805FE" w:rsidP="005D1BFF">
      <w:pPr>
        <w:pStyle w:val="PlainText"/>
        <w:spacing w:after="120" w:line="360" w:lineRule="auto"/>
        <w:jc w:val="left"/>
        <w:rPr>
          <w:sz w:val="22"/>
          <w:szCs w:val="22"/>
        </w:rPr>
      </w:pPr>
      <w:r w:rsidRPr="000851BE">
        <w:rPr>
          <w:sz w:val="22"/>
          <w:szCs w:val="22"/>
        </w:rPr>
        <w:t>Place an “X” in the “NO” column if the service is not available or provided by the clinic.</w:t>
      </w:r>
    </w:p>
    <w:p w14:paraId="58E5AA96" w14:textId="77777777" w:rsidR="009805FE" w:rsidRPr="000851BE" w:rsidRDefault="009805FE" w:rsidP="005D1BFF">
      <w:pPr>
        <w:pStyle w:val="PlainText"/>
        <w:spacing w:after="120" w:line="360" w:lineRule="auto"/>
        <w:jc w:val="left"/>
        <w:rPr>
          <w:sz w:val="22"/>
          <w:szCs w:val="22"/>
        </w:rPr>
      </w:pPr>
      <w:r w:rsidRPr="000851BE">
        <w:rPr>
          <w:sz w:val="22"/>
          <w:szCs w:val="22"/>
        </w:rPr>
        <w:t>Place an “X” in the “ON-SITE” column if the service is provided on</w:t>
      </w:r>
      <w:r w:rsidRPr="000851BE">
        <w:rPr>
          <w:sz w:val="22"/>
          <w:szCs w:val="22"/>
        </w:rPr>
        <w:noBreakHyphen/>
        <w:t xml:space="preserve">site by the clinic. </w:t>
      </w:r>
    </w:p>
    <w:p w14:paraId="58E5AA97" w14:textId="77777777" w:rsidR="009805FE" w:rsidRPr="000851BE" w:rsidRDefault="009805FE" w:rsidP="005D1BFF">
      <w:pPr>
        <w:pStyle w:val="PlainText"/>
        <w:spacing w:after="120" w:line="360" w:lineRule="auto"/>
        <w:jc w:val="left"/>
        <w:rPr>
          <w:sz w:val="22"/>
          <w:szCs w:val="22"/>
        </w:rPr>
      </w:pPr>
      <w:r w:rsidRPr="000851BE">
        <w:rPr>
          <w:sz w:val="22"/>
          <w:szCs w:val="22"/>
        </w:rPr>
        <w:t>Place an “X” in the “OFF-SITE” column if the service is provided off</w:t>
      </w:r>
      <w:r w:rsidRPr="000851BE">
        <w:rPr>
          <w:sz w:val="22"/>
          <w:szCs w:val="22"/>
        </w:rPr>
        <w:noBreakHyphen/>
        <w:t>site under a contractual arrangement.  Please provide the contractor’s name.</w:t>
      </w:r>
    </w:p>
    <w:p w14:paraId="58E5AA98" w14:textId="77777777" w:rsidR="009805FE" w:rsidRPr="000851BE" w:rsidRDefault="009805FE" w:rsidP="0008283C">
      <w:pPr>
        <w:pStyle w:val="Address"/>
        <w:ind w:left="0"/>
        <w:rPr>
          <w:b/>
          <w:sz w:val="22"/>
          <w:szCs w:val="22"/>
        </w:rPr>
      </w:pPr>
    </w:p>
    <w:p w14:paraId="58E5AA99" w14:textId="77777777" w:rsidR="009805FE" w:rsidRPr="000851BE" w:rsidRDefault="009805FE" w:rsidP="005D1BFF">
      <w:pPr>
        <w:pStyle w:val="PlainText"/>
        <w:spacing w:after="120" w:line="360" w:lineRule="auto"/>
        <w:ind w:left="1890" w:hanging="1890"/>
        <w:jc w:val="left"/>
        <w:rPr>
          <w:b/>
          <w:sz w:val="22"/>
          <w:szCs w:val="22"/>
        </w:rPr>
      </w:pPr>
      <w:r w:rsidRPr="000851BE">
        <w:rPr>
          <w:b/>
          <w:sz w:val="22"/>
          <w:szCs w:val="22"/>
        </w:rPr>
        <w:t xml:space="preserve">WORKSHEET 5 – SUMMARY </w:t>
      </w:r>
      <w:r>
        <w:rPr>
          <w:b/>
          <w:sz w:val="22"/>
          <w:szCs w:val="22"/>
        </w:rPr>
        <w:t xml:space="preserve">PRODUCTIVE FTES AND VISITS </w:t>
      </w:r>
      <w:r w:rsidRPr="000851BE">
        <w:rPr>
          <w:b/>
          <w:sz w:val="22"/>
          <w:szCs w:val="22"/>
        </w:rPr>
        <w:t>OF HEALTHCARE PRACTITIONERS</w:t>
      </w:r>
    </w:p>
    <w:p w14:paraId="58E5AA9A" w14:textId="77777777" w:rsidR="009805FE" w:rsidRPr="000851BE" w:rsidRDefault="00F742C7" w:rsidP="00F742C7">
      <w:pPr>
        <w:pStyle w:val="PlainText"/>
        <w:spacing w:after="120" w:line="360" w:lineRule="auto"/>
        <w:ind w:left="1440" w:hanging="1440"/>
        <w:jc w:val="left"/>
        <w:rPr>
          <w:sz w:val="22"/>
          <w:szCs w:val="22"/>
        </w:rPr>
      </w:pPr>
      <w:r>
        <w:rPr>
          <w:sz w:val="22"/>
          <w:szCs w:val="22"/>
        </w:rPr>
        <w:t xml:space="preserve">Column 1 </w:t>
      </w:r>
      <w:r>
        <w:rPr>
          <w:sz w:val="22"/>
          <w:szCs w:val="22"/>
        </w:rPr>
        <w:tab/>
      </w:r>
      <w:r w:rsidR="009805FE" w:rsidRPr="000851BE">
        <w:rPr>
          <w:sz w:val="22"/>
          <w:szCs w:val="22"/>
        </w:rPr>
        <w:t xml:space="preserve">Record the total number of healthcare practitioner positions by Full Time Equivalent (FTE) using 2,080 hours as the standard.  Calculate for each person in each category their ANNUAL PRODUCTIVE time worked. Only include time performing essential functions related to patient care. </w:t>
      </w:r>
      <w:r w:rsidR="009805FE" w:rsidRPr="00D379B4">
        <w:rPr>
          <w:sz w:val="22"/>
          <w:szCs w:val="22"/>
          <w:u w:val="single"/>
        </w:rPr>
        <w:t>Do not include time performing chart reviews/consultations,supervising others or  administrative duties. Never include time off for sick, vacation or holidays.</w:t>
      </w:r>
      <w:r w:rsidR="009805FE" w:rsidRPr="000851BE">
        <w:rPr>
          <w:color w:val="984806"/>
          <w:sz w:val="22"/>
          <w:szCs w:val="22"/>
        </w:rPr>
        <w:t xml:space="preserve"> </w:t>
      </w:r>
      <w:r w:rsidR="009805FE" w:rsidRPr="000851BE">
        <w:rPr>
          <w:sz w:val="22"/>
          <w:szCs w:val="22"/>
        </w:rPr>
        <w:t>Divide the annual productive time by 2,080 to determine percentage of time each person is actively engaged in patient care activities. For example, if a physician spent 1,040 hours seeing patients, the FTE would be calculated as (1,040 / 2080 = .5 FTEs).  Compile the FTE’s by category.  Do not include mental health staff in the minimum standards assessment.</w:t>
      </w:r>
    </w:p>
    <w:p w14:paraId="58E5AA9B" w14:textId="77777777" w:rsidR="009805FE" w:rsidRPr="000851BE" w:rsidRDefault="00F742C7" w:rsidP="00F742C7">
      <w:pPr>
        <w:pStyle w:val="PlainText"/>
        <w:tabs>
          <w:tab w:val="left" w:pos="1440"/>
        </w:tabs>
        <w:spacing w:after="120" w:line="360" w:lineRule="auto"/>
        <w:ind w:left="1440" w:hanging="1440"/>
        <w:jc w:val="left"/>
        <w:rPr>
          <w:sz w:val="22"/>
          <w:szCs w:val="22"/>
        </w:rPr>
      </w:pPr>
      <w:r>
        <w:rPr>
          <w:sz w:val="22"/>
          <w:szCs w:val="22"/>
        </w:rPr>
        <w:t xml:space="preserve">Column 2 </w:t>
      </w:r>
      <w:r>
        <w:rPr>
          <w:sz w:val="22"/>
          <w:szCs w:val="22"/>
        </w:rPr>
        <w:tab/>
      </w:r>
      <w:r w:rsidR="009805FE" w:rsidRPr="000851BE">
        <w:rPr>
          <w:sz w:val="22"/>
          <w:szCs w:val="22"/>
        </w:rPr>
        <w:t>Record the total visits (as previously defined) furnished to all patients for each of the applicable health care staff categories.</w:t>
      </w:r>
    </w:p>
    <w:p w14:paraId="58E5AA9C" w14:textId="77777777" w:rsidR="009805FE" w:rsidRDefault="00F742C7" w:rsidP="00F67B3C">
      <w:pPr>
        <w:pStyle w:val="PlainText"/>
        <w:tabs>
          <w:tab w:val="left" w:pos="1440"/>
        </w:tabs>
        <w:spacing w:after="120" w:line="360" w:lineRule="auto"/>
        <w:ind w:left="1440" w:hanging="1440"/>
        <w:jc w:val="left"/>
        <w:rPr>
          <w:sz w:val="22"/>
          <w:szCs w:val="22"/>
        </w:rPr>
      </w:pPr>
      <w:r>
        <w:rPr>
          <w:sz w:val="22"/>
          <w:szCs w:val="22"/>
        </w:rPr>
        <w:t xml:space="preserve">Columns 3, 4  </w:t>
      </w:r>
      <w:r w:rsidR="009805FE" w:rsidRPr="000851BE">
        <w:rPr>
          <w:sz w:val="22"/>
          <w:szCs w:val="22"/>
        </w:rPr>
        <w:t>Place an “X” in the column “ON-SITE” or “OFF-SITE” to identify where the staff are located.</w:t>
      </w:r>
    </w:p>
    <w:p w14:paraId="58E5AA9D" w14:textId="77777777" w:rsidR="0008283C" w:rsidRDefault="0008283C" w:rsidP="0008283C">
      <w:pPr>
        <w:pStyle w:val="PlainText"/>
        <w:tabs>
          <w:tab w:val="left" w:pos="1440"/>
        </w:tabs>
        <w:spacing w:after="120"/>
        <w:ind w:left="1440" w:hanging="1440"/>
        <w:jc w:val="left"/>
        <w:rPr>
          <w:sz w:val="22"/>
          <w:szCs w:val="22"/>
        </w:rPr>
      </w:pPr>
    </w:p>
    <w:p w14:paraId="58E5AA9E" w14:textId="77777777" w:rsidR="009805FE" w:rsidRPr="000851BE" w:rsidRDefault="009805FE" w:rsidP="005D1BFF">
      <w:pPr>
        <w:pStyle w:val="PlainText"/>
        <w:spacing w:after="120" w:line="360" w:lineRule="auto"/>
        <w:jc w:val="left"/>
        <w:rPr>
          <w:b/>
          <w:sz w:val="22"/>
          <w:szCs w:val="22"/>
        </w:rPr>
      </w:pPr>
      <w:r w:rsidRPr="000851BE">
        <w:rPr>
          <w:b/>
          <w:sz w:val="22"/>
          <w:szCs w:val="22"/>
        </w:rPr>
        <w:t>WORKSHEET 6 – PRODUCTIVITY STANDARDS ASSESSMENT</w:t>
      </w:r>
    </w:p>
    <w:p w14:paraId="58E5AA9F" w14:textId="77777777" w:rsidR="009805FE" w:rsidRPr="000851BE" w:rsidRDefault="009805FE" w:rsidP="005D1BFF">
      <w:pPr>
        <w:pStyle w:val="PlainText"/>
        <w:spacing w:after="120" w:line="360" w:lineRule="auto"/>
        <w:jc w:val="left"/>
        <w:rPr>
          <w:rFonts w:cs="Arial"/>
          <w:noProof w:val="0"/>
          <w:sz w:val="22"/>
          <w:szCs w:val="22"/>
        </w:rPr>
      </w:pPr>
      <w:r w:rsidRPr="000851BE">
        <w:rPr>
          <w:rFonts w:cs="Arial"/>
          <w:noProof w:val="0"/>
          <w:sz w:val="22"/>
          <w:szCs w:val="22"/>
        </w:rPr>
        <w:t>The purpose of this worksheet is to determine if the provider has met the minimum number of visits standards and to determine the visit count for the PPS rate determination.</w:t>
      </w:r>
    </w:p>
    <w:p w14:paraId="58E5AAA0" w14:textId="77777777" w:rsidR="009805FE" w:rsidRPr="000851BE" w:rsidRDefault="009805FE" w:rsidP="005D1BFF">
      <w:pPr>
        <w:pStyle w:val="PlainText"/>
        <w:spacing w:after="120" w:line="360" w:lineRule="auto"/>
        <w:jc w:val="left"/>
        <w:rPr>
          <w:sz w:val="22"/>
          <w:szCs w:val="22"/>
        </w:rPr>
      </w:pPr>
      <w:r w:rsidRPr="000851BE">
        <w:rPr>
          <w:sz w:val="22"/>
          <w:szCs w:val="22"/>
        </w:rPr>
        <w:t>Enter the number of FTE’s and visits furnished by the healthcare staff as determined on Worksheet 5.  Determine if provider has met the minimum number of visits standard, and can therefore use actual visit counts for its PPS rate determination.</w:t>
      </w:r>
    </w:p>
    <w:p w14:paraId="58E5AAA1" w14:textId="77777777" w:rsidR="009805FE" w:rsidRPr="000851BE" w:rsidRDefault="009805FE" w:rsidP="005D1BFF">
      <w:pPr>
        <w:pStyle w:val="PlainText"/>
        <w:spacing w:after="120" w:line="360" w:lineRule="auto"/>
        <w:jc w:val="left"/>
        <w:rPr>
          <w:rFonts w:cs="Arial"/>
          <w:noProof w:val="0"/>
          <w:sz w:val="22"/>
          <w:szCs w:val="22"/>
        </w:rPr>
      </w:pPr>
      <w:r w:rsidRPr="000851BE">
        <w:rPr>
          <w:rFonts w:cs="Arial"/>
          <w:noProof w:val="0"/>
          <w:sz w:val="22"/>
          <w:szCs w:val="22"/>
        </w:rPr>
        <w:t xml:space="preserve">Productivity standards are used to help determine the average cost per patient for Medi-Cal reimbursement in the RHC or FQHC. The current productivity standards require 4,200 visits per full-time equivalent physician or contracted physician on an on-going basis and 2,100 visits per full-time equivalent non-physician practitioner or contracted on an on-going basis (NP, PA, or </w:t>
      </w:r>
      <w:r w:rsidRPr="000851BE">
        <w:rPr>
          <w:rFonts w:cs="Arial"/>
          <w:noProof w:val="0"/>
          <w:sz w:val="22"/>
          <w:szCs w:val="22"/>
        </w:rPr>
        <w:lastRenderedPageBreak/>
        <w:t xml:space="preserve">CNM). Physician and non-physician practitioner productivity may be combined for staff with the same productivity standards. The FTE on the cost report for providers is the time spent seeing patients only, net of all time spent in non-patient care activities including administrative duties. </w:t>
      </w:r>
    </w:p>
    <w:p w14:paraId="58E5AAA2" w14:textId="77777777" w:rsidR="009805FE" w:rsidRPr="000851BE" w:rsidRDefault="009805FE" w:rsidP="005D1BFF">
      <w:pPr>
        <w:pStyle w:val="PlainText"/>
        <w:spacing w:after="120" w:line="360" w:lineRule="auto"/>
        <w:jc w:val="left"/>
        <w:rPr>
          <w:rFonts w:cs="Arial"/>
          <w:noProof w:val="0"/>
          <w:sz w:val="22"/>
          <w:szCs w:val="22"/>
        </w:rPr>
      </w:pPr>
      <w:r w:rsidRPr="000851BE">
        <w:rPr>
          <w:rFonts w:cs="Arial"/>
          <w:noProof w:val="0"/>
          <w:sz w:val="22"/>
          <w:szCs w:val="22"/>
        </w:rPr>
        <w:t>This Worksheet will automatically calculate the visits based on the information entered from Worksheet 5 and apply the productivity standards.</w:t>
      </w:r>
    </w:p>
    <w:p w14:paraId="58E5AAA3" w14:textId="77777777" w:rsidR="009805FE" w:rsidRPr="000851BE" w:rsidRDefault="009805FE" w:rsidP="005D1BFF">
      <w:pPr>
        <w:pStyle w:val="PlainText"/>
        <w:tabs>
          <w:tab w:val="left" w:pos="2160"/>
        </w:tabs>
        <w:spacing w:after="120" w:line="360" w:lineRule="auto"/>
        <w:ind w:left="2160" w:hanging="2160"/>
        <w:jc w:val="left"/>
        <w:rPr>
          <w:rFonts w:cs="Arial"/>
          <w:noProof w:val="0"/>
          <w:sz w:val="22"/>
          <w:szCs w:val="22"/>
        </w:rPr>
      </w:pPr>
      <w:r w:rsidRPr="000851BE">
        <w:rPr>
          <w:rFonts w:cs="Arial"/>
          <w:noProof w:val="0"/>
          <w:sz w:val="22"/>
          <w:szCs w:val="22"/>
        </w:rPr>
        <w:t>Columns 1, 2</w:t>
      </w:r>
      <w:r w:rsidRPr="000851BE">
        <w:rPr>
          <w:rFonts w:cs="Arial"/>
          <w:noProof w:val="0"/>
          <w:sz w:val="22"/>
          <w:szCs w:val="22"/>
        </w:rPr>
        <w:tab/>
        <w:t>Summarizes the number of FTE’s and visits furnished by the health care staff from Worksheet 5.</w:t>
      </w:r>
    </w:p>
    <w:p w14:paraId="58E5AAA4" w14:textId="77777777" w:rsidR="009805FE" w:rsidRDefault="009805FE" w:rsidP="005D1BFF">
      <w:pPr>
        <w:pStyle w:val="PlainText"/>
        <w:spacing w:after="120" w:line="360" w:lineRule="auto"/>
        <w:ind w:left="2160" w:hanging="2160"/>
        <w:jc w:val="left"/>
        <w:rPr>
          <w:rFonts w:cs="Arial"/>
          <w:noProof w:val="0"/>
          <w:sz w:val="22"/>
          <w:szCs w:val="22"/>
        </w:rPr>
      </w:pPr>
      <w:r w:rsidRPr="000851BE">
        <w:rPr>
          <w:rFonts w:cs="Arial"/>
          <w:noProof w:val="0"/>
          <w:sz w:val="22"/>
          <w:szCs w:val="22"/>
        </w:rPr>
        <w:t xml:space="preserve">Column 3 </w:t>
      </w:r>
      <w:r w:rsidRPr="000851BE">
        <w:rPr>
          <w:rFonts w:cs="Arial"/>
          <w:noProof w:val="0"/>
          <w:sz w:val="22"/>
          <w:szCs w:val="22"/>
        </w:rPr>
        <w:tab/>
        <w:t xml:space="preserve">The productivity standards, established by CMS Publication 100-04, Section 40.3, are screening guidelines to </w:t>
      </w:r>
      <w:r w:rsidRPr="000851BE">
        <w:rPr>
          <w:sz w:val="22"/>
          <w:szCs w:val="22"/>
        </w:rPr>
        <w:t xml:space="preserve">determine reasonable service levels furnished  by certain healthcare staff. </w:t>
      </w:r>
      <w:r w:rsidRPr="000851BE">
        <w:rPr>
          <w:rFonts w:cs="Arial"/>
          <w:noProof w:val="0"/>
          <w:sz w:val="22"/>
          <w:szCs w:val="22"/>
        </w:rPr>
        <w:t xml:space="preserve"> Payments for services are subject to these guidelines used to test the reasonableness of the productivity of the clinic/center's health care staff. These guidelines are applied to staff for FQHC/RHC services furnished both at the clinic/center's site and in other locations. They are as follows:</w:t>
      </w:r>
    </w:p>
    <w:p w14:paraId="58E5AAA5" w14:textId="77777777" w:rsidR="009805FE" w:rsidRDefault="009805FE" w:rsidP="005D1BFF">
      <w:pPr>
        <w:pStyle w:val="PlainText"/>
        <w:numPr>
          <w:ilvl w:val="0"/>
          <w:numId w:val="44"/>
        </w:numPr>
        <w:spacing w:after="120" w:line="360" w:lineRule="auto"/>
        <w:jc w:val="left"/>
        <w:rPr>
          <w:rFonts w:cs="Arial"/>
          <w:noProof w:val="0"/>
          <w:sz w:val="22"/>
          <w:szCs w:val="22"/>
        </w:rPr>
      </w:pPr>
      <w:r w:rsidRPr="000851BE">
        <w:rPr>
          <w:rFonts w:cs="Arial"/>
          <w:noProof w:val="0"/>
          <w:sz w:val="22"/>
          <w:szCs w:val="22"/>
        </w:rPr>
        <w:t>At least 4,200 visits annually per full time equivalent physician employed by the clinic or contracted on an on-going basis.</w:t>
      </w:r>
    </w:p>
    <w:p w14:paraId="58E5AAA6" w14:textId="77777777" w:rsidR="009805FE" w:rsidRPr="009805FE" w:rsidRDefault="009805FE" w:rsidP="005D1BFF">
      <w:pPr>
        <w:pStyle w:val="PlainText"/>
        <w:numPr>
          <w:ilvl w:val="0"/>
          <w:numId w:val="44"/>
        </w:numPr>
        <w:spacing w:after="120" w:line="360" w:lineRule="auto"/>
        <w:jc w:val="left"/>
        <w:rPr>
          <w:rFonts w:cs="Arial"/>
          <w:noProof w:val="0"/>
          <w:sz w:val="22"/>
          <w:szCs w:val="22"/>
        </w:rPr>
      </w:pPr>
      <w:r w:rsidRPr="009805FE">
        <w:rPr>
          <w:rFonts w:cs="Arial"/>
          <w:noProof w:val="0"/>
          <w:sz w:val="22"/>
          <w:szCs w:val="22"/>
        </w:rPr>
        <w:t>At least 2,100 visits per year per full time equivalent physician assistant, nurse practitioner or certified nurse midwife employed by the clinic or contracted on an on-going basis.</w:t>
      </w:r>
    </w:p>
    <w:p w14:paraId="58E5AAA7" w14:textId="77777777" w:rsidR="009805FE" w:rsidRPr="000851BE" w:rsidRDefault="009805FE" w:rsidP="005D1BFF">
      <w:pPr>
        <w:pStyle w:val="PlainText"/>
        <w:spacing w:after="120" w:line="360" w:lineRule="auto"/>
        <w:ind w:left="2160" w:hanging="2160"/>
        <w:jc w:val="left"/>
        <w:rPr>
          <w:rFonts w:cs="Arial"/>
          <w:noProof w:val="0"/>
          <w:sz w:val="22"/>
          <w:szCs w:val="22"/>
        </w:rPr>
      </w:pPr>
      <w:r w:rsidRPr="000851BE">
        <w:rPr>
          <w:rFonts w:cs="Arial"/>
          <w:noProof w:val="0"/>
          <w:sz w:val="22"/>
          <w:szCs w:val="22"/>
        </w:rPr>
        <w:t xml:space="preserve">Column 4 </w:t>
      </w:r>
      <w:r w:rsidRPr="000851BE">
        <w:rPr>
          <w:rFonts w:cs="Arial"/>
          <w:noProof w:val="0"/>
          <w:sz w:val="22"/>
          <w:szCs w:val="22"/>
        </w:rPr>
        <w:tab/>
        <w:t>The minimum visits ar</w:t>
      </w:r>
      <w:r w:rsidR="00B4464C">
        <w:rPr>
          <w:rFonts w:cs="Arial"/>
          <w:noProof w:val="0"/>
          <w:sz w:val="22"/>
          <w:szCs w:val="22"/>
        </w:rPr>
        <w:t>e computed for lines 1 through 6</w:t>
      </w:r>
      <w:r w:rsidRPr="000851BE">
        <w:rPr>
          <w:rFonts w:cs="Arial"/>
          <w:noProof w:val="0"/>
          <w:sz w:val="22"/>
          <w:szCs w:val="22"/>
        </w:rPr>
        <w:t xml:space="preserve"> by multiplying FTEs in column 1 by productivity standards in column 3.  These are minimum visits that personnel are expected to furnish cumulatively.</w:t>
      </w:r>
    </w:p>
    <w:p w14:paraId="58E5AAA8" w14:textId="77777777" w:rsidR="009805FE" w:rsidRPr="000851BE" w:rsidRDefault="00B4464C" w:rsidP="005D1BFF">
      <w:pPr>
        <w:pStyle w:val="PlainText"/>
        <w:spacing w:after="120" w:line="360" w:lineRule="auto"/>
        <w:ind w:left="2160" w:hanging="2160"/>
        <w:jc w:val="left"/>
        <w:rPr>
          <w:rFonts w:cs="Arial"/>
          <w:noProof w:val="0"/>
          <w:sz w:val="22"/>
          <w:szCs w:val="22"/>
        </w:rPr>
      </w:pPr>
      <w:r>
        <w:rPr>
          <w:rFonts w:cs="Arial"/>
          <w:noProof w:val="0"/>
          <w:sz w:val="22"/>
          <w:szCs w:val="22"/>
        </w:rPr>
        <w:t xml:space="preserve">Column 5 </w:t>
      </w:r>
      <w:r>
        <w:rPr>
          <w:rFonts w:cs="Arial"/>
          <w:noProof w:val="0"/>
          <w:sz w:val="22"/>
          <w:szCs w:val="22"/>
        </w:rPr>
        <w:tab/>
        <w:t>Lines 1 through 6</w:t>
      </w:r>
      <w:r w:rsidR="009805FE" w:rsidRPr="000851BE">
        <w:rPr>
          <w:rFonts w:cs="Arial"/>
          <w:noProof w:val="0"/>
          <w:sz w:val="22"/>
          <w:szCs w:val="22"/>
        </w:rPr>
        <w:t xml:space="preserve"> are evaluated for minimum productivity standard</w:t>
      </w:r>
      <w:r>
        <w:rPr>
          <w:rFonts w:cs="Arial"/>
          <w:noProof w:val="0"/>
          <w:sz w:val="22"/>
          <w:szCs w:val="22"/>
        </w:rPr>
        <w:t>s per CMS guidelines.  On line 7</w:t>
      </w:r>
      <w:r w:rsidR="009805FE" w:rsidRPr="000851BE">
        <w:rPr>
          <w:rFonts w:cs="Arial"/>
          <w:noProof w:val="0"/>
          <w:sz w:val="22"/>
          <w:szCs w:val="22"/>
        </w:rPr>
        <w:t>, column 5, the actual v</w:t>
      </w:r>
      <w:r w:rsidR="007C6E76">
        <w:rPr>
          <w:rFonts w:cs="Arial"/>
          <w:noProof w:val="0"/>
          <w:sz w:val="22"/>
          <w:szCs w:val="22"/>
        </w:rPr>
        <w:t>isits on column 2, line 7</w:t>
      </w:r>
      <w:r w:rsidR="009805FE" w:rsidRPr="000851BE">
        <w:rPr>
          <w:rFonts w:cs="Arial"/>
          <w:noProof w:val="0"/>
          <w:sz w:val="22"/>
          <w:szCs w:val="22"/>
        </w:rPr>
        <w:t xml:space="preserve"> are compared to the mi</w:t>
      </w:r>
      <w:r w:rsidR="007C6E76">
        <w:rPr>
          <w:rFonts w:cs="Arial"/>
          <w:noProof w:val="0"/>
          <w:sz w:val="22"/>
          <w:szCs w:val="22"/>
        </w:rPr>
        <w:t>nimum visits on column 4, line 7</w:t>
      </w:r>
      <w:r w:rsidR="009805FE" w:rsidRPr="000851BE">
        <w:rPr>
          <w:rFonts w:cs="Arial"/>
          <w:noProof w:val="0"/>
          <w:sz w:val="22"/>
          <w:szCs w:val="22"/>
        </w:rPr>
        <w:t xml:space="preserve">.  The greater of the two is used as the </w:t>
      </w:r>
      <w:r w:rsidR="007C6E76">
        <w:rPr>
          <w:rFonts w:cs="Arial"/>
          <w:noProof w:val="0"/>
          <w:sz w:val="22"/>
          <w:szCs w:val="22"/>
        </w:rPr>
        <w:t>visit number on column 5, line 7</w:t>
      </w:r>
      <w:r w:rsidR="009805FE" w:rsidRPr="000851BE">
        <w:rPr>
          <w:rFonts w:cs="Arial"/>
          <w:noProof w:val="0"/>
          <w:sz w:val="22"/>
          <w:szCs w:val="22"/>
        </w:rPr>
        <w:t xml:space="preserve">.  </w:t>
      </w:r>
    </w:p>
    <w:p w14:paraId="58E5AAA9" w14:textId="77777777" w:rsidR="009805FE" w:rsidRPr="000851BE" w:rsidRDefault="009805FE" w:rsidP="005D1BFF">
      <w:pPr>
        <w:pStyle w:val="PlainText"/>
        <w:spacing w:after="120" w:line="360" w:lineRule="auto"/>
        <w:ind w:left="2160"/>
        <w:jc w:val="left"/>
        <w:rPr>
          <w:rFonts w:cs="Arial"/>
          <w:noProof w:val="0"/>
          <w:sz w:val="22"/>
          <w:szCs w:val="22"/>
        </w:rPr>
      </w:pPr>
      <w:r w:rsidRPr="000851BE">
        <w:rPr>
          <w:rFonts w:cs="Arial"/>
          <w:noProof w:val="0"/>
          <w:sz w:val="22"/>
          <w:szCs w:val="22"/>
        </w:rPr>
        <w:t xml:space="preserve">For lines </w:t>
      </w:r>
      <w:r w:rsidR="007C6E76">
        <w:rPr>
          <w:rFonts w:cs="Arial"/>
          <w:noProof w:val="0"/>
          <w:sz w:val="22"/>
          <w:szCs w:val="22"/>
        </w:rPr>
        <w:t xml:space="preserve">8 through </w:t>
      </w:r>
      <w:r w:rsidR="00B4464C">
        <w:rPr>
          <w:rFonts w:cs="Arial"/>
          <w:noProof w:val="0"/>
          <w:sz w:val="22"/>
          <w:szCs w:val="22"/>
        </w:rPr>
        <w:t>19</w:t>
      </w:r>
      <w:r w:rsidRPr="000851BE">
        <w:rPr>
          <w:rFonts w:cs="Arial"/>
          <w:noProof w:val="0"/>
          <w:sz w:val="22"/>
          <w:szCs w:val="22"/>
        </w:rPr>
        <w:t xml:space="preserve">, the actual number of visits is carried forward to column 5 from column 2.  </w:t>
      </w:r>
    </w:p>
    <w:p w14:paraId="58E5AAAA" w14:textId="77777777" w:rsidR="007C6E76" w:rsidRDefault="007C6E76" w:rsidP="00F742C7">
      <w:pPr>
        <w:pStyle w:val="PlainText"/>
        <w:spacing w:after="120" w:line="360" w:lineRule="auto"/>
        <w:ind w:left="2160"/>
        <w:jc w:val="left"/>
        <w:rPr>
          <w:rFonts w:cs="Arial"/>
          <w:noProof w:val="0"/>
          <w:sz w:val="22"/>
          <w:szCs w:val="22"/>
        </w:rPr>
      </w:pPr>
    </w:p>
    <w:p w14:paraId="58E5AAAB" w14:textId="77777777" w:rsidR="007C6E76" w:rsidRDefault="007C6E76" w:rsidP="00F742C7">
      <w:pPr>
        <w:pStyle w:val="PlainText"/>
        <w:spacing w:after="120" w:line="360" w:lineRule="auto"/>
        <w:ind w:left="2160"/>
        <w:jc w:val="left"/>
        <w:rPr>
          <w:rFonts w:cs="Arial"/>
          <w:noProof w:val="0"/>
          <w:sz w:val="22"/>
          <w:szCs w:val="22"/>
        </w:rPr>
      </w:pPr>
      <w:r>
        <w:rPr>
          <w:rFonts w:cs="Arial"/>
          <w:noProof w:val="0"/>
          <w:sz w:val="22"/>
          <w:szCs w:val="22"/>
        </w:rPr>
        <w:t>The reimbursable visits from lines 7 throu</w:t>
      </w:r>
      <w:r w:rsidR="00B4464C">
        <w:rPr>
          <w:rFonts w:cs="Arial"/>
          <w:noProof w:val="0"/>
          <w:sz w:val="22"/>
          <w:szCs w:val="22"/>
        </w:rPr>
        <w:t>gh 19</w:t>
      </w:r>
      <w:r>
        <w:rPr>
          <w:rFonts w:cs="Arial"/>
          <w:noProof w:val="0"/>
          <w:sz w:val="22"/>
          <w:szCs w:val="22"/>
        </w:rPr>
        <w:t xml:space="preserve"> are </w:t>
      </w:r>
      <w:r w:rsidR="00B4464C">
        <w:rPr>
          <w:rFonts w:cs="Arial"/>
          <w:noProof w:val="0"/>
          <w:sz w:val="22"/>
          <w:szCs w:val="22"/>
        </w:rPr>
        <w:t>summed on column 5, line 20</w:t>
      </w:r>
      <w:r>
        <w:rPr>
          <w:rFonts w:cs="Arial"/>
          <w:noProof w:val="0"/>
          <w:sz w:val="22"/>
          <w:szCs w:val="22"/>
        </w:rPr>
        <w:t xml:space="preserve"> and carried to Worksheet 2, Part B, Line 2 to calculate the PPS rate per visit</w:t>
      </w:r>
    </w:p>
    <w:p w14:paraId="58E5AAAC" w14:textId="77777777" w:rsidR="00550EDC" w:rsidRPr="006D061D" w:rsidRDefault="009805FE" w:rsidP="00F742C7">
      <w:pPr>
        <w:pStyle w:val="PlainText"/>
        <w:spacing w:after="120" w:line="360" w:lineRule="auto"/>
        <w:ind w:left="2160"/>
        <w:jc w:val="left"/>
        <w:rPr>
          <w:rFonts w:cs="Arial"/>
          <w:sz w:val="22"/>
          <w:szCs w:val="22"/>
        </w:rPr>
      </w:pPr>
      <w:r w:rsidRPr="000851BE">
        <w:rPr>
          <w:rFonts w:cs="Arial"/>
          <w:noProof w:val="0"/>
          <w:sz w:val="22"/>
          <w:szCs w:val="22"/>
        </w:rPr>
        <w:t>The to</w:t>
      </w:r>
      <w:r w:rsidR="00B4464C">
        <w:rPr>
          <w:rFonts w:cs="Arial"/>
          <w:noProof w:val="0"/>
          <w:sz w:val="22"/>
          <w:szCs w:val="22"/>
        </w:rPr>
        <w:t xml:space="preserve">tal visits on column 5, line 22 are sum of reimbursable visits on line 20 and the </w:t>
      </w:r>
      <w:r w:rsidRPr="000851BE">
        <w:rPr>
          <w:rFonts w:cs="Arial"/>
          <w:noProof w:val="0"/>
          <w:sz w:val="22"/>
          <w:szCs w:val="22"/>
        </w:rPr>
        <w:t xml:space="preserve">nonbillable / </w:t>
      </w:r>
      <w:proofErr w:type="spellStart"/>
      <w:r w:rsidRPr="000851BE">
        <w:rPr>
          <w:rFonts w:cs="Arial"/>
          <w:noProof w:val="0"/>
          <w:sz w:val="22"/>
          <w:szCs w:val="22"/>
        </w:rPr>
        <w:t>nonreimbursable</w:t>
      </w:r>
      <w:proofErr w:type="spellEnd"/>
      <w:r w:rsidRPr="000851BE">
        <w:rPr>
          <w:rFonts w:cs="Arial"/>
          <w:noProof w:val="0"/>
          <w:sz w:val="22"/>
          <w:szCs w:val="22"/>
        </w:rPr>
        <w:t xml:space="preserve"> visits </w:t>
      </w:r>
      <w:r w:rsidR="00B4464C">
        <w:rPr>
          <w:rFonts w:cs="Arial"/>
          <w:noProof w:val="0"/>
          <w:sz w:val="22"/>
          <w:szCs w:val="22"/>
        </w:rPr>
        <w:t>on line 21 and should match with total visits on Worksheet 5.</w:t>
      </w:r>
      <w:r w:rsidRPr="000851BE">
        <w:rPr>
          <w:rFonts w:cs="Arial"/>
          <w:noProof w:val="0"/>
          <w:sz w:val="22"/>
          <w:szCs w:val="22"/>
        </w:rPr>
        <w:t>.</w:t>
      </w:r>
    </w:p>
    <w:sectPr w:rsidR="00550EDC" w:rsidRPr="006D061D" w:rsidSect="004C3D19">
      <w:headerReference w:type="default" r:id="rId14"/>
      <w:footerReference w:type="even" r:id="rId15"/>
      <w:footerReference w:type="default" r:id="rId16"/>
      <w:endnotePr>
        <w:numFmt w:val="decimal"/>
      </w:endnotePr>
      <w:pgSz w:w="12240" w:h="15840"/>
      <w:pgMar w:top="1440" w:right="1440" w:bottom="1440" w:left="1440" w:header="14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99D95" w14:textId="77777777" w:rsidR="00E46F2D" w:rsidRDefault="00E46F2D">
      <w:r>
        <w:separator/>
      </w:r>
    </w:p>
  </w:endnote>
  <w:endnote w:type="continuationSeparator" w:id="0">
    <w:p w14:paraId="76578629" w14:textId="77777777" w:rsidR="00E46F2D" w:rsidRDefault="00E4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elsey Wide">
    <w:altName w:val="Arial Narrow"/>
    <w:charset w:val="00"/>
    <w:family w:val="swiss"/>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AAC2" w14:textId="77777777" w:rsidR="00550EDC" w:rsidRDefault="00550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5AAC3" w14:textId="77777777" w:rsidR="00550EDC" w:rsidRDefault="00550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AAC4" w14:textId="77777777" w:rsidR="00550EDC" w:rsidRDefault="00550EDC">
    <w:pPr>
      <w:pStyle w:val="Footer"/>
      <w:framePr w:wrap="around" w:vAnchor="text" w:hAnchor="margin" w:xAlign="center" w:y="1"/>
      <w:rPr>
        <w:rStyle w:val="PageNumber"/>
      </w:rPr>
    </w:pPr>
  </w:p>
  <w:p w14:paraId="58E5AAC5" w14:textId="77777777" w:rsidR="00550EDC" w:rsidRDefault="00550EDC">
    <w:pPr>
      <w:pStyle w:val="Footer"/>
      <w:rPr>
        <w:rFonts w:ascii="Arial" w:hAnsi="Arial"/>
        <w:b/>
      </w:rPr>
    </w:pPr>
    <w:r w:rsidRPr="00D67623">
      <w:rPr>
        <w:rFonts w:ascii="Arial" w:hAnsi="Arial"/>
        <w:b/>
        <w:sz w:val="16"/>
        <w:szCs w:val="16"/>
      </w:rPr>
      <w:t>DH</w:t>
    </w:r>
    <w:r w:rsidR="00E8795C" w:rsidRPr="00D67623">
      <w:rPr>
        <w:rFonts w:ascii="Arial" w:hAnsi="Arial"/>
        <w:b/>
        <w:sz w:val="16"/>
        <w:szCs w:val="16"/>
      </w:rPr>
      <w:t>C</w:t>
    </w:r>
    <w:r w:rsidRPr="00D67623">
      <w:rPr>
        <w:rFonts w:ascii="Arial" w:hAnsi="Arial"/>
        <w:b/>
        <w:sz w:val="16"/>
        <w:szCs w:val="16"/>
      </w:rPr>
      <w:t>S 3096</w:t>
    </w:r>
    <w:r w:rsidR="00DF4287">
      <w:rPr>
        <w:rFonts w:ascii="Arial" w:hAnsi="Arial"/>
        <w:b/>
        <w:sz w:val="16"/>
        <w:szCs w:val="16"/>
      </w:rPr>
      <w:t>i (12</w:t>
    </w:r>
    <w:r w:rsidR="00A51CFF">
      <w:rPr>
        <w:rFonts w:ascii="Arial" w:hAnsi="Arial"/>
        <w:b/>
        <w:sz w:val="16"/>
        <w:szCs w:val="16"/>
      </w:rPr>
      <w:t>/</w:t>
    </w:r>
    <w:r w:rsidR="00D67623">
      <w:rPr>
        <w:rFonts w:ascii="Arial" w:hAnsi="Arial"/>
        <w:b/>
        <w:sz w:val="16"/>
        <w:szCs w:val="16"/>
      </w:rPr>
      <w:t>15</w:t>
    </w:r>
    <w:r w:rsidRPr="00D67623">
      <w:rPr>
        <w:rFonts w:ascii="Arial" w:hAnsi="Arial"/>
        <w:b/>
        <w:sz w:val="16"/>
        <w:szCs w:val="16"/>
      </w:rPr>
      <w:t xml:space="preserve">)  </w:t>
    </w:r>
    <w:r>
      <w:rPr>
        <w:rFonts w:ascii="Arial" w:hAnsi="Arial"/>
        <w:b/>
        <w:sz w:val="12"/>
      </w:rPr>
      <w:tab/>
    </w:r>
    <w:r w:rsidRPr="00D67623">
      <w:rPr>
        <w:rFonts w:ascii="Arial" w:hAnsi="Arial"/>
        <w:b/>
        <w:sz w:val="16"/>
        <w:szCs w:val="16"/>
      </w:rPr>
      <w:t xml:space="preserve">Page </w:t>
    </w:r>
    <w:r w:rsidRPr="00D67623">
      <w:rPr>
        <w:rFonts w:ascii="Arial" w:hAnsi="Arial"/>
        <w:b/>
        <w:sz w:val="16"/>
        <w:szCs w:val="16"/>
      </w:rPr>
      <w:fldChar w:fldCharType="begin"/>
    </w:r>
    <w:r w:rsidRPr="00D67623">
      <w:rPr>
        <w:rFonts w:ascii="Arial" w:hAnsi="Arial"/>
        <w:b/>
        <w:sz w:val="16"/>
        <w:szCs w:val="16"/>
      </w:rPr>
      <w:instrText xml:space="preserve"> PAGE </w:instrText>
    </w:r>
    <w:r w:rsidRPr="00D67623">
      <w:rPr>
        <w:rFonts w:ascii="Arial" w:hAnsi="Arial"/>
        <w:b/>
        <w:sz w:val="16"/>
        <w:szCs w:val="16"/>
      </w:rPr>
      <w:fldChar w:fldCharType="separate"/>
    </w:r>
    <w:r w:rsidR="00346FD3">
      <w:rPr>
        <w:rFonts w:ascii="Arial" w:hAnsi="Arial"/>
        <w:b/>
        <w:noProof/>
        <w:sz w:val="16"/>
        <w:szCs w:val="16"/>
      </w:rPr>
      <w:t>8</w:t>
    </w:r>
    <w:r w:rsidRPr="00D67623">
      <w:rPr>
        <w:rFonts w:ascii="Arial" w:hAnsi="Arial"/>
        <w:b/>
        <w:sz w:val="16"/>
        <w:szCs w:val="16"/>
      </w:rPr>
      <w:fldChar w:fldCharType="end"/>
    </w:r>
    <w:r w:rsidRPr="00D67623">
      <w:rPr>
        <w:rFonts w:ascii="Arial" w:hAnsi="Arial"/>
        <w:b/>
        <w:sz w:val="16"/>
        <w:szCs w:val="16"/>
      </w:rPr>
      <w:t xml:space="preserve"> of </w:t>
    </w:r>
    <w:r w:rsidR="00BC6123">
      <w:rPr>
        <w:rFonts w:ascii="Arial" w:hAnsi="Arial"/>
        <w:b/>
        <w:sz w:val="16"/>
        <w:szCs w:val="16"/>
      </w:rPr>
      <w:t>13</w:t>
    </w:r>
  </w:p>
  <w:p w14:paraId="58E5AAC6" w14:textId="77777777" w:rsidR="00550EDC" w:rsidRDefault="00550ED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942FB" w14:textId="77777777" w:rsidR="00E46F2D" w:rsidRDefault="00E46F2D">
      <w:r>
        <w:separator/>
      </w:r>
    </w:p>
  </w:footnote>
  <w:footnote w:type="continuationSeparator" w:id="0">
    <w:p w14:paraId="6AE3F27C" w14:textId="77777777" w:rsidR="00E46F2D" w:rsidRDefault="00E4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AAB7" w14:textId="77777777" w:rsidR="00550EDC" w:rsidRPr="001E6B99" w:rsidRDefault="00550EDC">
    <w:pPr>
      <w:pStyle w:val="Header"/>
      <w:rPr>
        <w:rFonts w:ascii="Arial" w:hAnsi="Arial"/>
        <w:b/>
        <w:sz w:val="14"/>
        <w:szCs w:val="14"/>
      </w:rPr>
    </w:pPr>
  </w:p>
  <w:p w14:paraId="58E5AAB8" w14:textId="77777777" w:rsidR="00A51CFF" w:rsidRDefault="00A51CFF" w:rsidP="00A51CFF">
    <w:pPr>
      <w:tabs>
        <w:tab w:val="left" w:pos="9500"/>
      </w:tabs>
      <w:autoSpaceDE w:val="0"/>
      <w:autoSpaceDN w:val="0"/>
      <w:adjustRightInd w:val="0"/>
      <w:spacing w:before="93"/>
      <w:ind w:right="-20"/>
      <w:rPr>
        <w:sz w:val="12"/>
        <w:szCs w:val="12"/>
      </w:rPr>
    </w:pPr>
    <w:r>
      <w:rPr>
        <w:spacing w:val="-1"/>
        <w:sz w:val="12"/>
        <w:szCs w:val="12"/>
      </w:rPr>
      <w:t>S</w:t>
    </w:r>
    <w:r>
      <w:rPr>
        <w:sz w:val="12"/>
        <w:szCs w:val="12"/>
      </w:rPr>
      <w:t>t</w:t>
    </w:r>
    <w:r>
      <w:rPr>
        <w:spacing w:val="1"/>
        <w:sz w:val="12"/>
        <w:szCs w:val="12"/>
      </w:rPr>
      <w:t>a</w:t>
    </w:r>
    <w:r>
      <w:rPr>
        <w:sz w:val="12"/>
        <w:szCs w:val="12"/>
      </w:rPr>
      <w:t>te</w:t>
    </w:r>
    <w:r>
      <w:rPr>
        <w:spacing w:val="1"/>
        <w:sz w:val="12"/>
        <w:szCs w:val="12"/>
      </w:rPr>
      <w:t xml:space="preserve"> o</w:t>
    </w:r>
    <w:r>
      <w:rPr>
        <w:sz w:val="12"/>
        <w:szCs w:val="12"/>
      </w:rPr>
      <w:t>f C</w:t>
    </w:r>
    <w:r>
      <w:rPr>
        <w:spacing w:val="-2"/>
        <w:sz w:val="12"/>
        <w:szCs w:val="12"/>
      </w:rPr>
      <w:t>a</w:t>
    </w:r>
    <w:r>
      <w:rPr>
        <w:sz w:val="12"/>
        <w:szCs w:val="12"/>
      </w:rPr>
      <w:t>l</w:t>
    </w:r>
    <w:r>
      <w:rPr>
        <w:spacing w:val="2"/>
        <w:sz w:val="12"/>
        <w:szCs w:val="12"/>
      </w:rPr>
      <w:t>i</w:t>
    </w:r>
    <w:r>
      <w:rPr>
        <w:sz w:val="12"/>
        <w:szCs w:val="12"/>
      </w:rPr>
      <w:t>f</w:t>
    </w:r>
    <w:r>
      <w:rPr>
        <w:spacing w:val="1"/>
        <w:sz w:val="12"/>
        <w:szCs w:val="12"/>
      </w:rPr>
      <w:t>or</w:t>
    </w:r>
    <w:r>
      <w:rPr>
        <w:spacing w:val="-2"/>
        <w:sz w:val="12"/>
        <w:szCs w:val="12"/>
      </w:rPr>
      <w:t>n</w:t>
    </w:r>
    <w:r>
      <w:rPr>
        <w:sz w:val="12"/>
        <w:szCs w:val="12"/>
      </w:rPr>
      <w:t>i</w:t>
    </w:r>
    <w:r>
      <w:rPr>
        <w:spacing w:val="2"/>
        <w:sz w:val="12"/>
        <w:szCs w:val="12"/>
      </w:rPr>
      <w:t>a</w:t>
    </w:r>
    <w:r>
      <w:rPr>
        <w:sz w:val="12"/>
        <w:szCs w:val="12"/>
      </w:rPr>
      <w:t>—He</w:t>
    </w:r>
    <w:r>
      <w:rPr>
        <w:spacing w:val="-2"/>
        <w:sz w:val="12"/>
        <w:szCs w:val="12"/>
      </w:rPr>
      <w:t>a</w:t>
    </w:r>
    <w:r>
      <w:rPr>
        <w:spacing w:val="2"/>
        <w:sz w:val="12"/>
        <w:szCs w:val="12"/>
      </w:rPr>
      <w:t>l</w:t>
    </w:r>
    <w:r>
      <w:rPr>
        <w:sz w:val="12"/>
        <w:szCs w:val="12"/>
      </w:rPr>
      <w:t>th</w:t>
    </w:r>
    <w:r>
      <w:rPr>
        <w:spacing w:val="1"/>
        <w:sz w:val="12"/>
        <w:szCs w:val="12"/>
      </w:rPr>
      <w:t xml:space="preserve"> a</w:t>
    </w:r>
    <w:r>
      <w:rPr>
        <w:spacing w:val="-2"/>
        <w:sz w:val="12"/>
        <w:szCs w:val="12"/>
      </w:rPr>
      <w:t>n</w:t>
    </w:r>
    <w:r>
      <w:rPr>
        <w:sz w:val="12"/>
        <w:szCs w:val="12"/>
      </w:rPr>
      <w:t>d Hu</w:t>
    </w:r>
    <w:r>
      <w:rPr>
        <w:spacing w:val="-4"/>
        <w:sz w:val="12"/>
        <w:szCs w:val="12"/>
      </w:rPr>
      <w:t>m</w:t>
    </w:r>
    <w:r>
      <w:rPr>
        <w:sz w:val="12"/>
        <w:szCs w:val="12"/>
      </w:rPr>
      <w:t xml:space="preserve">an </w:t>
    </w:r>
    <w:r>
      <w:rPr>
        <w:spacing w:val="-1"/>
        <w:sz w:val="12"/>
        <w:szCs w:val="12"/>
      </w:rPr>
      <w:t>S</w:t>
    </w:r>
    <w:r>
      <w:rPr>
        <w:sz w:val="12"/>
        <w:szCs w:val="12"/>
      </w:rPr>
      <w:t>e</w:t>
    </w:r>
    <w:r>
      <w:rPr>
        <w:spacing w:val="1"/>
        <w:sz w:val="12"/>
        <w:szCs w:val="12"/>
      </w:rPr>
      <w:t>r</w:t>
    </w:r>
    <w:r>
      <w:rPr>
        <w:sz w:val="12"/>
        <w:szCs w:val="12"/>
      </w:rPr>
      <w:t>v</w:t>
    </w:r>
    <w:r>
      <w:rPr>
        <w:spacing w:val="2"/>
        <w:sz w:val="12"/>
        <w:szCs w:val="12"/>
      </w:rPr>
      <w:t>i</w:t>
    </w:r>
    <w:r>
      <w:rPr>
        <w:spacing w:val="-2"/>
        <w:sz w:val="12"/>
        <w:szCs w:val="12"/>
      </w:rPr>
      <w:t>c</w:t>
    </w:r>
    <w:r>
      <w:rPr>
        <w:sz w:val="12"/>
        <w:szCs w:val="12"/>
      </w:rPr>
      <w:t xml:space="preserve">es </w:t>
    </w:r>
    <w:r>
      <w:rPr>
        <w:spacing w:val="-1"/>
        <w:sz w:val="12"/>
        <w:szCs w:val="12"/>
      </w:rPr>
      <w:t>A</w:t>
    </w:r>
    <w:r>
      <w:rPr>
        <w:sz w:val="12"/>
        <w:szCs w:val="12"/>
      </w:rPr>
      <w:t xml:space="preserve">gency                                                                                                                                     </w:t>
    </w:r>
    <w:r w:rsidR="003B2091">
      <w:rPr>
        <w:sz w:val="12"/>
        <w:szCs w:val="12"/>
      </w:rPr>
      <w:t xml:space="preserve">                                                </w:t>
    </w:r>
    <w:r>
      <w:rPr>
        <w:sz w:val="12"/>
        <w:szCs w:val="12"/>
      </w:rPr>
      <w:t>De</w:t>
    </w:r>
    <w:r>
      <w:rPr>
        <w:spacing w:val="1"/>
        <w:sz w:val="12"/>
        <w:szCs w:val="12"/>
      </w:rPr>
      <w:t>p</w:t>
    </w:r>
    <w:r>
      <w:rPr>
        <w:sz w:val="12"/>
        <w:szCs w:val="12"/>
      </w:rPr>
      <w:t>a</w:t>
    </w:r>
    <w:r>
      <w:rPr>
        <w:spacing w:val="1"/>
        <w:sz w:val="12"/>
        <w:szCs w:val="12"/>
      </w:rPr>
      <w:t>r</w:t>
    </w:r>
    <w:r>
      <w:rPr>
        <w:sz w:val="12"/>
        <w:szCs w:val="12"/>
      </w:rPr>
      <w:t>t</w:t>
    </w:r>
    <w:r>
      <w:rPr>
        <w:spacing w:val="-4"/>
        <w:sz w:val="12"/>
        <w:szCs w:val="12"/>
      </w:rPr>
      <w:t>m</w:t>
    </w:r>
    <w:r>
      <w:rPr>
        <w:sz w:val="12"/>
        <w:szCs w:val="12"/>
      </w:rPr>
      <w:t>ent of He</w:t>
    </w:r>
    <w:r>
      <w:rPr>
        <w:spacing w:val="1"/>
        <w:sz w:val="12"/>
        <w:szCs w:val="12"/>
      </w:rPr>
      <w:t>a</w:t>
    </w:r>
    <w:r>
      <w:rPr>
        <w:sz w:val="12"/>
        <w:szCs w:val="12"/>
      </w:rPr>
      <w:t>lth Ca</w:t>
    </w:r>
    <w:r>
      <w:rPr>
        <w:spacing w:val="1"/>
        <w:sz w:val="12"/>
        <w:szCs w:val="12"/>
      </w:rPr>
      <w:t>r</w:t>
    </w:r>
    <w:r>
      <w:rPr>
        <w:sz w:val="12"/>
        <w:szCs w:val="12"/>
      </w:rPr>
      <w:t>e</w:t>
    </w:r>
    <w:r>
      <w:rPr>
        <w:spacing w:val="-2"/>
        <w:sz w:val="12"/>
        <w:szCs w:val="12"/>
      </w:rPr>
      <w:t xml:space="preserve"> </w:t>
    </w:r>
    <w:r>
      <w:rPr>
        <w:spacing w:val="-1"/>
        <w:sz w:val="12"/>
        <w:szCs w:val="12"/>
      </w:rPr>
      <w:t>S</w:t>
    </w:r>
    <w:r>
      <w:rPr>
        <w:sz w:val="12"/>
        <w:szCs w:val="12"/>
      </w:rPr>
      <w:t>e</w:t>
    </w:r>
    <w:r>
      <w:rPr>
        <w:spacing w:val="1"/>
        <w:sz w:val="12"/>
        <w:szCs w:val="12"/>
      </w:rPr>
      <w:t>r</w:t>
    </w:r>
    <w:r>
      <w:rPr>
        <w:spacing w:val="-2"/>
        <w:sz w:val="12"/>
        <w:szCs w:val="12"/>
      </w:rPr>
      <w:t>v</w:t>
    </w:r>
    <w:r>
      <w:rPr>
        <w:spacing w:val="2"/>
        <w:sz w:val="12"/>
        <w:szCs w:val="12"/>
      </w:rPr>
      <w:t>i</w:t>
    </w:r>
    <w:r>
      <w:rPr>
        <w:sz w:val="12"/>
        <w:szCs w:val="12"/>
      </w:rPr>
      <w:t>ces</w:t>
    </w:r>
  </w:p>
  <w:p w14:paraId="58E5AAB9" w14:textId="77777777" w:rsidR="00BC6123" w:rsidRPr="001E6B99" w:rsidRDefault="00BC6123">
    <w:pPr>
      <w:pStyle w:val="Header"/>
      <w:rPr>
        <w:rFonts w:ascii="Arial" w:hAnsi="Arial"/>
        <w:b/>
        <w:sz w:val="14"/>
        <w:szCs w:val="14"/>
      </w:rPr>
    </w:pPr>
  </w:p>
  <w:p w14:paraId="58E5AABA" w14:textId="77777777" w:rsidR="004C3D19" w:rsidRDefault="004C3D19" w:rsidP="00BC6123">
    <w:pPr>
      <w:pStyle w:val="Heading-Instructions"/>
    </w:pPr>
  </w:p>
  <w:p w14:paraId="58E5AABB" w14:textId="77777777" w:rsidR="00BC6123" w:rsidRDefault="00BC6123" w:rsidP="00BC6123">
    <w:pPr>
      <w:pStyle w:val="Heading-Instructions"/>
    </w:pPr>
    <w:r>
      <w:t>MEDI-CAL COST REPORT INSTRUCTIONS</w:t>
    </w:r>
  </w:p>
  <w:p w14:paraId="58E5AABC" w14:textId="77777777" w:rsidR="00BC6123" w:rsidRDefault="00BC6123" w:rsidP="00BC6123">
    <w:pPr>
      <w:pStyle w:val="Heading-Instructions"/>
    </w:pPr>
    <w:r>
      <w:t>CHANGE IN SCOPE-OF-SERVICE RQUEST (CSOSR)</w:t>
    </w:r>
  </w:p>
  <w:p w14:paraId="58E5AABD" w14:textId="77777777" w:rsidR="00BC6123" w:rsidRDefault="00BC6123" w:rsidP="00BC6123">
    <w:pPr>
      <w:pStyle w:val="Heading-Instructions"/>
    </w:pPr>
    <w:r>
      <w:t>FREESTANDING</w:t>
    </w:r>
  </w:p>
  <w:p w14:paraId="58E5AABE" w14:textId="77777777" w:rsidR="00BC6123" w:rsidRDefault="00BC6123" w:rsidP="00BC6123">
    <w:pPr>
      <w:pStyle w:val="Heading-Instructions"/>
    </w:pPr>
    <w:r>
      <w:t>FEDERALLY QUALIFIED HEALTH CENTER (FQHC) / RURAL HEALTH CENTER (RHC)</w:t>
    </w:r>
  </w:p>
  <w:p w14:paraId="58E5AABF" w14:textId="77777777" w:rsidR="00BC6123" w:rsidRDefault="00BC6123" w:rsidP="00BC6123">
    <w:pPr>
      <w:pStyle w:val="Heading-Instructions"/>
    </w:pPr>
    <w:r>
      <w:t>PROSPECTIVE PAYMENT SYSTEM (PPS)</w:t>
    </w:r>
  </w:p>
  <w:p w14:paraId="58E5AAC0" w14:textId="77777777" w:rsidR="004C3D19" w:rsidRDefault="004C3D19" w:rsidP="00BC6123">
    <w:pPr>
      <w:pStyle w:val="Heading-Instructions"/>
    </w:pPr>
  </w:p>
  <w:p w14:paraId="58E5AAC1" w14:textId="77777777" w:rsidR="00BC6123" w:rsidRDefault="00BC6123">
    <w:pPr>
      <w:pStyle w:val="Header"/>
      <w:rPr>
        <w:rFonts w:ascii="Arial" w:hAnsi="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1D8D9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A6AD1"/>
    <w:multiLevelType w:val="hybridMultilevel"/>
    <w:tmpl w:val="B22E3518"/>
    <w:lvl w:ilvl="0" w:tplc="2FDC6B0C">
      <w:start w:val="1"/>
      <w:numFmt w:val="upperLetter"/>
      <w:lvlText w:val="(%1)"/>
      <w:lvlJc w:val="left"/>
      <w:pPr>
        <w:ind w:left="420" w:hanging="360"/>
      </w:pPr>
      <w:rPr>
        <w:rFonts w:hint="default"/>
      </w:rPr>
    </w:lvl>
    <w:lvl w:ilvl="1" w:tplc="6614A688">
      <w:start w:val="1"/>
      <w:numFmt w:val="lowerLetter"/>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3C382C"/>
    <w:multiLevelType w:val="hybridMultilevel"/>
    <w:tmpl w:val="7C2C4A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3C6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2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6D18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BB430C"/>
    <w:multiLevelType w:val="singleLevel"/>
    <w:tmpl w:val="DCEAAC82"/>
    <w:lvl w:ilvl="0">
      <w:start w:val="1"/>
      <w:numFmt w:val="decimal"/>
      <w:lvlText w:val="%1."/>
      <w:lvlJc w:val="left"/>
      <w:pPr>
        <w:tabs>
          <w:tab w:val="num" w:pos="1080"/>
        </w:tabs>
        <w:ind w:left="1080" w:hanging="360"/>
      </w:pPr>
      <w:rPr>
        <w:rFonts w:hint="default"/>
      </w:rPr>
    </w:lvl>
  </w:abstractNum>
  <w:abstractNum w:abstractNumId="7" w15:restartNumberingAfterBreak="0">
    <w:nsid w:val="21E45429"/>
    <w:multiLevelType w:val="singleLevel"/>
    <w:tmpl w:val="B8262682"/>
    <w:lvl w:ilvl="0">
      <w:start w:val="4"/>
      <w:numFmt w:val="decimal"/>
      <w:lvlText w:val="%1"/>
      <w:lvlJc w:val="left"/>
      <w:pPr>
        <w:tabs>
          <w:tab w:val="num" w:pos="1080"/>
        </w:tabs>
        <w:ind w:left="1080" w:hanging="360"/>
      </w:pPr>
      <w:rPr>
        <w:rFonts w:hint="default"/>
      </w:rPr>
    </w:lvl>
  </w:abstractNum>
  <w:abstractNum w:abstractNumId="8" w15:restartNumberingAfterBreak="0">
    <w:nsid w:val="23AE0AC1"/>
    <w:multiLevelType w:val="singleLevel"/>
    <w:tmpl w:val="6B98414E"/>
    <w:lvl w:ilvl="0">
      <w:start w:val="1"/>
      <w:numFmt w:val="lowerLetter"/>
      <w:lvlText w:val="(%1)"/>
      <w:lvlJc w:val="left"/>
      <w:pPr>
        <w:tabs>
          <w:tab w:val="num" w:pos="2160"/>
        </w:tabs>
        <w:ind w:left="2160" w:hanging="720"/>
      </w:pPr>
      <w:rPr>
        <w:rFonts w:hint="default"/>
      </w:rPr>
    </w:lvl>
  </w:abstractNum>
  <w:abstractNum w:abstractNumId="9" w15:restartNumberingAfterBreak="0">
    <w:nsid w:val="25817480"/>
    <w:multiLevelType w:val="hybridMultilevel"/>
    <w:tmpl w:val="52C82B02"/>
    <w:lvl w:ilvl="0" w:tplc="6B82D1CC">
      <w:start w:val="1"/>
      <w:numFmt w:val="upperRoman"/>
      <w:lvlText w:val="%1."/>
      <w:lvlJc w:val="left"/>
      <w:pPr>
        <w:ind w:left="832" w:hanging="720"/>
      </w:pPr>
      <w:rPr>
        <w:rFonts w:ascii="Arial" w:eastAsia="Arial" w:hAnsi="Arial" w:hint="default"/>
        <w:b/>
        <w:bCs/>
        <w:spacing w:val="-2"/>
        <w:sz w:val="22"/>
        <w:szCs w:val="22"/>
      </w:rPr>
    </w:lvl>
    <w:lvl w:ilvl="1" w:tplc="20DCFC14">
      <w:start w:val="1"/>
      <w:numFmt w:val="bullet"/>
      <w:lvlText w:val=""/>
      <w:lvlJc w:val="left"/>
      <w:pPr>
        <w:ind w:left="1192" w:hanging="360"/>
      </w:pPr>
      <w:rPr>
        <w:rFonts w:ascii="Symbol" w:eastAsia="Symbol" w:hAnsi="Symbol" w:hint="default"/>
        <w:sz w:val="22"/>
        <w:szCs w:val="22"/>
      </w:rPr>
    </w:lvl>
    <w:lvl w:ilvl="2" w:tplc="57E8BA82">
      <w:start w:val="1"/>
      <w:numFmt w:val="bullet"/>
      <w:lvlText w:val="o"/>
      <w:lvlJc w:val="left"/>
      <w:pPr>
        <w:ind w:left="1553" w:hanging="361"/>
      </w:pPr>
      <w:rPr>
        <w:rFonts w:ascii="Courier New" w:eastAsia="Courier New" w:hAnsi="Courier New" w:hint="default"/>
        <w:sz w:val="22"/>
        <w:szCs w:val="22"/>
      </w:rPr>
    </w:lvl>
    <w:lvl w:ilvl="3" w:tplc="9F4CC55C">
      <w:start w:val="1"/>
      <w:numFmt w:val="bullet"/>
      <w:lvlText w:val="•"/>
      <w:lvlJc w:val="left"/>
      <w:pPr>
        <w:ind w:left="2643" w:hanging="361"/>
      </w:pPr>
      <w:rPr>
        <w:rFonts w:hint="default"/>
      </w:rPr>
    </w:lvl>
    <w:lvl w:ilvl="4" w:tplc="EDDEF7EA">
      <w:start w:val="1"/>
      <w:numFmt w:val="bullet"/>
      <w:lvlText w:val="•"/>
      <w:lvlJc w:val="left"/>
      <w:pPr>
        <w:ind w:left="3734" w:hanging="361"/>
      </w:pPr>
      <w:rPr>
        <w:rFonts w:hint="default"/>
      </w:rPr>
    </w:lvl>
    <w:lvl w:ilvl="5" w:tplc="65444968">
      <w:start w:val="1"/>
      <w:numFmt w:val="bullet"/>
      <w:lvlText w:val="•"/>
      <w:lvlJc w:val="left"/>
      <w:pPr>
        <w:ind w:left="4825" w:hanging="361"/>
      </w:pPr>
      <w:rPr>
        <w:rFonts w:hint="default"/>
      </w:rPr>
    </w:lvl>
    <w:lvl w:ilvl="6" w:tplc="970E724C">
      <w:start w:val="1"/>
      <w:numFmt w:val="bullet"/>
      <w:lvlText w:val="•"/>
      <w:lvlJc w:val="left"/>
      <w:pPr>
        <w:ind w:left="5916" w:hanging="361"/>
      </w:pPr>
      <w:rPr>
        <w:rFonts w:hint="default"/>
      </w:rPr>
    </w:lvl>
    <w:lvl w:ilvl="7" w:tplc="4E906C88">
      <w:start w:val="1"/>
      <w:numFmt w:val="bullet"/>
      <w:lvlText w:val="•"/>
      <w:lvlJc w:val="left"/>
      <w:pPr>
        <w:ind w:left="7007" w:hanging="361"/>
      </w:pPr>
      <w:rPr>
        <w:rFonts w:hint="default"/>
      </w:rPr>
    </w:lvl>
    <w:lvl w:ilvl="8" w:tplc="0E263168">
      <w:start w:val="1"/>
      <w:numFmt w:val="bullet"/>
      <w:lvlText w:val="•"/>
      <w:lvlJc w:val="left"/>
      <w:pPr>
        <w:ind w:left="8098" w:hanging="361"/>
      </w:pPr>
      <w:rPr>
        <w:rFonts w:hint="default"/>
      </w:rPr>
    </w:lvl>
  </w:abstractNum>
  <w:abstractNum w:abstractNumId="10" w15:restartNumberingAfterBreak="0">
    <w:nsid w:val="288815EA"/>
    <w:multiLevelType w:val="hybridMultilevel"/>
    <w:tmpl w:val="EE0613DA"/>
    <w:lvl w:ilvl="0" w:tplc="760E626A">
      <w:start w:val="3"/>
      <w:numFmt w:val="lowerRoman"/>
      <w:lvlText w:val="(%1)"/>
      <w:lvlJc w:val="left"/>
      <w:pPr>
        <w:tabs>
          <w:tab w:val="num" w:pos="2880"/>
        </w:tabs>
        <w:ind w:left="2880" w:hanging="720"/>
      </w:pPr>
      <w:rPr>
        <w:rFonts w:hint="default"/>
      </w:rPr>
    </w:lvl>
    <w:lvl w:ilvl="1" w:tplc="FE1C1E26">
      <w:start w:val="2"/>
      <w:numFmt w:val="decimal"/>
      <w:lvlText w:val="%2."/>
      <w:lvlJc w:val="left"/>
      <w:pPr>
        <w:tabs>
          <w:tab w:val="num" w:pos="3240"/>
        </w:tabs>
        <w:ind w:left="3240" w:hanging="360"/>
      </w:pPr>
      <w:rPr>
        <w:rFonts w:hint="default"/>
      </w:rPr>
    </w:lvl>
    <w:lvl w:ilvl="2" w:tplc="F09C1996" w:tentative="1">
      <w:start w:val="1"/>
      <w:numFmt w:val="lowerRoman"/>
      <w:lvlText w:val="%3."/>
      <w:lvlJc w:val="right"/>
      <w:pPr>
        <w:tabs>
          <w:tab w:val="num" w:pos="3960"/>
        </w:tabs>
        <w:ind w:left="3960" w:hanging="180"/>
      </w:pPr>
    </w:lvl>
    <w:lvl w:ilvl="3" w:tplc="0902D4F0" w:tentative="1">
      <w:start w:val="1"/>
      <w:numFmt w:val="decimal"/>
      <w:lvlText w:val="%4."/>
      <w:lvlJc w:val="left"/>
      <w:pPr>
        <w:tabs>
          <w:tab w:val="num" w:pos="4680"/>
        </w:tabs>
        <w:ind w:left="4680" w:hanging="360"/>
      </w:pPr>
    </w:lvl>
    <w:lvl w:ilvl="4" w:tplc="A0DA61CE" w:tentative="1">
      <w:start w:val="1"/>
      <w:numFmt w:val="lowerLetter"/>
      <w:lvlText w:val="%5."/>
      <w:lvlJc w:val="left"/>
      <w:pPr>
        <w:tabs>
          <w:tab w:val="num" w:pos="5400"/>
        </w:tabs>
        <w:ind w:left="5400" w:hanging="360"/>
      </w:pPr>
    </w:lvl>
    <w:lvl w:ilvl="5" w:tplc="89D66D84" w:tentative="1">
      <w:start w:val="1"/>
      <w:numFmt w:val="lowerRoman"/>
      <w:lvlText w:val="%6."/>
      <w:lvlJc w:val="right"/>
      <w:pPr>
        <w:tabs>
          <w:tab w:val="num" w:pos="6120"/>
        </w:tabs>
        <w:ind w:left="6120" w:hanging="180"/>
      </w:pPr>
    </w:lvl>
    <w:lvl w:ilvl="6" w:tplc="F27865C0" w:tentative="1">
      <w:start w:val="1"/>
      <w:numFmt w:val="decimal"/>
      <w:lvlText w:val="%7."/>
      <w:lvlJc w:val="left"/>
      <w:pPr>
        <w:tabs>
          <w:tab w:val="num" w:pos="6840"/>
        </w:tabs>
        <w:ind w:left="6840" w:hanging="360"/>
      </w:pPr>
    </w:lvl>
    <w:lvl w:ilvl="7" w:tplc="FF5E6F84" w:tentative="1">
      <w:start w:val="1"/>
      <w:numFmt w:val="lowerLetter"/>
      <w:lvlText w:val="%8."/>
      <w:lvlJc w:val="left"/>
      <w:pPr>
        <w:tabs>
          <w:tab w:val="num" w:pos="7560"/>
        </w:tabs>
        <w:ind w:left="7560" w:hanging="360"/>
      </w:pPr>
    </w:lvl>
    <w:lvl w:ilvl="8" w:tplc="788E4C02" w:tentative="1">
      <w:start w:val="1"/>
      <w:numFmt w:val="lowerRoman"/>
      <w:lvlText w:val="%9."/>
      <w:lvlJc w:val="right"/>
      <w:pPr>
        <w:tabs>
          <w:tab w:val="num" w:pos="8280"/>
        </w:tabs>
        <w:ind w:left="8280" w:hanging="180"/>
      </w:pPr>
    </w:lvl>
  </w:abstractNum>
  <w:abstractNum w:abstractNumId="11" w15:restartNumberingAfterBreak="0">
    <w:nsid w:val="288B2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4866E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D0D017A"/>
    <w:multiLevelType w:val="singleLevel"/>
    <w:tmpl w:val="B8262682"/>
    <w:lvl w:ilvl="0">
      <w:start w:val="4"/>
      <w:numFmt w:val="decimal"/>
      <w:lvlText w:val="%1"/>
      <w:lvlJc w:val="left"/>
      <w:pPr>
        <w:tabs>
          <w:tab w:val="num" w:pos="1080"/>
        </w:tabs>
        <w:ind w:left="1080" w:hanging="360"/>
      </w:pPr>
      <w:rPr>
        <w:rFonts w:hint="default"/>
      </w:rPr>
    </w:lvl>
  </w:abstractNum>
  <w:abstractNum w:abstractNumId="14" w15:restartNumberingAfterBreak="0">
    <w:nsid w:val="319F5A5A"/>
    <w:multiLevelType w:val="singleLevel"/>
    <w:tmpl w:val="B8262682"/>
    <w:lvl w:ilvl="0">
      <w:start w:val="4"/>
      <w:numFmt w:val="decimal"/>
      <w:lvlText w:val="%1"/>
      <w:lvlJc w:val="left"/>
      <w:pPr>
        <w:tabs>
          <w:tab w:val="num" w:pos="1080"/>
        </w:tabs>
        <w:ind w:left="1080" w:hanging="360"/>
      </w:pPr>
      <w:rPr>
        <w:rFonts w:hint="default"/>
      </w:rPr>
    </w:lvl>
  </w:abstractNum>
  <w:abstractNum w:abstractNumId="15" w15:restartNumberingAfterBreak="0">
    <w:nsid w:val="323B4FB4"/>
    <w:multiLevelType w:val="hybridMultilevel"/>
    <w:tmpl w:val="E8E66F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51F255F"/>
    <w:multiLevelType w:val="singleLevel"/>
    <w:tmpl w:val="BE626324"/>
    <w:lvl w:ilvl="0">
      <w:start w:val="2"/>
      <w:numFmt w:val="lowerLetter"/>
      <w:lvlText w:val="(%1)"/>
      <w:lvlJc w:val="left"/>
      <w:pPr>
        <w:tabs>
          <w:tab w:val="num" w:pos="2160"/>
        </w:tabs>
        <w:ind w:left="2160" w:hanging="720"/>
      </w:pPr>
      <w:rPr>
        <w:rFonts w:hint="default"/>
      </w:rPr>
    </w:lvl>
  </w:abstractNum>
  <w:abstractNum w:abstractNumId="17" w15:restartNumberingAfterBreak="0">
    <w:nsid w:val="3C5E3363"/>
    <w:multiLevelType w:val="multilevel"/>
    <w:tmpl w:val="FF0293A2"/>
    <w:lvl w:ilvl="0">
      <w:start w:val="4"/>
      <w:numFmt w:val="decimal"/>
      <w:lvlText w:val="%1."/>
      <w:lvlJc w:val="left"/>
      <w:pPr>
        <w:tabs>
          <w:tab w:val="num" w:pos="1440"/>
        </w:tabs>
        <w:ind w:left="1440" w:hanging="720"/>
      </w:pPr>
      <w:rPr>
        <w:rFonts w:hint="default"/>
      </w:rPr>
    </w:lvl>
    <w:lvl w:ilvl="1">
      <w:start w:val="6"/>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15:restartNumberingAfterBreak="0">
    <w:nsid w:val="4244625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2D63F9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3707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6D13F9"/>
    <w:multiLevelType w:val="hybridMultilevel"/>
    <w:tmpl w:val="B22C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6550C"/>
    <w:multiLevelType w:val="hybridMultilevel"/>
    <w:tmpl w:val="F75AF02A"/>
    <w:lvl w:ilvl="0" w:tplc="2FDC6B0C">
      <w:start w:val="1"/>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11B2F"/>
    <w:multiLevelType w:val="hybridMultilevel"/>
    <w:tmpl w:val="0DD2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D436F"/>
    <w:multiLevelType w:val="hybridMultilevel"/>
    <w:tmpl w:val="985A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B79BA"/>
    <w:multiLevelType w:val="singleLevel"/>
    <w:tmpl w:val="B8262682"/>
    <w:lvl w:ilvl="0">
      <w:start w:val="4"/>
      <w:numFmt w:val="decimal"/>
      <w:lvlText w:val="%1"/>
      <w:lvlJc w:val="left"/>
      <w:pPr>
        <w:tabs>
          <w:tab w:val="num" w:pos="1080"/>
        </w:tabs>
        <w:ind w:left="1080" w:hanging="360"/>
      </w:pPr>
      <w:rPr>
        <w:rFonts w:hint="default"/>
      </w:rPr>
    </w:lvl>
  </w:abstractNum>
  <w:abstractNum w:abstractNumId="26" w15:restartNumberingAfterBreak="0">
    <w:nsid w:val="5AB34A8B"/>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6098021B"/>
    <w:multiLevelType w:val="singleLevel"/>
    <w:tmpl w:val="AEDA93A6"/>
    <w:lvl w:ilvl="0">
      <w:start w:val="1"/>
      <w:numFmt w:val="decimal"/>
      <w:lvlText w:val="%1."/>
      <w:lvlJc w:val="left"/>
      <w:pPr>
        <w:tabs>
          <w:tab w:val="num" w:pos="480"/>
        </w:tabs>
        <w:ind w:left="480" w:hanging="360"/>
      </w:pPr>
      <w:rPr>
        <w:rFonts w:hint="default"/>
      </w:rPr>
    </w:lvl>
  </w:abstractNum>
  <w:abstractNum w:abstractNumId="28" w15:restartNumberingAfterBreak="0">
    <w:nsid w:val="60DA6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46382C"/>
    <w:multiLevelType w:val="hybridMultilevel"/>
    <w:tmpl w:val="5C06D862"/>
    <w:lvl w:ilvl="0" w:tplc="DAA21AEA">
      <w:start w:val="5"/>
      <w:numFmt w:val="lowerRoman"/>
      <w:lvlText w:val="(%1)"/>
      <w:lvlJc w:val="left"/>
      <w:pPr>
        <w:tabs>
          <w:tab w:val="num" w:pos="2880"/>
        </w:tabs>
        <w:ind w:left="2880" w:hanging="720"/>
      </w:pPr>
      <w:rPr>
        <w:rFonts w:hint="default"/>
      </w:rPr>
    </w:lvl>
    <w:lvl w:ilvl="1" w:tplc="F35CCE92">
      <w:start w:val="6"/>
      <w:numFmt w:val="decimal"/>
      <w:lvlText w:val="%2."/>
      <w:lvlJc w:val="left"/>
      <w:pPr>
        <w:tabs>
          <w:tab w:val="num" w:pos="3240"/>
        </w:tabs>
        <w:ind w:left="3240" w:hanging="360"/>
      </w:pPr>
      <w:rPr>
        <w:rFonts w:hint="default"/>
      </w:rPr>
    </w:lvl>
    <w:lvl w:ilvl="2" w:tplc="3C420A90">
      <w:start w:val="1"/>
      <w:numFmt w:val="lowerLetter"/>
      <w:lvlText w:val="(%3)"/>
      <w:lvlJc w:val="left"/>
      <w:pPr>
        <w:tabs>
          <w:tab w:val="num" w:pos="4500"/>
        </w:tabs>
        <w:ind w:left="4500" w:hanging="720"/>
      </w:pPr>
      <w:rPr>
        <w:rFonts w:hint="default"/>
      </w:rPr>
    </w:lvl>
    <w:lvl w:ilvl="3" w:tplc="B07E7F6A">
      <w:start w:val="1"/>
      <w:numFmt w:val="lowerRoman"/>
      <w:lvlText w:val="%4)"/>
      <w:lvlJc w:val="left"/>
      <w:pPr>
        <w:tabs>
          <w:tab w:val="num" w:pos="5040"/>
        </w:tabs>
        <w:ind w:left="5040" w:hanging="720"/>
      </w:pPr>
      <w:rPr>
        <w:rFonts w:hint="default"/>
      </w:rPr>
    </w:lvl>
    <w:lvl w:ilvl="4" w:tplc="69AEA7A0">
      <w:start w:val="4"/>
      <w:numFmt w:val="lowerLetter"/>
      <w:lvlText w:val="%5."/>
      <w:lvlJc w:val="left"/>
      <w:pPr>
        <w:tabs>
          <w:tab w:val="num" w:pos="5400"/>
        </w:tabs>
        <w:ind w:left="5400" w:hanging="360"/>
      </w:pPr>
      <w:rPr>
        <w:rFonts w:hint="default"/>
      </w:rPr>
    </w:lvl>
    <w:lvl w:ilvl="5" w:tplc="1EAC0E3C" w:tentative="1">
      <w:start w:val="1"/>
      <w:numFmt w:val="lowerRoman"/>
      <w:lvlText w:val="%6."/>
      <w:lvlJc w:val="right"/>
      <w:pPr>
        <w:tabs>
          <w:tab w:val="num" w:pos="6120"/>
        </w:tabs>
        <w:ind w:left="6120" w:hanging="180"/>
      </w:pPr>
    </w:lvl>
    <w:lvl w:ilvl="6" w:tplc="78F4886E" w:tentative="1">
      <w:start w:val="1"/>
      <w:numFmt w:val="decimal"/>
      <w:lvlText w:val="%7."/>
      <w:lvlJc w:val="left"/>
      <w:pPr>
        <w:tabs>
          <w:tab w:val="num" w:pos="6840"/>
        </w:tabs>
        <w:ind w:left="6840" w:hanging="360"/>
      </w:pPr>
    </w:lvl>
    <w:lvl w:ilvl="7" w:tplc="7A5A7104" w:tentative="1">
      <w:start w:val="1"/>
      <w:numFmt w:val="lowerLetter"/>
      <w:lvlText w:val="%8."/>
      <w:lvlJc w:val="left"/>
      <w:pPr>
        <w:tabs>
          <w:tab w:val="num" w:pos="7560"/>
        </w:tabs>
        <w:ind w:left="7560" w:hanging="360"/>
      </w:pPr>
    </w:lvl>
    <w:lvl w:ilvl="8" w:tplc="3F38A632" w:tentative="1">
      <w:start w:val="1"/>
      <w:numFmt w:val="lowerRoman"/>
      <w:lvlText w:val="%9."/>
      <w:lvlJc w:val="right"/>
      <w:pPr>
        <w:tabs>
          <w:tab w:val="num" w:pos="8280"/>
        </w:tabs>
        <w:ind w:left="8280" w:hanging="180"/>
      </w:pPr>
    </w:lvl>
  </w:abstractNum>
  <w:abstractNum w:abstractNumId="30" w15:restartNumberingAfterBreak="0">
    <w:nsid w:val="652D3B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7F5D89"/>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6BF0243"/>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692B58E1"/>
    <w:multiLevelType w:val="singleLevel"/>
    <w:tmpl w:val="3CC60AD4"/>
    <w:lvl w:ilvl="0">
      <w:start w:val="1"/>
      <w:numFmt w:val="lowerLetter"/>
      <w:lvlText w:val="%1."/>
      <w:lvlJc w:val="left"/>
      <w:pPr>
        <w:tabs>
          <w:tab w:val="num" w:pos="840"/>
        </w:tabs>
        <w:ind w:left="840" w:hanging="360"/>
      </w:pPr>
      <w:rPr>
        <w:rFonts w:hint="default"/>
      </w:rPr>
    </w:lvl>
  </w:abstractNum>
  <w:abstractNum w:abstractNumId="34" w15:restartNumberingAfterBreak="0">
    <w:nsid w:val="694E2A10"/>
    <w:multiLevelType w:val="singleLevel"/>
    <w:tmpl w:val="B8262682"/>
    <w:lvl w:ilvl="0">
      <w:start w:val="4"/>
      <w:numFmt w:val="decimal"/>
      <w:lvlText w:val="%1"/>
      <w:lvlJc w:val="left"/>
      <w:pPr>
        <w:tabs>
          <w:tab w:val="num" w:pos="1080"/>
        </w:tabs>
        <w:ind w:left="1080" w:hanging="360"/>
      </w:pPr>
      <w:rPr>
        <w:rFonts w:hint="default"/>
      </w:rPr>
    </w:lvl>
  </w:abstractNum>
  <w:abstractNum w:abstractNumId="35" w15:restartNumberingAfterBreak="0">
    <w:nsid w:val="69B46501"/>
    <w:multiLevelType w:val="singleLevel"/>
    <w:tmpl w:val="3CC60AD4"/>
    <w:lvl w:ilvl="0">
      <w:start w:val="1"/>
      <w:numFmt w:val="lowerLetter"/>
      <w:lvlText w:val="%1."/>
      <w:lvlJc w:val="left"/>
      <w:pPr>
        <w:tabs>
          <w:tab w:val="num" w:pos="840"/>
        </w:tabs>
        <w:ind w:left="840" w:hanging="360"/>
      </w:pPr>
      <w:rPr>
        <w:rFonts w:hint="default"/>
      </w:rPr>
    </w:lvl>
  </w:abstractNum>
  <w:abstractNum w:abstractNumId="36" w15:restartNumberingAfterBreak="0">
    <w:nsid w:val="6C567C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0114C2"/>
    <w:multiLevelType w:val="singleLevel"/>
    <w:tmpl w:val="B8262682"/>
    <w:lvl w:ilvl="0">
      <w:start w:val="4"/>
      <w:numFmt w:val="decimal"/>
      <w:lvlText w:val="%1"/>
      <w:lvlJc w:val="left"/>
      <w:pPr>
        <w:tabs>
          <w:tab w:val="num" w:pos="1080"/>
        </w:tabs>
        <w:ind w:left="1080" w:hanging="360"/>
      </w:pPr>
      <w:rPr>
        <w:rFonts w:hint="default"/>
      </w:rPr>
    </w:lvl>
  </w:abstractNum>
  <w:abstractNum w:abstractNumId="38" w15:restartNumberingAfterBreak="0">
    <w:nsid w:val="6E8E12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51218D"/>
    <w:multiLevelType w:val="hybridMultilevel"/>
    <w:tmpl w:val="B94E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F4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C323DF"/>
    <w:multiLevelType w:val="singleLevel"/>
    <w:tmpl w:val="3CC60AD4"/>
    <w:lvl w:ilvl="0">
      <w:start w:val="1"/>
      <w:numFmt w:val="lowerLetter"/>
      <w:lvlText w:val="%1."/>
      <w:lvlJc w:val="left"/>
      <w:pPr>
        <w:tabs>
          <w:tab w:val="num" w:pos="840"/>
        </w:tabs>
        <w:ind w:left="840" w:hanging="360"/>
      </w:pPr>
      <w:rPr>
        <w:rFonts w:hint="default"/>
      </w:rPr>
    </w:lvl>
  </w:abstractNum>
  <w:abstractNum w:abstractNumId="42" w15:restartNumberingAfterBreak="0">
    <w:nsid w:val="765A1AAE"/>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6AB5384"/>
    <w:multiLevelType w:val="singleLevel"/>
    <w:tmpl w:val="665AE104"/>
    <w:lvl w:ilvl="0">
      <w:start w:val="1"/>
      <w:numFmt w:val="lowerLetter"/>
      <w:lvlText w:val="%1."/>
      <w:lvlJc w:val="left"/>
      <w:pPr>
        <w:tabs>
          <w:tab w:val="num" w:pos="360"/>
        </w:tabs>
        <w:ind w:left="360" w:hanging="360"/>
      </w:pPr>
      <w:rPr>
        <w:rFonts w:hint="default"/>
      </w:rPr>
    </w:lvl>
  </w:abstractNum>
  <w:abstractNum w:abstractNumId="44" w15:restartNumberingAfterBreak="0">
    <w:nsid w:val="77A831B8"/>
    <w:multiLevelType w:val="singleLevel"/>
    <w:tmpl w:val="B8262682"/>
    <w:lvl w:ilvl="0">
      <w:start w:val="4"/>
      <w:numFmt w:val="decimal"/>
      <w:lvlText w:val="%1"/>
      <w:lvlJc w:val="left"/>
      <w:pPr>
        <w:tabs>
          <w:tab w:val="num" w:pos="1080"/>
        </w:tabs>
        <w:ind w:left="1080" w:hanging="360"/>
      </w:pPr>
      <w:rPr>
        <w:rFonts w:hint="default"/>
      </w:rPr>
    </w:lvl>
  </w:abstractNum>
  <w:abstractNum w:abstractNumId="45" w15:restartNumberingAfterBreak="0">
    <w:nsid w:val="793667F4"/>
    <w:multiLevelType w:val="singleLevel"/>
    <w:tmpl w:val="AEDA93A6"/>
    <w:lvl w:ilvl="0">
      <w:start w:val="1"/>
      <w:numFmt w:val="decimal"/>
      <w:lvlText w:val="%1."/>
      <w:lvlJc w:val="left"/>
      <w:pPr>
        <w:tabs>
          <w:tab w:val="num" w:pos="480"/>
        </w:tabs>
        <w:ind w:left="480" w:hanging="360"/>
      </w:pPr>
      <w:rPr>
        <w:rFonts w:hint="default"/>
      </w:rPr>
    </w:lvl>
  </w:abstractNum>
  <w:abstractNum w:abstractNumId="46" w15:restartNumberingAfterBreak="0">
    <w:nsid w:val="7B9A1025"/>
    <w:multiLevelType w:val="hybridMultilevel"/>
    <w:tmpl w:val="809671A4"/>
    <w:lvl w:ilvl="0" w:tplc="4D7E443C">
      <w:start w:val="2"/>
      <w:numFmt w:val="lowerRoman"/>
      <w:lvlText w:val="(%1)"/>
      <w:lvlJc w:val="left"/>
      <w:pPr>
        <w:tabs>
          <w:tab w:val="num" w:pos="2160"/>
        </w:tabs>
        <w:ind w:left="2160" w:hanging="720"/>
      </w:pPr>
      <w:rPr>
        <w:rFonts w:hint="default"/>
      </w:rPr>
    </w:lvl>
    <w:lvl w:ilvl="1" w:tplc="234A4D86" w:tentative="1">
      <w:start w:val="1"/>
      <w:numFmt w:val="lowerLetter"/>
      <w:lvlText w:val="%2."/>
      <w:lvlJc w:val="left"/>
      <w:pPr>
        <w:tabs>
          <w:tab w:val="num" w:pos="2520"/>
        </w:tabs>
        <w:ind w:left="2520" w:hanging="360"/>
      </w:pPr>
    </w:lvl>
    <w:lvl w:ilvl="2" w:tplc="65B2EE5C" w:tentative="1">
      <w:start w:val="1"/>
      <w:numFmt w:val="lowerRoman"/>
      <w:lvlText w:val="%3."/>
      <w:lvlJc w:val="right"/>
      <w:pPr>
        <w:tabs>
          <w:tab w:val="num" w:pos="3240"/>
        </w:tabs>
        <w:ind w:left="3240" w:hanging="180"/>
      </w:pPr>
    </w:lvl>
    <w:lvl w:ilvl="3" w:tplc="D7A6AF1E" w:tentative="1">
      <w:start w:val="1"/>
      <w:numFmt w:val="decimal"/>
      <w:lvlText w:val="%4."/>
      <w:lvlJc w:val="left"/>
      <w:pPr>
        <w:tabs>
          <w:tab w:val="num" w:pos="3960"/>
        </w:tabs>
        <w:ind w:left="3960" w:hanging="360"/>
      </w:pPr>
    </w:lvl>
    <w:lvl w:ilvl="4" w:tplc="AA806C28" w:tentative="1">
      <w:start w:val="1"/>
      <w:numFmt w:val="lowerLetter"/>
      <w:lvlText w:val="%5."/>
      <w:lvlJc w:val="left"/>
      <w:pPr>
        <w:tabs>
          <w:tab w:val="num" w:pos="4680"/>
        </w:tabs>
        <w:ind w:left="4680" w:hanging="360"/>
      </w:pPr>
    </w:lvl>
    <w:lvl w:ilvl="5" w:tplc="A644277E" w:tentative="1">
      <w:start w:val="1"/>
      <w:numFmt w:val="lowerRoman"/>
      <w:lvlText w:val="%6."/>
      <w:lvlJc w:val="right"/>
      <w:pPr>
        <w:tabs>
          <w:tab w:val="num" w:pos="5400"/>
        </w:tabs>
        <w:ind w:left="5400" w:hanging="180"/>
      </w:pPr>
    </w:lvl>
    <w:lvl w:ilvl="6" w:tplc="822A0476" w:tentative="1">
      <w:start w:val="1"/>
      <w:numFmt w:val="decimal"/>
      <w:lvlText w:val="%7."/>
      <w:lvlJc w:val="left"/>
      <w:pPr>
        <w:tabs>
          <w:tab w:val="num" w:pos="6120"/>
        </w:tabs>
        <w:ind w:left="6120" w:hanging="360"/>
      </w:pPr>
    </w:lvl>
    <w:lvl w:ilvl="7" w:tplc="66CC3910" w:tentative="1">
      <w:start w:val="1"/>
      <w:numFmt w:val="lowerLetter"/>
      <w:lvlText w:val="%8."/>
      <w:lvlJc w:val="left"/>
      <w:pPr>
        <w:tabs>
          <w:tab w:val="num" w:pos="6840"/>
        </w:tabs>
        <w:ind w:left="6840" w:hanging="360"/>
      </w:pPr>
    </w:lvl>
    <w:lvl w:ilvl="8" w:tplc="810A03FE" w:tentative="1">
      <w:start w:val="1"/>
      <w:numFmt w:val="lowerRoman"/>
      <w:lvlText w:val="%9."/>
      <w:lvlJc w:val="right"/>
      <w:pPr>
        <w:tabs>
          <w:tab w:val="num" w:pos="7560"/>
        </w:tabs>
        <w:ind w:left="7560" w:hanging="180"/>
      </w:pPr>
    </w:lvl>
  </w:abstractNum>
  <w:abstractNum w:abstractNumId="47" w15:restartNumberingAfterBreak="0">
    <w:nsid w:val="7EFD7D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3"/>
  </w:num>
  <w:num w:numId="3">
    <w:abstractNumId w:val="25"/>
  </w:num>
  <w:num w:numId="4">
    <w:abstractNumId w:val="14"/>
  </w:num>
  <w:num w:numId="5">
    <w:abstractNumId w:val="44"/>
  </w:num>
  <w:num w:numId="6">
    <w:abstractNumId w:val="7"/>
  </w:num>
  <w:num w:numId="7">
    <w:abstractNumId w:val="34"/>
  </w:num>
  <w:num w:numId="8">
    <w:abstractNumId w:val="37"/>
  </w:num>
  <w:num w:numId="9">
    <w:abstractNumId w:val="45"/>
  </w:num>
  <w:num w:numId="10">
    <w:abstractNumId w:val="35"/>
  </w:num>
  <w:num w:numId="11">
    <w:abstractNumId w:val="41"/>
  </w:num>
  <w:num w:numId="12">
    <w:abstractNumId w:val="33"/>
  </w:num>
  <w:num w:numId="13">
    <w:abstractNumId w:val="42"/>
  </w:num>
  <w:num w:numId="14">
    <w:abstractNumId w:val="19"/>
  </w:num>
  <w:num w:numId="15">
    <w:abstractNumId w:val="27"/>
  </w:num>
  <w:num w:numId="16">
    <w:abstractNumId w:val="32"/>
  </w:num>
  <w:num w:numId="17">
    <w:abstractNumId w:val="31"/>
  </w:num>
  <w:num w:numId="18">
    <w:abstractNumId w:val="12"/>
  </w:num>
  <w:num w:numId="19">
    <w:abstractNumId w:val="43"/>
  </w:num>
  <w:num w:numId="20">
    <w:abstractNumId w:val="38"/>
  </w:num>
  <w:num w:numId="21">
    <w:abstractNumId w:val="3"/>
  </w:num>
  <w:num w:numId="22">
    <w:abstractNumId w:val="47"/>
  </w:num>
  <w:num w:numId="23">
    <w:abstractNumId w:val="28"/>
  </w:num>
  <w:num w:numId="24">
    <w:abstractNumId w:val="8"/>
  </w:num>
  <w:num w:numId="25">
    <w:abstractNumId w:val="16"/>
  </w:num>
  <w:num w:numId="26">
    <w:abstractNumId w:val="11"/>
  </w:num>
  <w:num w:numId="27">
    <w:abstractNumId w:val="20"/>
  </w:num>
  <w:num w:numId="28">
    <w:abstractNumId w:val="5"/>
  </w:num>
  <w:num w:numId="29">
    <w:abstractNumId w:val="30"/>
  </w:num>
  <w:num w:numId="30">
    <w:abstractNumId w:val="36"/>
  </w:num>
  <w:num w:numId="31">
    <w:abstractNumId w:val="4"/>
  </w:num>
  <w:num w:numId="32">
    <w:abstractNumId w:val="26"/>
  </w:num>
  <w:num w:numId="33">
    <w:abstractNumId w:val="40"/>
  </w:num>
  <w:num w:numId="34">
    <w:abstractNumId w:val="17"/>
  </w:num>
  <w:num w:numId="35">
    <w:abstractNumId w:val="29"/>
  </w:num>
  <w:num w:numId="36">
    <w:abstractNumId w:val="10"/>
  </w:num>
  <w:num w:numId="37">
    <w:abstractNumId w:val="6"/>
  </w:num>
  <w:num w:numId="38">
    <w:abstractNumId w:val="46"/>
  </w:num>
  <w:num w:numId="39">
    <w:abstractNumId w:val="0"/>
  </w:num>
  <w:num w:numId="40">
    <w:abstractNumId w:val="24"/>
  </w:num>
  <w:num w:numId="41">
    <w:abstractNumId w:val="23"/>
  </w:num>
  <w:num w:numId="42">
    <w:abstractNumId w:val="21"/>
  </w:num>
  <w:num w:numId="43">
    <w:abstractNumId w:val="2"/>
  </w:num>
  <w:num w:numId="44">
    <w:abstractNumId w:val="15"/>
  </w:num>
  <w:num w:numId="45">
    <w:abstractNumId w:val="39"/>
  </w:num>
  <w:num w:numId="46">
    <w:abstractNumId w:val="1"/>
  </w:num>
  <w:num w:numId="47">
    <w:abstractNumId w:val="2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DB1"/>
    <w:rsid w:val="00017717"/>
    <w:rsid w:val="0008283C"/>
    <w:rsid w:val="000A7490"/>
    <w:rsid w:val="00126792"/>
    <w:rsid w:val="00147647"/>
    <w:rsid w:val="001E5FC3"/>
    <w:rsid w:val="001E6B99"/>
    <w:rsid w:val="001F51FD"/>
    <w:rsid w:val="00250DB1"/>
    <w:rsid w:val="002576AB"/>
    <w:rsid w:val="002F42BC"/>
    <w:rsid w:val="00346FD3"/>
    <w:rsid w:val="00385AF2"/>
    <w:rsid w:val="00392AC6"/>
    <w:rsid w:val="003973C8"/>
    <w:rsid w:val="003B2091"/>
    <w:rsid w:val="003E642B"/>
    <w:rsid w:val="00420239"/>
    <w:rsid w:val="00436B7A"/>
    <w:rsid w:val="0044552A"/>
    <w:rsid w:val="004C3D19"/>
    <w:rsid w:val="0053148B"/>
    <w:rsid w:val="00531B79"/>
    <w:rsid w:val="00550EDC"/>
    <w:rsid w:val="00551C94"/>
    <w:rsid w:val="00584F9E"/>
    <w:rsid w:val="005A6059"/>
    <w:rsid w:val="005B1400"/>
    <w:rsid w:val="005D1BFF"/>
    <w:rsid w:val="00656E98"/>
    <w:rsid w:val="006D061D"/>
    <w:rsid w:val="006E5B2F"/>
    <w:rsid w:val="00763B50"/>
    <w:rsid w:val="00777AF7"/>
    <w:rsid w:val="00784420"/>
    <w:rsid w:val="007C6E76"/>
    <w:rsid w:val="008E5DC0"/>
    <w:rsid w:val="00911B8D"/>
    <w:rsid w:val="00931017"/>
    <w:rsid w:val="00957BDC"/>
    <w:rsid w:val="0097444A"/>
    <w:rsid w:val="009805FE"/>
    <w:rsid w:val="00983D73"/>
    <w:rsid w:val="00A2345B"/>
    <w:rsid w:val="00A51CFF"/>
    <w:rsid w:val="00A707F0"/>
    <w:rsid w:val="00A70ECD"/>
    <w:rsid w:val="00A75DC1"/>
    <w:rsid w:val="00A83ACA"/>
    <w:rsid w:val="00A95A03"/>
    <w:rsid w:val="00AA1DD0"/>
    <w:rsid w:val="00AE2207"/>
    <w:rsid w:val="00B107F7"/>
    <w:rsid w:val="00B3167D"/>
    <w:rsid w:val="00B34BAD"/>
    <w:rsid w:val="00B4464C"/>
    <w:rsid w:val="00BC10A8"/>
    <w:rsid w:val="00BC6123"/>
    <w:rsid w:val="00BE7932"/>
    <w:rsid w:val="00C10BE7"/>
    <w:rsid w:val="00C37B29"/>
    <w:rsid w:val="00C8649A"/>
    <w:rsid w:val="00D1660E"/>
    <w:rsid w:val="00D379B4"/>
    <w:rsid w:val="00D53C98"/>
    <w:rsid w:val="00D67623"/>
    <w:rsid w:val="00D70DE9"/>
    <w:rsid w:val="00DD2C00"/>
    <w:rsid w:val="00DF4287"/>
    <w:rsid w:val="00E37497"/>
    <w:rsid w:val="00E40442"/>
    <w:rsid w:val="00E41016"/>
    <w:rsid w:val="00E46F2D"/>
    <w:rsid w:val="00E548E2"/>
    <w:rsid w:val="00E8795C"/>
    <w:rsid w:val="00EE42E2"/>
    <w:rsid w:val="00F4285C"/>
    <w:rsid w:val="00F67B3C"/>
    <w:rsid w:val="00F742C7"/>
    <w:rsid w:val="00F80BCF"/>
    <w:rsid w:val="00F91196"/>
    <w:rsid w:val="00F94331"/>
    <w:rsid w:val="00FB2441"/>
    <w:rsid w:val="00FF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5AA04"/>
  <w15:docId w15:val="{1CF3D898-DCA7-4F77-8637-B11D7278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helsey Wide" w:hAnsi="Chelsey Wide"/>
      <w:snapToGrid w:val="0"/>
      <w:sz w:val="24"/>
    </w:rPr>
  </w:style>
  <w:style w:type="paragraph" w:styleId="Heading1">
    <w:name w:val="heading 1"/>
    <w:basedOn w:val="Normal"/>
    <w:next w:val="Normal"/>
    <w:qFormat/>
    <w:pPr>
      <w:keepNext/>
      <w:spacing w:line="120" w:lineRule="auto"/>
      <w:outlineLvl w:val="0"/>
    </w:pPr>
    <w:rPr>
      <w:rFonts w:ascii="Helvetica" w:hAnsi="Helvetica"/>
      <w:b/>
      <w:vertAlign w:val="subscript"/>
    </w:rPr>
  </w:style>
  <w:style w:type="paragraph" w:styleId="Heading2">
    <w:name w:val="heading 2"/>
    <w:basedOn w:val="Normal"/>
    <w:next w:val="Normal"/>
    <w:qFormat/>
    <w:pPr>
      <w:keepNext/>
      <w:jc w:val="both"/>
      <w:outlineLvl w:val="1"/>
    </w:pPr>
    <w:rPr>
      <w:rFonts w:ascii="Times New Roman" w:hAnsi="Times New Roman"/>
      <w:b/>
    </w:rPr>
  </w:style>
  <w:style w:type="paragraph" w:styleId="Heading3">
    <w:name w:val="heading 3"/>
    <w:basedOn w:val="Normal"/>
    <w:next w:val="Normal"/>
    <w:qFormat/>
    <w:pPr>
      <w:keepNext/>
      <w:ind w:left="2880" w:hanging="2880"/>
      <w:outlineLvl w:val="2"/>
    </w:pPr>
    <w:rPr>
      <w:rFonts w:ascii="Arial" w:hAnsi="Arial"/>
      <w:b/>
    </w:rPr>
  </w:style>
  <w:style w:type="paragraph" w:styleId="Heading4">
    <w:name w:val="heading 4"/>
    <w:basedOn w:val="Normal"/>
    <w:next w:val="Normal"/>
    <w:qFormat/>
    <w:pPr>
      <w:keepNext/>
      <w:outlineLvl w:val="3"/>
    </w:pPr>
    <w:rPr>
      <w:rFonts w:ascii="Arial" w:hAnsi="Arial"/>
      <w:u w:val="single"/>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rFonts w:ascii="Arial" w:hAnsi="Arial"/>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80"/>
      <w:jc w:val="both"/>
    </w:pPr>
    <w:rPr>
      <w:rFonts w:ascii="Times New Roman" w:hAnsi="Times New Roman"/>
    </w:rPr>
  </w:style>
  <w:style w:type="paragraph" w:styleId="BodyTextIndent2">
    <w:name w:val="Body Text Indent 2"/>
    <w:basedOn w:val="Normal"/>
    <w:pPr>
      <w:tabs>
        <w:tab w:val="left" w:pos="90"/>
      </w:tabs>
      <w:ind w:left="180" w:firstLine="270"/>
      <w:jc w:val="both"/>
    </w:pPr>
    <w:rPr>
      <w:rFonts w:ascii="Times New Roman" w:hAnsi="Times New Roman"/>
    </w:rPr>
  </w:style>
  <w:style w:type="paragraph" w:styleId="BodyText">
    <w:name w:val="Body Text"/>
    <w:basedOn w:val="Normal"/>
    <w:pPr>
      <w:jc w:val="both"/>
    </w:pPr>
    <w:rPr>
      <w:rFonts w:ascii="Times New Roman" w:hAnsi="Times New Roman"/>
    </w:rPr>
  </w:style>
  <w:style w:type="paragraph" w:styleId="Title">
    <w:name w:val="Title"/>
    <w:basedOn w:val="Normal"/>
    <w:qFormat/>
    <w:pPr>
      <w:jc w:val="center"/>
    </w:pPr>
    <w:rPr>
      <w:rFonts w:ascii="Arial" w:hAnsi="Arial"/>
      <w:b/>
    </w:rPr>
  </w:style>
  <w:style w:type="paragraph" w:styleId="Header">
    <w:name w:val="header"/>
    <w:basedOn w:val="Normal"/>
    <w:pPr>
      <w:widowControl/>
      <w:tabs>
        <w:tab w:val="center" w:pos="4320"/>
        <w:tab w:val="right" w:pos="8640"/>
      </w:tabs>
    </w:pPr>
    <w:rPr>
      <w:rFonts w:ascii="Times New Roman" w:hAnsi="Times New Roman"/>
      <w:snapToGrid/>
      <w:sz w:val="20"/>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2">
    <w:name w:val="Body Text 2"/>
    <w:basedOn w:val="Normal"/>
    <w:rPr>
      <w:rFonts w:ascii="Arial" w:hAnsi="Arial"/>
      <w:strike/>
      <w:color w:val="FF0000"/>
    </w:rPr>
  </w:style>
  <w:style w:type="paragraph" w:styleId="BodyTextIndent3">
    <w:name w:val="Body Text Indent 3"/>
    <w:basedOn w:val="Normal"/>
    <w:pPr>
      <w:ind w:left="2880" w:hanging="720"/>
    </w:pPr>
    <w:rPr>
      <w:rFonts w:ascii="Arial" w:hAnsi="Arial"/>
    </w:rPr>
  </w:style>
  <w:style w:type="paragraph" w:styleId="Subtitle">
    <w:name w:val="Subtitle"/>
    <w:basedOn w:val="Normal"/>
    <w:qFormat/>
    <w:pPr>
      <w:widowControl/>
      <w:jc w:val="center"/>
    </w:pPr>
    <w:rPr>
      <w:rFonts w:ascii="Times New Roman" w:hAnsi="Times New Roman"/>
      <w:b/>
      <w:snapToGrid/>
      <w:sz w:val="28"/>
    </w:rPr>
  </w:style>
  <w:style w:type="character" w:styleId="FollowedHyperlink">
    <w:name w:val="FollowedHyperlink"/>
    <w:rPr>
      <w:color w:val="800080"/>
      <w:u w:val="single"/>
    </w:rPr>
  </w:style>
  <w:style w:type="paragraph" w:styleId="BodyText3">
    <w:name w:val="Body Text 3"/>
    <w:basedOn w:val="Normal"/>
    <w:pPr>
      <w:jc w:val="both"/>
    </w:pPr>
    <w:rPr>
      <w:rFonts w:ascii="Arial" w:hAnsi="Arial"/>
      <w:color w:val="000000"/>
    </w:rPr>
  </w:style>
  <w:style w:type="paragraph" w:styleId="PlainText">
    <w:name w:val="Plain Text"/>
    <w:link w:val="PlainTextChar"/>
    <w:pPr>
      <w:jc w:val="both"/>
    </w:pPr>
    <w:rPr>
      <w:rFonts w:ascii="Arial" w:hAnsi="Arial"/>
      <w:noProof/>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List2">
    <w:name w:val="List 2"/>
    <w:basedOn w:val="Normal"/>
    <w:pPr>
      <w:ind w:left="720" w:hanging="360"/>
    </w:pPr>
  </w:style>
  <w:style w:type="paragraph" w:styleId="ListBullet">
    <w:name w:val="List Bullet"/>
    <w:basedOn w:val="Normal"/>
    <w:autoRedefine/>
    <w:pPr>
      <w:numPr>
        <w:numId w:val="39"/>
      </w:numPr>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D1660E"/>
    <w:pPr>
      <w:widowControl/>
      <w:spacing w:after="200" w:line="276" w:lineRule="auto"/>
      <w:ind w:left="720"/>
      <w:contextualSpacing/>
    </w:pPr>
    <w:rPr>
      <w:rFonts w:ascii="Arial" w:eastAsia="Calibri" w:hAnsi="Arial" w:cs="Arial"/>
      <w:snapToGrid/>
      <w:szCs w:val="24"/>
    </w:rPr>
  </w:style>
  <w:style w:type="paragraph" w:customStyle="1" w:styleId="Address">
    <w:name w:val="Address"/>
    <w:rsid w:val="00A95A03"/>
    <w:pPr>
      <w:ind w:left="3120"/>
    </w:pPr>
    <w:rPr>
      <w:rFonts w:ascii="Arial" w:hAnsi="Arial"/>
    </w:rPr>
  </w:style>
  <w:style w:type="paragraph" w:customStyle="1" w:styleId="PlainTextSubtitle">
    <w:name w:val="Plain Text Subtitle"/>
    <w:rsid w:val="00A95A03"/>
    <w:pPr>
      <w:keepNext/>
      <w:spacing w:before="120" w:after="120"/>
    </w:pPr>
    <w:rPr>
      <w:rFonts w:ascii="Arial" w:hAnsi="Arial"/>
      <w:b/>
      <w:caps/>
    </w:rPr>
  </w:style>
  <w:style w:type="paragraph" w:customStyle="1" w:styleId="PlainText--Mapping">
    <w:name w:val="Plain Text--Mapping"/>
    <w:rsid w:val="00A95A03"/>
    <w:pPr>
      <w:tabs>
        <w:tab w:val="left" w:pos="2640"/>
      </w:tabs>
      <w:spacing w:after="120" w:line="220" w:lineRule="exact"/>
      <w:ind w:left="2640" w:hanging="2640"/>
      <w:jc w:val="both"/>
    </w:pPr>
    <w:rPr>
      <w:rFonts w:ascii="Arial" w:hAnsi="Arial"/>
      <w:bCs/>
      <w:color w:val="000000"/>
    </w:rPr>
  </w:style>
  <w:style w:type="character" w:customStyle="1" w:styleId="PlainTextChar">
    <w:name w:val="Plain Text Char"/>
    <w:link w:val="PlainText"/>
    <w:rsid w:val="00A95A03"/>
    <w:rPr>
      <w:rFonts w:ascii="Arial" w:hAnsi="Arial"/>
      <w:noProof/>
    </w:rPr>
  </w:style>
  <w:style w:type="paragraph" w:customStyle="1" w:styleId="Heading-Instructions">
    <w:name w:val="Heading-Instructions"/>
    <w:rsid w:val="006D061D"/>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linics@dhc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BE87AEE381037A4BB659C19C396C039E" ma:contentTypeVersion="36" ma:contentTypeDescription="This is the Custom Document Type for use by DHCS" ma:contentTypeScope="" ma:versionID="48b9d7e839590a0b07b7c5228cb81f3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a00ecc44a1be11dd19fd701fd5170a6"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24</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Audits and Investigations</TermName>
          <TermId xmlns="http://schemas.microsoft.com/office/infopath/2007/PartnerControls">7508313f-54c7-445a-8e33-c67f0aa8f12b</TermId>
        </TermInfo>
      </Terms>
    </o68eaf9243684232b2418c37bbb152dc>
    <Abstract xmlns="69bc34b3-1921-46c7-8c7a-d18363374b4b">Federally Qualified Health Centers and Rural Health Clinics must complete and submit the Change in Scope-of-Service Request Forms to apply for an adjustment to their Prospective Payment System rates.</Abstract>
    <PublishingContactName xmlns="http://schemas.microsoft.com/sharepoint/v3">Audits &amp; Investigations</PublishingContactName>
    <TAGAge xmlns="69bc34b3-1921-46c7-8c7a-d18363374b4b" xsi:nil="true"/>
    <_dlc_DocId xmlns="69bc34b3-1921-46c7-8c7a-d18363374b4b">DHCSDOC-922015896-23</_dlc_DocId>
    <_dlc_DocIdUrl xmlns="69bc34b3-1921-46c7-8c7a-d18363374b4b">
      <Url>http://dhcs2016prod:88/formsandpubs/forms/_layouts/15/DocIdRedir.aspx?ID=DHCSDOC-922015896-23</Url>
      <Description>DHCSDOC-922015896-23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02E1A1-23A9-4240-B068-BF6F55BFD810}">
  <ds:schemaRefs>
    <ds:schemaRef ds:uri="http://schemas.openxmlformats.org/officeDocument/2006/bibliography"/>
  </ds:schemaRefs>
</ds:datastoreItem>
</file>

<file path=customXml/itemProps2.xml><?xml version="1.0" encoding="utf-8"?>
<ds:datastoreItem xmlns:ds="http://schemas.openxmlformats.org/officeDocument/2006/customXml" ds:itemID="{902510D1-E629-4D81-A46C-1B9C37DB4D54}">
  <ds:schemaRefs>
    <ds:schemaRef ds:uri="http://schemas.microsoft.com/sharepoint/events"/>
  </ds:schemaRefs>
</ds:datastoreItem>
</file>

<file path=customXml/itemProps3.xml><?xml version="1.0" encoding="utf-8"?>
<ds:datastoreItem xmlns:ds="http://schemas.openxmlformats.org/officeDocument/2006/customXml" ds:itemID="{EFF88E64-6CCC-48FE-BF25-BFF4D1A503F6}"/>
</file>

<file path=customXml/itemProps4.xml><?xml version="1.0" encoding="utf-8"?>
<ds:datastoreItem xmlns:ds="http://schemas.openxmlformats.org/officeDocument/2006/customXml" ds:itemID="{50B78FD2-A864-453C-9148-1C3933B3564E}">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52BECC57-665A-4D46-B5D5-1DC8EBB37EE8}">
  <ds:schemaRefs>
    <ds:schemaRef ds:uri="http://schemas.microsoft.com/sharepoint/v3/contenttype/forms"/>
  </ds:schemaRefs>
</ds:datastoreItem>
</file>

<file path=customXml/itemProps6.xml><?xml version="1.0" encoding="utf-8"?>
<ds:datastoreItem xmlns:ds="http://schemas.openxmlformats.org/officeDocument/2006/customXml" ds:itemID="{08ADFE33-E4D1-42D5-9F20-BF1483B9173C}">
  <ds:schemaRefs>
    <ds:schemaRef ds:uri="http://schemas.microsoft.com/office/2006/metadata/longProperties"/>
  </ds:schemaRefs>
</ds:datastoreItem>
</file>

<file path=customXml/itemProps7.xml><?xml version="1.0" encoding="utf-8"?>
<ds:datastoreItem xmlns:ds="http://schemas.openxmlformats.org/officeDocument/2006/customXml" ds:itemID="{C44081B9-F53B-44ED-BA45-02D12F150AB9}"/>
</file>

<file path=docProps/app.xml><?xml version="1.0" encoding="utf-8"?>
<Properties xmlns="http://schemas.openxmlformats.org/officeDocument/2006/extended-properties" xmlns:vt="http://schemas.openxmlformats.org/officeDocument/2006/docPropsVTypes">
  <Template>Normal</Template>
  <TotalTime>366</TotalTime>
  <Pages>13</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Federally Qualified Health Center/Rural Health Clinic Change in Scope-of-Services Request</vt:lpstr>
    </vt:vector>
  </TitlesOfParts>
  <Company>D.H.S. STATE of CALIFORNIA</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Federally Qualified Health Center/Rural Health Clinic Change in Scope-of-Services Request</dc:title>
  <dc:creator>Tanya Junker</dc:creator>
  <cp:keywords>DHS 3096 Instructions</cp:keywords>
  <cp:lastModifiedBy>Jamie Bracht</cp:lastModifiedBy>
  <cp:revision>32</cp:revision>
  <cp:lastPrinted>2005-04-25T19:33:00Z</cp:lastPrinted>
  <dcterms:created xsi:type="dcterms:W3CDTF">2015-10-20T20:42:00Z</dcterms:created>
  <dcterms:modified xsi:type="dcterms:W3CDTF">2020-10-18T19:01:00Z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DHCS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lpwstr>3100.00000000000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0x010100EEE380F46F125946A8B4C4C90D9FFCDC00BE87AEE381037A4BB659C19C396C039E</vt:lpwstr>
  </property>
  <property fmtid="{D5CDD505-2E9C-101B-9397-08002B2CF9AE}" pid="10" name="_dlc_DocIdItemGuid">
    <vt:lpwstr>d8c5ba18-2bd8-452d-9a7d-c5ecb0d42d9b</vt:lpwstr>
  </property>
  <property fmtid="{D5CDD505-2E9C-101B-9397-08002B2CF9AE}" pid="11" name="Remediated">
    <vt:bool>false</vt:bool>
  </property>
  <property fmtid="{D5CDD505-2E9C-101B-9397-08002B2CF9AE}" pid="12" name="Organization">
    <vt:lpwstr>52</vt:lpwstr>
  </property>
  <property fmtid="{D5CDD505-2E9C-101B-9397-08002B2CF9AE}" pid="13" name="Division">
    <vt:lpwstr>24;#Audits and Investigations|7508313f-54c7-445a-8e33-c67f0aa8f12b</vt:lpwstr>
  </property>
</Properties>
</file>