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rawings/drawing1.xml" ContentType="application/vnd.openxmlformats-officedocument.drawingml.chartshapes+xml"/>
  <Override PartName="/word/drawings/drawing4.xml" ContentType="application/vnd.openxmlformats-officedocument.drawingml.chartshapes+xml"/>
  <Override PartName="/word/drawings/drawing3.xml" ContentType="application/vnd.openxmlformats-officedocument.drawingml.chartshapes+xml"/>
  <Override PartName="/word/diagrams/data1.xml" ContentType="application/vnd.openxmlformats-officedocument.drawingml.diagramData+xml"/>
  <Override PartName="/word/drawings/drawing6.xml" ContentType="application/vnd.openxmlformats-officedocument.drawingml.chartshapes+xml"/>
  <Override PartName="/word/drawings/drawing2.xml" ContentType="application/vnd.openxmlformats-officedocument.drawingml.chartshapes+xml"/>
  <Override PartName="/word/drawings/drawing7.xml" ContentType="application/vnd.openxmlformats-officedocument.drawingml.chartshapes+xml"/>
  <Override PartName="/word/drawings/drawing5.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charts/chart53.xml" ContentType="application/vnd.openxmlformats-officedocument.drawingml.chart+xml"/>
  <Override PartName="/word/charts/style25.xml" ContentType="application/vnd.ms-office.chartstyle+xml"/>
  <Override PartName="/word/charts/colors24.xml" ContentType="application/vnd.ms-office.chartcolorstyle+xml"/>
  <Override PartName="/word/theme/themeOverride42.xml" ContentType="application/vnd.openxmlformats-officedocument.themeOverride+xml"/>
  <Override PartName="/word/charts/style23.xml" ContentType="application/vnd.ms-office.chartstyle+xml"/>
  <Override PartName="/word/charts/colors23.xml" ContentType="application/vnd.ms-office.chartcolorstyle+xml"/>
  <Override PartName="/word/theme/themeOverride41.xml" ContentType="application/vnd.openxmlformats-officedocument.themeOverride+xml"/>
  <Override PartName="/word/charts/chart52.xml" ContentType="application/vnd.openxmlformats-officedocument.drawingml.chart+xml"/>
  <Override PartName="/word/charts/style24.xml" ContentType="application/vnd.ms-office.chartstyle+xml"/>
  <Override PartName="/word/charts/colors25.xml" ContentType="application/vnd.ms-office.chartcolorstyle+xml"/>
  <Override PartName="/word/charts/chart51.xml" ContentType="application/vnd.openxmlformats-officedocument.drawingml.chart+xml"/>
  <Override PartName="/word/theme/themeOverride45.xml" ContentType="application/vnd.openxmlformats-officedocument.themeOverride+xml"/>
  <Override PartName="/word/charts/chart56.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46.xml" ContentType="application/vnd.openxmlformats-officedocument.themeOverride+xml"/>
  <Override PartName="/word/charts/colors27.xml" ContentType="application/vnd.ms-office.chartcolorstyle+xml"/>
  <Override PartName="/word/charts/style27.xml" ContentType="application/vnd.ms-office.chartstyle+xml"/>
  <Override PartName="/word/charts/chart55.xml" ContentType="application/vnd.openxmlformats-officedocument.drawingml.chart+xml"/>
  <Override PartName="/word/charts/chart54.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4.xml" ContentType="application/vnd.openxmlformats-officedocument.themeOverride+xml"/>
  <Override PartName="/word/theme/themeOverride43.xml" ContentType="application/vnd.openxmlformats-officedocument.themeOverride+xml"/>
  <Override PartName="/word/theme/themeOverride40.xml" ContentType="application/vnd.openxmlformats-officedocument.themeOverride+xml"/>
  <Override PartName="/word/charts/chart45.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5.xml" ContentType="application/vnd.openxmlformats-officedocument.themeOverride+xml"/>
  <Override PartName="/word/charts/chart46.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4.xml" ContentType="application/vnd.openxmlformats-officedocument.themeOverride+xml"/>
  <Override PartName="/word/charts/style15.xml" ContentType="application/vnd.ms-office.chartstyle+xml"/>
  <Override PartName="/word/charts/colors15.xml" ContentType="application/vnd.ms-office.chartcolorstyle+xml"/>
  <Override PartName="/word/theme/themeOverride33.xml" ContentType="application/vnd.openxmlformats-officedocument.themeOverride+xml"/>
  <Override PartName="/word/charts/chart44.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6.xml" ContentType="application/vnd.openxmlformats-officedocument.themeOverride+xml"/>
  <Override PartName="/word/charts/chart47.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9.xml" ContentType="application/vnd.openxmlformats-officedocument.themeOverride+xml"/>
  <Override PartName="/word/charts/chart5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49.xml" ContentType="application/vnd.openxmlformats-officedocument.drawingml.chart+xml"/>
  <Override PartName="/word/theme/themeOverride38.xml" ContentType="application/vnd.openxmlformats-officedocument.themeOverride+xml"/>
  <Override PartName="/word/charts/style19.xml" ContentType="application/vnd.ms-office.chartstyle+xml"/>
  <Override PartName="/word/charts/colors19.xml" ContentType="application/vnd.ms-office.chartcolorstyle+xml"/>
  <Override PartName="/word/theme/themeOverride37.xml" ContentType="application/vnd.openxmlformats-officedocument.themeOverride+xml"/>
  <Override PartName="/word/charts/chart4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58.xml" ContentType="application/vnd.openxmlformats-officedocument.drawingml.chart+xml"/>
  <Override PartName="/word/charts/style29.xml" ContentType="application/vnd.ms-office.chartstyle+xml"/>
  <Override PartName="/word/charts/chart60.xml" ContentType="application/vnd.openxmlformats-officedocument.drawingml.chart+xml"/>
  <Override PartName="/word/theme/themeOverride50.xml" ContentType="application/vnd.openxmlformats-officedocument.themeOverride+xml"/>
  <Override PartName="/word/charts/chart61.xml" ContentType="application/vnd.openxmlformats-officedocument.drawingml.chart+xml"/>
  <Override PartName="/word/theme/themeOverride51.xml" ContentType="application/vnd.openxmlformats-officedocument.themeOverride+xml"/>
  <Override PartName="/word/theme/themeOverride49.xml" ContentType="application/vnd.openxmlformats-officedocument.themeOverride+xml"/>
  <Override PartName="/word/charts/chart59.xml" ContentType="application/vnd.openxmlformats-officedocument.drawingml.chart+xml"/>
  <Override PartName="/word/charts/colors29.xml" ContentType="application/vnd.ms-office.chartcolorstyle+xml"/>
  <Override PartName="/word/theme/themeOverride47.xml" ContentType="application/vnd.openxmlformats-officedocument.themeOverride+xml"/>
  <Override PartName="/word/charts/chart43.xml" ContentType="application/vnd.openxmlformats-officedocument.drawingml.chart+xml"/>
  <Override PartName="/word/theme/themeOverride48.xml" ContentType="application/vnd.openxmlformats-officedocument.themeOverride+xml"/>
  <Override PartName="/word/theme/theme1.xml" ContentType="application/vnd.openxmlformats-officedocument.theme+xml"/>
  <Override PartName="/word/charts/chart57.xml" ContentType="application/vnd.openxmlformats-officedocument.drawingml.chart+xml"/>
  <Override PartName="/word/theme/themeOverride32.xml" ContentType="application/vnd.openxmlformats-officedocument.themeOverride+xml"/>
  <Override PartName="/word/theme/themeOverride11.xml" ContentType="application/vnd.openxmlformats-officedocument.themeOverride+xml"/>
  <Override PartName="/word/diagrams/layout1.xml" ContentType="application/vnd.openxmlformats-officedocument.drawingml.diagramLayout+xml"/>
  <Override PartName="/word/diagrams/quickStyle1.xml" ContentType="application/vnd.openxmlformats-officedocument.drawingml.diagramStyle+xml"/>
  <Override PartName="/word/charts/chart18.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diagrams/colors1.xml" ContentType="application/vnd.openxmlformats-officedocument.drawingml.diagramColors+xml"/>
  <Override PartName="/word/diagrams/drawing1.xml" ContentType="application/vnd.ms-office.drawingml.diagramDrawing+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4.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21.xml" ContentType="application/vnd.openxmlformats-officedocument.drawingml.chart+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olors1.xml" ContentType="application/vnd.ms-office.chartcolorstyle+xml"/>
  <Override PartName="/word/charts/style1.xml" ContentType="application/vnd.ms-office.chartstyle+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hart25.xml" ContentType="application/vnd.openxmlformats-officedocument.drawingml.chart+xml"/>
  <Override PartName="/word/theme/themeOverride27.xml" ContentType="application/vnd.openxmlformats-officedocument.themeOverride+xml"/>
  <Override PartName="/word/charts/chart3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8.xml" ContentType="application/vnd.openxmlformats-officedocument.themeOverride+xml"/>
  <Override PartName="/word/charts/colors9.xml" ContentType="application/vnd.ms-office.chartcolorstyle+xml"/>
  <Override PartName="/word/charts/style9.xml" ContentType="application/vnd.ms-office.chartstyle+xml"/>
  <Override PartName="/word/charts/chart37.xml" ContentType="application/vnd.openxmlformats-officedocument.drawingml.chart+xml"/>
  <Override PartName="/word/charts/chart3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6.xml" ContentType="application/vnd.openxmlformats-officedocument.themeOverride+xml"/>
  <Override PartName="/word/charts/chart39.xml" ContentType="application/vnd.openxmlformats-officedocument.drawingml.chart+xml"/>
  <Override PartName="/word/charts/style11.xml" ContentType="application/vnd.ms-office.chartstyle+xml"/>
  <Override PartName="/word/charts/style13.xml" ContentType="application/vnd.ms-office.chartstyle+xml"/>
  <Override PartName="/word/charts/colors13.xml" ContentType="application/vnd.ms-office.chartcolorstyle+xml"/>
  <Override PartName="/word/theme/themeOverride31.xml" ContentType="application/vnd.openxmlformats-officedocument.themeOverride+xml"/>
  <Override PartName="/word/charts/chart4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41.xml" ContentType="application/vnd.openxmlformats-officedocument.drawingml.chart+xml"/>
  <Override PartName="/word/theme/themeOverride30.xml" ContentType="application/vnd.openxmlformats-officedocument.themeOverride+xml"/>
  <Override PartName="/word/charts/colors11.xml" ContentType="application/vnd.ms-office.chartcolorstyle+xml"/>
  <Override PartName="/word/theme/themeOverride29.xml" ContentType="application/vnd.openxmlformats-officedocument.themeOverride+xml"/>
  <Override PartName="/word/charts/chart4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olors4.xml" ContentType="application/vnd.ms-office.chartcolorstyle+xml"/>
  <Override PartName="/word/theme/themeOverride25.xml" ContentType="application/vnd.openxmlformats-officedocument.themeOverride+xml"/>
  <Override PartName="/word/charts/style7.xml" ContentType="application/vnd.ms-office.chartstyle+xml"/>
  <Override PartName="/word/theme/themeOverride18.xml" ContentType="application/vnd.openxmlformats-officedocument.themeOverride+xml"/>
  <Override PartName="/word/charts/chart29.xml" ContentType="application/vnd.openxmlformats-officedocument.drawingml.chart+xml"/>
  <Override PartName="/word/theme/themeOverride19.xml" ContentType="application/vnd.openxmlformats-officedocument.themeOverride+xml"/>
  <Override PartName="/word/charts/chart30.xml" ContentType="application/vnd.openxmlformats-officedocument.drawingml.chart+xml"/>
  <Override PartName="/word/charts/chart28.xml" ContentType="application/vnd.openxmlformats-officedocument.drawingml.chart+xml"/>
  <Override PartName="/word/theme/themeOverride17.xml" ContentType="application/vnd.openxmlformats-officedocument.themeOverride+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charts/colors7.xml" ContentType="application/vnd.ms-office.chartcolorstyle+xml"/>
  <Override PartName="/word/theme/themeOverride20.xml" ContentType="application/vnd.openxmlformats-officedocument.themeOverride+xml"/>
  <Override PartName="/word/charts/chart31.xml" ContentType="application/vnd.openxmlformats-officedocument.drawingml.chart+xml"/>
  <Override PartName="/word/charts/chart3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4.xml" ContentType="application/vnd.openxmlformats-officedocument.themeOverride+xml"/>
  <Override PartName="/word/charts/chart35.xml" ContentType="application/vnd.openxmlformats-officedocument.drawingml.chart+xml"/>
  <Override PartName="/word/theme/themeOverride23.xml" ContentType="application/vnd.openxmlformats-officedocument.themeOverride+xml"/>
  <Override PartName="/word/charts/colors5.xml" ContentType="application/vnd.ms-office.chartcolorstyle+xml"/>
  <Override PartName="/word/charts/style5.xml" ContentType="application/vnd.ms-office.chartstyle+xml"/>
  <Override PartName="/word/theme/themeOverride21.xml" ContentType="application/vnd.openxmlformats-officedocument.themeOverride+xml"/>
  <Override PartName="/word/charts/chart32.xml" ContentType="application/vnd.openxmlformats-officedocument.drawingml.chart+xml"/>
  <Override PartName="/word/theme/themeOverride22.xml" ContentType="application/vnd.openxmlformats-officedocument.themeOverride+xml"/>
  <Override PartName="/word/charts/chart33.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CE315" w14:textId="77777777" w:rsidR="0027351A" w:rsidRPr="00105FFC" w:rsidRDefault="0027351A" w:rsidP="0027351A">
      <w:pPr>
        <w:jc w:val="center"/>
      </w:pPr>
      <w:bookmarkStart w:id="0" w:name="_Toc456104445"/>
      <w:bookmarkStart w:id="1" w:name="_Toc456167771"/>
      <w:bookmarkStart w:id="2" w:name="_Toc456188532"/>
      <w:bookmarkStart w:id="3" w:name="_Toc456964000"/>
      <w:bookmarkStart w:id="4" w:name="_Toc457232004"/>
      <w:r w:rsidRPr="00105FFC">
        <w:rPr>
          <w:noProof/>
        </w:rPr>
        <w:drawing>
          <wp:inline distT="0" distB="0" distL="0" distR="0" wp14:anchorId="3D1F994F" wp14:editId="004939C7">
            <wp:extent cx="4762500" cy="4762500"/>
            <wp:effectExtent l="0" t="0" r="0" b="0"/>
            <wp:docPr id="354" name="Picture 354" title="Medi-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_logo_word-color500.gif"/>
                    <pic:cNvPicPr/>
                  </pic:nvPicPr>
                  <pic:blipFill>
                    <a:blip r:embed="rId11">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27C05427" w14:textId="77777777" w:rsidR="0027351A" w:rsidRPr="00105FFC" w:rsidRDefault="0027351A" w:rsidP="0027351A">
      <w:pPr>
        <w:rPr>
          <w:b/>
          <w:sz w:val="48"/>
          <w:szCs w:val="48"/>
        </w:rPr>
      </w:pPr>
    </w:p>
    <w:p w14:paraId="18692680" w14:textId="77777777" w:rsidR="0027351A" w:rsidRPr="00105FFC" w:rsidRDefault="003C7793" w:rsidP="0027351A">
      <w:pPr>
        <w:jc w:val="center"/>
        <w:rPr>
          <w:b/>
          <w:color w:val="17365D" w:themeColor="text2" w:themeShade="BF"/>
          <w:sz w:val="42"/>
          <w:szCs w:val="42"/>
        </w:rPr>
      </w:pPr>
      <w:r w:rsidRPr="00105FFC">
        <w:rPr>
          <w:b/>
          <w:color w:val="17365D" w:themeColor="text2" w:themeShade="BF"/>
          <w:sz w:val="42"/>
          <w:szCs w:val="42"/>
        </w:rPr>
        <w:t xml:space="preserve">California’s </w:t>
      </w:r>
      <w:r w:rsidR="00BD58C8">
        <w:rPr>
          <w:b/>
          <w:color w:val="17365D" w:themeColor="text2" w:themeShade="BF"/>
          <w:sz w:val="42"/>
          <w:szCs w:val="42"/>
        </w:rPr>
        <w:t xml:space="preserve">Medi-Cal </w:t>
      </w:r>
      <w:r w:rsidRPr="00105FFC">
        <w:rPr>
          <w:b/>
          <w:color w:val="17365D" w:themeColor="text2" w:themeShade="BF"/>
          <w:sz w:val="42"/>
          <w:szCs w:val="42"/>
        </w:rPr>
        <w:t>Fee-for-Service</w:t>
      </w:r>
      <w:r w:rsidR="0027351A" w:rsidRPr="00105FFC">
        <w:rPr>
          <w:b/>
          <w:color w:val="17365D" w:themeColor="text2" w:themeShade="BF"/>
          <w:sz w:val="42"/>
          <w:szCs w:val="42"/>
        </w:rPr>
        <w:t xml:space="preserve"> </w:t>
      </w:r>
    </w:p>
    <w:p w14:paraId="14F6B72C" w14:textId="77777777" w:rsidR="0027351A" w:rsidRPr="00105FFC" w:rsidRDefault="0027351A" w:rsidP="0027351A">
      <w:pPr>
        <w:jc w:val="center"/>
        <w:rPr>
          <w:b/>
          <w:color w:val="17365D" w:themeColor="text2" w:themeShade="BF"/>
          <w:sz w:val="42"/>
          <w:szCs w:val="42"/>
        </w:rPr>
      </w:pPr>
      <w:r w:rsidRPr="00105FFC">
        <w:rPr>
          <w:b/>
          <w:color w:val="17365D" w:themeColor="text2" w:themeShade="BF"/>
          <w:sz w:val="42"/>
          <w:szCs w:val="42"/>
        </w:rPr>
        <w:t>Access Monitoring</w:t>
      </w:r>
      <w:r w:rsidR="00BD58C8">
        <w:rPr>
          <w:b/>
          <w:color w:val="17365D" w:themeColor="text2" w:themeShade="BF"/>
          <w:sz w:val="42"/>
          <w:szCs w:val="42"/>
        </w:rPr>
        <w:t xml:space="preserve"> Review</w:t>
      </w:r>
      <w:r w:rsidRPr="00105FFC">
        <w:rPr>
          <w:b/>
          <w:color w:val="17365D" w:themeColor="text2" w:themeShade="BF"/>
          <w:sz w:val="42"/>
          <w:szCs w:val="42"/>
        </w:rPr>
        <w:t xml:space="preserve"> Plan</w:t>
      </w:r>
    </w:p>
    <w:p w14:paraId="57DDCF13" w14:textId="77777777" w:rsidR="0027351A" w:rsidRPr="00105FFC" w:rsidRDefault="0027351A" w:rsidP="0027351A">
      <w:pPr>
        <w:jc w:val="center"/>
        <w:rPr>
          <w:b/>
          <w:color w:val="17365D" w:themeColor="text2" w:themeShade="BF"/>
          <w:sz w:val="48"/>
          <w:szCs w:val="48"/>
        </w:rPr>
      </w:pPr>
    </w:p>
    <w:p w14:paraId="735DFFAA" w14:textId="77777777" w:rsidR="0027351A" w:rsidRDefault="0027351A" w:rsidP="0027351A">
      <w:pPr>
        <w:jc w:val="center"/>
        <w:rPr>
          <w:b/>
          <w:color w:val="17365D" w:themeColor="text2" w:themeShade="BF"/>
          <w:sz w:val="36"/>
          <w:szCs w:val="36"/>
        </w:rPr>
      </w:pPr>
      <w:r w:rsidRPr="00105FFC">
        <w:rPr>
          <w:b/>
          <w:color w:val="17365D" w:themeColor="text2" w:themeShade="BF"/>
          <w:sz w:val="36"/>
          <w:szCs w:val="36"/>
        </w:rPr>
        <w:t>August 2016</w:t>
      </w:r>
    </w:p>
    <w:p w14:paraId="78260EF2" w14:textId="77777777" w:rsidR="00417E26" w:rsidRDefault="00417E26" w:rsidP="0027351A">
      <w:pPr>
        <w:jc w:val="center"/>
        <w:rPr>
          <w:b/>
          <w:color w:val="17365D" w:themeColor="text2" w:themeShade="BF"/>
          <w:sz w:val="36"/>
          <w:szCs w:val="36"/>
        </w:rPr>
      </w:pPr>
    </w:p>
    <w:p w14:paraId="67185339" w14:textId="77777777" w:rsidR="00417E26" w:rsidRPr="00417E26" w:rsidRDefault="00417E26" w:rsidP="0027351A">
      <w:pPr>
        <w:jc w:val="center"/>
        <w:rPr>
          <w:i/>
          <w:color w:val="FF0000"/>
        </w:rPr>
      </w:pPr>
      <w:r w:rsidRPr="00417E26">
        <w:rPr>
          <w:i/>
          <w:color w:val="FF0000"/>
          <w:sz w:val="30"/>
          <w:szCs w:val="30"/>
        </w:rPr>
        <w:lastRenderedPageBreak/>
        <w:t xml:space="preserve">Draft for Public </w:t>
      </w:r>
      <w:r w:rsidR="00504EBC">
        <w:rPr>
          <w:i/>
          <w:color w:val="FF0000"/>
          <w:sz w:val="30"/>
          <w:szCs w:val="30"/>
        </w:rPr>
        <w:t xml:space="preserve">Review &amp; </w:t>
      </w:r>
      <w:r w:rsidRPr="00417E26">
        <w:rPr>
          <w:i/>
          <w:color w:val="FF0000"/>
          <w:sz w:val="30"/>
          <w:szCs w:val="30"/>
        </w:rPr>
        <w:t>Comment</w:t>
      </w:r>
      <w:r w:rsidRPr="00417E26">
        <w:rPr>
          <w:i/>
          <w:color w:val="FF0000"/>
          <w:sz w:val="30"/>
          <w:szCs w:val="30"/>
        </w:rPr>
        <w:br/>
      </w:r>
      <w:r w:rsidRPr="00417E26">
        <w:rPr>
          <w:i/>
          <w:color w:val="FF0000"/>
        </w:rPr>
        <w:t xml:space="preserve">Please submit comments via email to: </w:t>
      </w:r>
      <w:r w:rsidR="007125E9">
        <w:rPr>
          <w:i/>
          <w:color w:val="FF0000"/>
        </w:rPr>
        <w:t>access</w:t>
      </w:r>
      <w:r w:rsidRPr="00417E26">
        <w:rPr>
          <w:i/>
          <w:color w:val="FF0000"/>
        </w:rPr>
        <w:t>@dhcs.ca.gov</w:t>
      </w:r>
    </w:p>
    <w:p w14:paraId="2B3D8E8B" w14:textId="77777777" w:rsidR="0027351A" w:rsidRPr="00417E26" w:rsidRDefault="0027351A" w:rsidP="00E96824">
      <w:pPr>
        <w:pStyle w:val="Heading1"/>
        <w:spacing w:before="0" w:line="276" w:lineRule="auto"/>
        <w:rPr>
          <w:color w:val="auto"/>
          <w:sz w:val="30"/>
          <w:szCs w:val="30"/>
          <w:u w:val="single"/>
        </w:rPr>
      </w:pPr>
    </w:p>
    <w:p w14:paraId="7392465B" w14:textId="77777777" w:rsidR="0027351A" w:rsidRPr="00105FFC" w:rsidRDefault="0027351A" w:rsidP="00E96824">
      <w:pPr>
        <w:pStyle w:val="Heading1"/>
        <w:spacing w:before="0" w:line="276" w:lineRule="auto"/>
        <w:rPr>
          <w:color w:val="auto"/>
          <w:u w:val="single"/>
        </w:rPr>
      </w:pPr>
      <w:r w:rsidRPr="00105FFC">
        <w:rPr>
          <w:color w:val="auto"/>
          <w:u w:val="single"/>
        </w:rPr>
        <w:br w:type="page"/>
      </w:r>
    </w:p>
    <w:p w14:paraId="4DA2056C" w14:textId="77777777" w:rsidR="00D22900" w:rsidRPr="00105FFC" w:rsidRDefault="00D22900" w:rsidP="00E96824">
      <w:pPr>
        <w:pStyle w:val="Heading1"/>
        <w:spacing w:before="0" w:line="276" w:lineRule="auto"/>
        <w:rPr>
          <w:color w:val="auto"/>
          <w:u w:val="single"/>
        </w:rPr>
      </w:pPr>
      <w:bookmarkStart w:id="5" w:name="_Toc457924459"/>
      <w:bookmarkStart w:id="6" w:name="_Toc457999536"/>
      <w:bookmarkStart w:id="7" w:name="_Toc458518914"/>
      <w:bookmarkStart w:id="8" w:name="_Toc458526626"/>
      <w:bookmarkStart w:id="9" w:name="_Toc458782810"/>
      <w:bookmarkStart w:id="10" w:name="_Toc459287696"/>
      <w:r w:rsidRPr="00105FFC">
        <w:rPr>
          <w:color w:val="auto"/>
          <w:u w:val="single"/>
        </w:rPr>
        <w:lastRenderedPageBreak/>
        <w:t>Table of Contents</w:t>
      </w:r>
      <w:bookmarkEnd w:id="0"/>
      <w:bookmarkEnd w:id="1"/>
      <w:bookmarkEnd w:id="2"/>
      <w:bookmarkEnd w:id="3"/>
      <w:bookmarkEnd w:id="4"/>
      <w:bookmarkEnd w:id="5"/>
      <w:bookmarkEnd w:id="6"/>
      <w:bookmarkEnd w:id="7"/>
      <w:bookmarkEnd w:id="8"/>
      <w:bookmarkEnd w:id="9"/>
      <w:bookmarkEnd w:id="10"/>
    </w:p>
    <w:p w14:paraId="5BB6DD85" w14:textId="77777777" w:rsidR="00866479" w:rsidRPr="00866479" w:rsidRDefault="00D22900">
      <w:pPr>
        <w:pStyle w:val="TOC1"/>
        <w:tabs>
          <w:tab w:val="right" w:leader="dot" w:pos="9350"/>
        </w:tabs>
        <w:rPr>
          <w:rFonts w:asciiTheme="minorHAnsi" w:eastAsiaTheme="minorEastAsia" w:hAnsiTheme="minorHAnsi" w:cstheme="minorBidi"/>
          <w:noProof/>
        </w:rPr>
      </w:pPr>
      <w:r w:rsidRPr="00866479">
        <w:rPr>
          <w:rFonts w:asciiTheme="minorHAnsi" w:hAnsiTheme="minorHAnsi"/>
        </w:rPr>
        <w:fldChar w:fldCharType="begin"/>
      </w:r>
      <w:r w:rsidRPr="00866479">
        <w:rPr>
          <w:rFonts w:asciiTheme="minorHAnsi" w:hAnsiTheme="minorHAnsi"/>
        </w:rPr>
        <w:instrText xml:space="preserve"> TOC \o "1-3" \h \z \u </w:instrText>
      </w:r>
      <w:r w:rsidRPr="00866479">
        <w:rPr>
          <w:rFonts w:asciiTheme="minorHAnsi" w:hAnsiTheme="minorHAnsi"/>
        </w:rPr>
        <w:fldChar w:fldCharType="separate"/>
      </w:r>
      <w:hyperlink w:anchor="_Toc459287696" w:history="1">
        <w:r w:rsidR="00866479" w:rsidRPr="00866479">
          <w:rPr>
            <w:rStyle w:val="Hyperlink"/>
            <w:rFonts w:asciiTheme="minorHAnsi" w:hAnsiTheme="minorHAnsi"/>
            <w:noProof/>
          </w:rPr>
          <w:t>Table of Contents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_Toc459287696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2</w:t>
        </w:r>
        <w:r w:rsidR="00866479" w:rsidRPr="00866479">
          <w:rPr>
            <w:rFonts w:asciiTheme="minorHAnsi" w:hAnsiTheme="minorHAnsi"/>
            <w:noProof/>
            <w:webHidden/>
          </w:rPr>
          <w:fldChar w:fldCharType="end"/>
        </w:r>
      </w:hyperlink>
    </w:p>
    <w:p w14:paraId="115D16A1"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697" w:history="1">
        <w:r w:rsidR="00866479" w:rsidRPr="00866479">
          <w:rPr>
            <w:rStyle w:val="Hyperlink"/>
            <w:rFonts w:asciiTheme="minorHAnsi" w:hAnsiTheme="minorHAnsi"/>
            <w:noProof/>
          </w:rPr>
          <w:t>Table of Figures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_Toc459287697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6</w:t>
        </w:r>
        <w:r w:rsidR="00866479" w:rsidRPr="00866479">
          <w:rPr>
            <w:rFonts w:asciiTheme="minorHAnsi" w:hAnsiTheme="minorHAnsi"/>
            <w:noProof/>
            <w:webHidden/>
          </w:rPr>
          <w:fldChar w:fldCharType="end"/>
        </w:r>
      </w:hyperlink>
    </w:p>
    <w:p w14:paraId="3B39D3C3"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698" w:history="1">
        <w:r w:rsidR="00866479" w:rsidRPr="00866479">
          <w:rPr>
            <w:rStyle w:val="Hyperlink"/>
            <w:rFonts w:asciiTheme="minorHAnsi" w:hAnsiTheme="minorHAnsi"/>
            <w:noProof/>
          </w:rPr>
          <w:t>Table of Tables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_Toc459287698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9</w:t>
        </w:r>
        <w:r w:rsidR="00866479" w:rsidRPr="00866479">
          <w:rPr>
            <w:rFonts w:asciiTheme="minorHAnsi" w:hAnsiTheme="minorHAnsi"/>
            <w:noProof/>
            <w:webHidden/>
          </w:rPr>
          <w:fldChar w:fldCharType="end"/>
        </w:r>
      </w:hyperlink>
    </w:p>
    <w:p w14:paraId="347DBF4D"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699" w:history="1">
        <w:r w:rsidR="00866479" w:rsidRPr="00866479">
          <w:rPr>
            <w:rStyle w:val="Hyperlink"/>
            <w:rFonts w:asciiTheme="minorHAnsi" w:hAnsiTheme="minorHAnsi"/>
            <w:noProof/>
          </w:rPr>
          <w:t>Introduction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_Toc459287699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12</w:t>
        </w:r>
        <w:r w:rsidR="00866479" w:rsidRPr="00866479">
          <w:rPr>
            <w:rFonts w:asciiTheme="minorHAnsi" w:hAnsiTheme="minorHAnsi"/>
            <w:noProof/>
            <w:webHidden/>
          </w:rPr>
          <w:fldChar w:fldCharType="end"/>
        </w:r>
      </w:hyperlink>
    </w:p>
    <w:p w14:paraId="5720B02F"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700" w:history="1">
        <w:r w:rsidR="00866479" w:rsidRPr="00866479">
          <w:rPr>
            <w:rStyle w:val="Hyperlink"/>
            <w:rFonts w:asciiTheme="minorHAnsi" w:hAnsiTheme="minorHAnsi"/>
            <w:noProof/>
          </w:rPr>
          <w:t>Background</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_Toc459287700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w:t>
        </w:r>
        <w:r w:rsidR="00866479" w:rsidRPr="00866479">
          <w:rPr>
            <w:rFonts w:asciiTheme="minorHAnsi" w:hAnsiTheme="minorHAnsi"/>
            <w:noProof/>
            <w:webHidden/>
          </w:rPr>
          <w:fldChar w:fldCharType="end"/>
        </w:r>
      </w:hyperlink>
    </w:p>
    <w:p w14:paraId="1C13D24B"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01" w:history="1">
        <w:r w:rsidR="00866479" w:rsidRPr="00866479">
          <w:rPr>
            <w:rStyle w:val="Hyperlink"/>
            <w:rFonts w:asciiTheme="minorHAnsi" w:hAnsiTheme="minorHAnsi"/>
            <w:noProof/>
          </w:rPr>
          <w:t>Access Monitoring and Documentation Requirements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_Toc459287701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w:t>
        </w:r>
        <w:r w:rsidR="00866479" w:rsidRPr="00866479">
          <w:rPr>
            <w:rFonts w:asciiTheme="minorHAnsi" w:hAnsiTheme="minorHAnsi"/>
            <w:noProof/>
            <w:webHidden/>
          </w:rPr>
          <w:fldChar w:fldCharType="end"/>
        </w:r>
      </w:hyperlink>
    </w:p>
    <w:p w14:paraId="3F774B35"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02" w:history="1">
        <w:r w:rsidR="00866479" w:rsidRPr="00866479">
          <w:rPr>
            <w:rStyle w:val="Hyperlink"/>
            <w:rFonts w:asciiTheme="minorHAnsi" w:hAnsiTheme="minorHAnsi"/>
            <w:noProof/>
          </w:rPr>
          <w:t>Summary of Access Monitoring Plan Requirements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_Toc459287702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w:t>
        </w:r>
        <w:r w:rsidR="00866479" w:rsidRPr="00866479">
          <w:rPr>
            <w:rFonts w:asciiTheme="minorHAnsi" w:hAnsiTheme="minorHAnsi"/>
            <w:noProof/>
            <w:webHidden/>
          </w:rPr>
          <w:fldChar w:fldCharType="end"/>
        </w:r>
      </w:hyperlink>
    </w:p>
    <w:p w14:paraId="5E8D006D"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03" w:history="1">
        <w:r w:rsidR="00866479" w:rsidRPr="00866479">
          <w:rPr>
            <w:rStyle w:val="Hyperlink"/>
            <w:rFonts w:asciiTheme="minorHAnsi" w:hAnsiTheme="minorHAnsi"/>
            <w:noProof/>
          </w:rPr>
          <w:t>Medi-Cal Overview</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_Toc459287703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w:t>
        </w:r>
        <w:r w:rsidR="00866479" w:rsidRPr="00866479">
          <w:rPr>
            <w:rFonts w:asciiTheme="minorHAnsi" w:hAnsiTheme="minorHAnsi"/>
            <w:noProof/>
            <w:webHidden/>
          </w:rPr>
          <w:fldChar w:fldCharType="end"/>
        </w:r>
      </w:hyperlink>
    </w:p>
    <w:p w14:paraId="62563D12"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04" w:history="1">
        <w:r w:rsidR="00866479" w:rsidRPr="00866479">
          <w:rPr>
            <w:rStyle w:val="Hyperlink"/>
            <w:rFonts w:asciiTheme="minorHAnsi" w:hAnsiTheme="minorHAnsi"/>
            <w:noProof/>
          </w:rPr>
          <w:t>Eligibility</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_Toc459287704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15</w:t>
        </w:r>
        <w:r w:rsidR="00866479" w:rsidRPr="00866479">
          <w:rPr>
            <w:rFonts w:asciiTheme="minorHAnsi" w:hAnsiTheme="minorHAnsi"/>
            <w:noProof/>
            <w:webHidden/>
          </w:rPr>
          <w:fldChar w:fldCharType="end"/>
        </w:r>
      </w:hyperlink>
    </w:p>
    <w:p w14:paraId="2171D5D3"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05" w:history="1">
        <w:r w:rsidR="00866479" w:rsidRPr="00866479">
          <w:rPr>
            <w:rStyle w:val="Hyperlink"/>
            <w:rFonts w:asciiTheme="minorHAnsi" w:hAnsiTheme="minorHAnsi"/>
            <w:noProof/>
          </w:rPr>
          <w:t>Benefits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_Toc459287705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15</w:t>
        </w:r>
        <w:r w:rsidR="00866479" w:rsidRPr="00866479">
          <w:rPr>
            <w:rFonts w:asciiTheme="minorHAnsi" w:hAnsiTheme="minorHAnsi"/>
            <w:noProof/>
            <w:webHidden/>
          </w:rPr>
          <w:fldChar w:fldCharType="end"/>
        </w:r>
      </w:hyperlink>
    </w:p>
    <w:p w14:paraId="2724C3EA"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06" w:history="1">
        <w:r w:rsidR="00866479" w:rsidRPr="00866479">
          <w:rPr>
            <w:rStyle w:val="Hyperlink"/>
            <w:rFonts w:asciiTheme="minorHAnsi" w:hAnsiTheme="minorHAnsi"/>
            <w:noProof/>
          </w:rPr>
          <w:t>Health Care Delivery System</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_Toc459287706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16</w:t>
        </w:r>
        <w:r w:rsidR="00866479" w:rsidRPr="00866479">
          <w:rPr>
            <w:rFonts w:asciiTheme="minorHAnsi" w:hAnsiTheme="minorHAnsi"/>
            <w:noProof/>
            <w:webHidden/>
          </w:rPr>
          <w:fldChar w:fldCharType="end"/>
        </w:r>
      </w:hyperlink>
    </w:p>
    <w:p w14:paraId="487CADB1"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07" w:history="1">
        <w:r w:rsidR="00866479" w:rsidRPr="00866479">
          <w:rPr>
            <w:rStyle w:val="Hyperlink"/>
            <w:rFonts w:asciiTheme="minorHAnsi" w:hAnsiTheme="minorHAnsi"/>
            <w:noProof/>
          </w:rPr>
          <w:t>Medi-Cal Population Characteristics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_Toc459287707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w:t>
        </w:r>
        <w:r w:rsidR="00866479" w:rsidRPr="00866479">
          <w:rPr>
            <w:rFonts w:asciiTheme="minorHAnsi" w:hAnsiTheme="minorHAnsi"/>
            <w:noProof/>
            <w:webHidden/>
          </w:rPr>
          <w:fldChar w:fldCharType="end"/>
        </w:r>
      </w:hyperlink>
    </w:p>
    <w:p w14:paraId="7220364A"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08" w:history="1">
        <w:r w:rsidR="00866479" w:rsidRPr="00866479">
          <w:rPr>
            <w:rStyle w:val="Hyperlink"/>
            <w:rFonts w:asciiTheme="minorHAnsi" w:eastAsiaTheme="minorHAnsi" w:hAnsiTheme="minorHAnsi"/>
            <w:noProof/>
          </w:rPr>
          <w:t>Medi-Cal Program Changes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_Toc459287708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19</w:t>
        </w:r>
        <w:r w:rsidR="00866479" w:rsidRPr="00866479">
          <w:rPr>
            <w:rFonts w:asciiTheme="minorHAnsi" w:hAnsiTheme="minorHAnsi"/>
            <w:noProof/>
            <w:webHidden/>
          </w:rPr>
          <w:fldChar w:fldCharType="end"/>
        </w:r>
      </w:hyperlink>
    </w:p>
    <w:p w14:paraId="58CFB0AA"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09" w:history="1">
        <w:r w:rsidR="00866479" w:rsidRPr="00866479">
          <w:rPr>
            <w:rStyle w:val="Hyperlink"/>
            <w:rFonts w:asciiTheme="minorHAnsi" w:eastAsiaTheme="minorHAnsi" w:hAnsiTheme="minorHAnsi"/>
            <w:noProof/>
          </w:rPr>
          <w:t>Shifts to Managed Care</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_Toc459287709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21</w:t>
        </w:r>
        <w:r w:rsidR="00866479" w:rsidRPr="00866479">
          <w:rPr>
            <w:rFonts w:asciiTheme="minorHAnsi" w:hAnsiTheme="minorHAnsi"/>
            <w:noProof/>
            <w:webHidden/>
          </w:rPr>
          <w:fldChar w:fldCharType="end"/>
        </w:r>
      </w:hyperlink>
    </w:p>
    <w:p w14:paraId="32B9464C"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10" w:history="1">
        <w:r w:rsidR="00866479" w:rsidRPr="00866479">
          <w:rPr>
            <w:rStyle w:val="Hyperlink"/>
            <w:rFonts w:asciiTheme="minorHAnsi" w:hAnsiTheme="minorHAnsi"/>
            <w:noProof/>
          </w:rPr>
          <w:t>Population Expansions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_Toc459287710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24</w:t>
        </w:r>
        <w:r w:rsidR="00866479" w:rsidRPr="00866479">
          <w:rPr>
            <w:rFonts w:asciiTheme="minorHAnsi" w:hAnsiTheme="minorHAnsi"/>
            <w:noProof/>
            <w:webHidden/>
          </w:rPr>
          <w:fldChar w:fldCharType="end"/>
        </w:r>
      </w:hyperlink>
    </w:p>
    <w:p w14:paraId="08CA919A"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11" w:history="1">
        <w:r w:rsidR="00866479" w:rsidRPr="00866479">
          <w:rPr>
            <w:rStyle w:val="Hyperlink"/>
            <w:rFonts w:asciiTheme="minorHAnsi" w:eastAsiaTheme="minorHAnsi" w:hAnsiTheme="minorHAnsi"/>
            <w:noProof/>
          </w:rPr>
          <w:t>Fee-for-Service: A Changed Landscape</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_Toc459287711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26</w:t>
        </w:r>
        <w:r w:rsidR="00866479" w:rsidRPr="00866479">
          <w:rPr>
            <w:rFonts w:asciiTheme="minorHAnsi" w:hAnsiTheme="minorHAnsi"/>
            <w:noProof/>
            <w:webHidden/>
          </w:rPr>
          <w:fldChar w:fldCharType="end"/>
        </w:r>
      </w:hyperlink>
    </w:p>
    <w:p w14:paraId="5E407911"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12" w:history="1">
        <w:r w:rsidR="00866479" w:rsidRPr="00866479">
          <w:rPr>
            <w:rStyle w:val="Hyperlink"/>
            <w:rFonts w:asciiTheme="minorHAnsi" w:eastAsiaTheme="minorHAnsi" w:hAnsiTheme="minorHAnsi"/>
            <w:noProof/>
          </w:rPr>
          <w:t>The Role of Fee-for-Service in Medi-Cal</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_Toc459287712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27</w:t>
        </w:r>
        <w:r w:rsidR="00866479" w:rsidRPr="00866479">
          <w:rPr>
            <w:rFonts w:asciiTheme="minorHAnsi" w:hAnsiTheme="minorHAnsi"/>
            <w:noProof/>
            <w:webHidden/>
          </w:rPr>
          <w:fldChar w:fldCharType="end"/>
        </w:r>
      </w:hyperlink>
    </w:p>
    <w:p w14:paraId="6A715CE3"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13" w:history="1">
        <w:r w:rsidR="00866479" w:rsidRPr="00866479">
          <w:rPr>
            <w:rStyle w:val="Hyperlink"/>
            <w:rFonts w:asciiTheme="minorHAnsi" w:eastAsiaTheme="minorHAnsi" w:hAnsiTheme="minorHAnsi"/>
            <w:noProof/>
          </w:rPr>
          <w:t>Mandatory Managed Care</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_Toc459287713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30</w:t>
        </w:r>
        <w:r w:rsidR="00866479" w:rsidRPr="00866479">
          <w:rPr>
            <w:rFonts w:asciiTheme="minorHAnsi" w:hAnsiTheme="minorHAnsi"/>
            <w:noProof/>
            <w:webHidden/>
          </w:rPr>
          <w:fldChar w:fldCharType="end"/>
        </w:r>
      </w:hyperlink>
    </w:p>
    <w:p w14:paraId="1A0556E5"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14" w:history="1">
        <w:r w:rsidR="00866479" w:rsidRPr="00866479">
          <w:rPr>
            <w:rStyle w:val="Hyperlink"/>
            <w:rFonts w:asciiTheme="minorHAnsi" w:eastAsiaTheme="minorHAnsi" w:hAnsiTheme="minorHAnsi"/>
            <w:noProof/>
          </w:rPr>
          <w:t>Restricted Scope</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_Toc459287714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33</w:t>
        </w:r>
        <w:r w:rsidR="00866479" w:rsidRPr="00866479">
          <w:rPr>
            <w:rFonts w:asciiTheme="minorHAnsi" w:hAnsiTheme="minorHAnsi"/>
            <w:noProof/>
            <w:webHidden/>
          </w:rPr>
          <w:fldChar w:fldCharType="end"/>
        </w:r>
      </w:hyperlink>
    </w:p>
    <w:p w14:paraId="59E34E48"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15" w:history="1">
        <w:r w:rsidR="00866479" w:rsidRPr="00866479">
          <w:rPr>
            <w:rStyle w:val="Hyperlink"/>
            <w:rFonts w:asciiTheme="minorHAnsi" w:eastAsiaTheme="minorHAnsi" w:hAnsiTheme="minorHAnsi"/>
            <w:noProof/>
          </w:rPr>
          <w:t>Dual Eligibles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_Toc459287715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35</w:t>
        </w:r>
        <w:r w:rsidR="00866479" w:rsidRPr="00866479">
          <w:rPr>
            <w:rFonts w:asciiTheme="minorHAnsi" w:hAnsiTheme="minorHAnsi"/>
            <w:noProof/>
            <w:webHidden/>
          </w:rPr>
          <w:fldChar w:fldCharType="end"/>
        </w:r>
      </w:hyperlink>
    </w:p>
    <w:p w14:paraId="003EF7C0"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16" w:history="1">
        <w:r w:rsidR="00866479" w:rsidRPr="00866479">
          <w:rPr>
            <w:rStyle w:val="Hyperlink"/>
            <w:rFonts w:asciiTheme="minorHAnsi" w:eastAsiaTheme="minorHAnsi" w:hAnsiTheme="minorHAnsi"/>
            <w:noProof/>
          </w:rPr>
          <w:t>Share-of-Cost</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_Toc459287716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38</w:t>
        </w:r>
        <w:r w:rsidR="00866479" w:rsidRPr="00866479">
          <w:rPr>
            <w:rFonts w:asciiTheme="minorHAnsi" w:hAnsiTheme="minorHAnsi"/>
            <w:noProof/>
            <w:webHidden/>
          </w:rPr>
          <w:fldChar w:fldCharType="end"/>
        </w:r>
      </w:hyperlink>
    </w:p>
    <w:p w14:paraId="0AB34131"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17" w:history="1">
        <w:r w:rsidR="00866479" w:rsidRPr="00866479">
          <w:rPr>
            <w:rStyle w:val="Hyperlink"/>
            <w:rFonts w:asciiTheme="minorHAnsi" w:eastAsiaTheme="minorHAnsi" w:hAnsiTheme="minorHAnsi"/>
            <w:noProof/>
          </w:rPr>
          <w:t>FFS Full-Scope Medi-Cal Only (No SOC, Non-Dual Eligible)</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_Toc459287717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39</w:t>
        </w:r>
        <w:r w:rsidR="00866479" w:rsidRPr="00866479">
          <w:rPr>
            <w:rFonts w:asciiTheme="minorHAnsi" w:hAnsiTheme="minorHAnsi"/>
            <w:noProof/>
            <w:webHidden/>
          </w:rPr>
          <w:fldChar w:fldCharType="end"/>
        </w:r>
      </w:hyperlink>
    </w:p>
    <w:p w14:paraId="19D8B05F"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18" w:history="1">
        <w:r w:rsidR="00866479" w:rsidRPr="00866479">
          <w:rPr>
            <w:rStyle w:val="Hyperlink"/>
            <w:rFonts w:asciiTheme="minorHAnsi" w:eastAsiaTheme="minorHAnsi" w:hAnsiTheme="minorHAnsi"/>
            <w:noProof/>
          </w:rPr>
          <w:t>Characteristics of the Fee-for-Service Population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_Toc459287718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41</w:t>
        </w:r>
        <w:r w:rsidR="00866479" w:rsidRPr="00866479">
          <w:rPr>
            <w:rFonts w:asciiTheme="minorHAnsi" w:hAnsiTheme="minorHAnsi"/>
            <w:noProof/>
            <w:webHidden/>
          </w:rPr>
          <w:fldChar w:fldCharType="end"/>
        </w:r>
      </w:hyperlink>
    </w:p>
    <w:p w14:paraId="28F2FDE0"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719" w:history="1">
        <w:r w:rsidR="00866479" w:rsidRPr="00866479">
          <w:rPr>
            <w:rStyle w:val="Hyperlink"/>
            <w:rFonts w:asciiTheme="minorHAnsi" w:hAnsiTheme="minorHAnsi"/>
            <w:noProof/>
          </w:rPr>
          <w:t>Literature Review</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_Toc459287719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45</w:t>
        </w:r>
        <w:r w:rsidR="00866479" w:rsidRPr="00866479">
          <w:rPr>
            <w:rFonts w:asciiTheme="minorHAnsi" w:hAnsiTheme="minorHAnsi"/>
            <w:noProof/>
            <w:webHidden/>
          </w:rPr>
          <w:fldChar w:fldCharType="end"/>
        </w:r>
      </w:hyperlink>
    </w:p>
    <w:p w14:paraId="0D024F03"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20" w:history="1">
        <w:r w:rsidR="00866479" w:rsidRPr="00866479">
          <w:rPr>
            <w:rStyle w:val="Hyperlink"/>
            <w:rFonts w:asciiTheme="minorHAnsi" w:hAnsiTheme="minorHAnsi"/>
            <w:noProof/>
          </w:rPr>
          <w:t>Primary Access Elements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_Toc459287720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45</w:t>
        </w:r>
        <w:r w:rsidR="00866479" w:rsidRPr="00866479">
          <w:rPr>
            <w:rFonts w:asciiTheme="minorHAnsi" w:hAnsiTheme="minorHAnsi"/>
            <w:noProof/>
            <w:webHidden/>
          </w:rPr>
          <w:fldChar w:fldCharType="end"/>
        </w:r>
      </w:hyperlink>
    </w:p>
    <w:p w14:paraId="2C9DCCA4"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21" w:history="1">
        <w:r w:rsidR="00866479" w:rsidRPr="00866479">
          <w:rPr>
            <w:rStyle w:val="Hyperlink"/>
            <w:rFonts w:asciiTheme="minorHAnsi" w:hAnsiTheme="minorHAnsi"/>
            <w:noProof/>
          </w:rPr>
          <w:t>Insurance Coverage</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_Toc459287721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45</w:t>
        </w:r>
        <w:r w:rsidR="00866479" w:rsidRPr="00866479">
          <w:rPr>
            <w:rFonts w:asciiTheme="minorHAnsi" w:hAnsiTheme="minorHAnsi"/>
            <w:noProof/>
            <w:webHidden/>
          </w:rPr>
          <w:fldChar w:fldCharType="end"/>
        </w:r>
      </w:hyperlink>
    </w:p>
    <w:p w14:paraId="3CC087A8"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22" w:history="1">
        <w:r w:rsidR="00866479" w:rsidRPr="00866479">
          <w:rPr>
            <w:rStyle w:val="Hyperlink"/>
            <w:rFonts w:asciiTheme="minorHAnsi" w:hAnsiTheme="minorHAnsi"/>
            <w:noProof/>
          </w:rPr>
          <w:t>Provider Supply</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_Toc459287722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46</w:t>
        </w:r>
        <w:r w:rsidR="00866479" w:rsidRPr="00866479">
          <w:rPr>
            <w:rFonts w:asciiTheme="minorHAnsi" w:hAnsiTheme="minorHAnsi"/>
            <w:noProof/>
            <w:webHidden/>
          </w:rPr>
          <w:fldChar w:fldCharType="end"/>
        </w:r>
      </w:hyperlink>
    </w:p>
    <w:p w14:paraId="41211295"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23" w:history="1">
        <w:r w:rsidR="00866479" w:rsidRPr="00866479">
          <w:rPr>
            <w:rStyle w:val="Hyperlink"/>
            <w:rFonts w:asciiTheme="minorHAnsi" w:hAnsiTheme="minorHAnsi"/>
            <w:noProof/>
          </w:rPr>
          <w:t>Provider Reimbursement</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_Toc459287723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50</w:t>
        </w:r>
        <w:r w:rsidR="00866479" w:rsidRPr="00866479">
          <w:rPr>
            <w:rFonts w:asciiTheme="minorHAnsi" w:hAnsiTheme="minorHAnsi"/>
            <w:noProof/>
            <w:webHidden/>
          </w:rPr>
          <w:fldChar w:fldCharType="end"/>
        </w:r>
      </w:hyperlink>
    </w:p>
    <w:p w14:paraId="2CD2B87E"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24" w:history="1">
        <w:r w:rsidR="00866479" w:rsidRPr="00866479">
          <w:rPr>
            <w:rStyle w:val="Hyperlink"/>
            <w:rFonts w:asciiTheme="minorHAnsi" w:hAnsiTheme="minorHAnsi"/>
            <w:noProof/>
          </w:rPr>
          <w:t>Service Utilization and Other Elements of Access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_Toc459287724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51</w:t>
        </w:r>
        <w:r w:rsidR="00866479" w:rsidRPr="00866479">
          <w:rPr>
            <w:rFonts w:asciiTheme="minorHAnsi" w:hAnsiTheme="minorHAnsi"/>
            <w:noProof/>
            <w:webHidden/>
          </w:rPr>
          <w:fldChar w:fldCharType="end"/>
        </w:r>
      </w:hyperlink>
    </w:p>
    <w:p w14:paraId="2AFC95DD"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25" w:history="1">
        <w:r w:rsidR="00866479" w:rsidRPr="00866479">
          <w:rPr>
            <w:rStyle w:val="Hyperlink"/>
            <w:rFonts w:asciiTheme="minorHAnsi" w:hAnsiTheme="minorHAnsi"/>
            <w:noProof/>
          </w:rPr>
          <w:t>Patient-Level Barriers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_Toc459287725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51</w:t>
        </w:r>
        <w:r w:rsidR="00866479" w:rsidRPr="00866479">
          <w:rPr>
            <w:rFonts w:asciiTheme="minorHAnsi" w:hAnsiTheme="minorHAnsi"/>
            <w:noProof/>
            <w:webHidden/>
          </w:rPr>
          <w:fldChar w:fldCharType="end"/>
        </w:r>
      </w:hyperlink>
    </w:p>
    <w:p w14:paraId="370DFBD4"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26" w:history="1">
        <w:r w:rsidR="00866479" w:rsidRPr="00866479">
          <w:rPr>
            <w:rStyle w:val="Hyperlink"/>
            <w:rFonts w:asciiTheme="minorHAnsi" w:hAnsiTheme="minorHAnsi"/>
            <w:noProof/>
          </w:rPr>
          <w:t>Andersen’s Model for the Study of Access to Health Care Services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_Toc459287726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52</w:t>
        </w:r>
        <w:r w:rsidR="00866479" w:rsidRPr="00866479">
          <w:rPr>
            <w:rFonts w:asciiTheme="minorHAnsi" w:hAnsiTheme="minorHAnsi"/>
            <w:noProof/>
            <w:webHidden/>
          </w:rPr>
          <w:fldChar w:fldCharType="end"/>
        </w:r>
      </w:hyperlink>
    </w:p>
    <w:p w14:paraId="2E82C4DD"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27" w:history="1">
        <w:r w:rsidR="00866479" w:rsidRPr="00866479">
          <w:rPr>
            <w:rStyle w:val="Hyperlink"/>
            <w:rFonts w:asciiTheme="minorHAnsi" w:hAnsiTheme="minorHAnsi" w:cs="Tahoma"/>
            <w:noProof/>
          </w:rPr>
          <w:t>MACPAC Access Monitoring Framework</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_Toc459287727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54</w:t>
        </w:r>
        <w:r w:rsidR="00866479" w:rsidRPr="00866479">
          <w:rPr>
            <w:rFonts w:asciiTheme="minorHAnsi" w:hAnsiTheme="minorHAnsi"/>
            <w:noProof/>
            <w:webHidden/>
          </w:rPr>
          <w:fldChar w:fldCharType="end"/>
        </w:r>
      </w:hyperlink>
    </w:p>
    <w:p w14:paraId="69C72BBF"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28" w:history="1">
        <w:r w:rsidR="00866479" w:rsidRPr="00866479">
          <w:rPr>
            <w:rStyle w:val="Hyperlink"/>
            <w:rFonts w:asciiTheme="minorHAnsi" w:hAnsiTheme="minorHAnsi" w:cs="Tahoma"/>
            <w:noProof/>
          </w:rPr>
          <w:t>DHCS’ Access Monitoring Framework</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_Toc459287728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55</w:t>
        </w:r>
        <w:r w:rsidR="00866479" w:rsidRPr="00866479">
          <w:rPr>
            <w:rFonts w:asciiTheme="minorHAnsi" w:hAnsiTheme="minorHAnsi"/>
            <w:noProof/>
            <w:webHidden/>
          </w:rPr>
          <w:fldChar w:fldCharType="end"/>
        </w:r>
      </w:hyperlink>
    </w:p>
    <w:p w14:paraId="18E639F2"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29" w:history="1">
        <w:r w:rsidR="00866479" w:rsidRPr="00866479">
          <w:rPr>
            <w:rStyle w:val="Hyperlink"/>
            <w:rFonts w:asciiTheme="minorHAnsi" w:hAnsiTheme="minorHAnsi"/>
            <w:noProof/>
          </w:rPr>
          <w:t>Foundational Concepts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_Toc459287729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55</w:t>
        </w:r>
        <w:r w:rsidR="00866479" w:rsidRPr="00866479">
          <w:rPr>
            <w:rFonts w:asciiTheme="minorHAnsi" w:hAnsiTheme="minorHAnsi"/>
            <w:noProof/>
            <w:webHidden/>
          </w:rPr>
          <w:fldChar w:fldCharType="end"/>
        </w:r>
      </w:hyperlink>
    </w:p>
    <w:p w14:paraId="5349C08B"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30" w:history="1">
        <w:r w:rsidR="00866479" w:rsidRPr="00866479">
          <w:rPr>
            <w:rStyle w:val="Hyperlink"/>
            <w:rFonts w:asciiTheme="minorHAnsi" w:hAnsiTheme="minorHAnsi"/>
            <w:noProof/>
          </w:rPr>
          <w:t>Predisposing Characteristics of the Population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_Toc459287730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55</w:t>
        </w:r>
        <w:r w:rsidR="00866479" w:rsidRPr="00866479">
          <w:rPr>
            <w:rFonts w:asciiTheme="minorHAnsi" w:hAnsiTheme="minorHAnsi"/>
            <w:noProof/>
            <w:webHidden/>
          </w:rPr>
          <w:fldChar w:fldCharType="end"/>
        </w:r>
      </w:hyperlink>
    </w:p>
    <w:p w14:paraId="4F6C8736"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31" w:history="1">
        <w:r w:rsidR="00866479" w:rsidRPr="00866479">
          <w:rPr>
            <w:rStyle w:val="Hyperlink"/>
            <w:rFonts w:asciiTheme="minorHAnsi" w:hAnsiTheme="minorHAnsi"/>
            <w:noProof/>
          </w:rPr>
          <w:t>Enabling or Impeding Factors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_Toc459287731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56</w:t>
        </w:r>
        <w:r w:rsidR="00866479" w:rsidRPr="00866479">
          <w:rPr>
            <w:rFonts w:asciiTheme="minorHAnsi" w:hAnsiTheme="minorHAnsi"/>
            <w:noProof/>
            <w:webHidden/>
          </w:rPr>
          <w:fldChar w:fldCharType="end"/>
        </w:r>
      </w:hyperlink>
    </w:p>
    <w:p w14:paraId="118BFFFB"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32" w:history="1">
        <w:r w:rsidR="00866479" w:rsidRPr="00866479">
          <w:rPr>
            <w:rStyle w:val="Hyperlink"/>
            <w:rFonts w:asciiTheme="minorHAnsi" w:hAnsiTheme="minorHAnsi"/>
            <w:noProof/>
          </w:rPr>
          <w:t>Realized Access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_Toc459287732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57</w:t>
        </w:r>
        <w:r w:rsidR="00866479" w:rsidRPr="00866479">
          <w:rPr>
            <w:rFonts w:asciiTheme="minorHAnsi" w:hAnsiTheme="minorHAnsi"/>
            <w:noProof/>
            <w:webHidden/>
          </w:rPr>
          <w:fldChar w:fldCharType="end"/>
        </w:r>
      </w:hyperlink>
    </w:p>
    <w:p w14:paraId="42E80019"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733" w:history="1">
        <w:r w:rsidR="00866479" w:rsidRPr="00866479">
          <w:rPr>
            <w:rStyle w:val="Hyperlink"/>
            <w:rFonts w:asciiTheme="minorHAnsi" w:eastAsiaTheme="minorHAnsi" w:hAnsiTheme="minorHAnsi"/>
            <w:noProof/>
          </w:rPr>
          <w:t xml:space="preserve">Identified Access </w:t>
        </w:r>
        <w:r w:rsidR="00866479" w:rsidRPr="00866479">
          <w:rPr>
            <w:rStyle w:val="Hyperlink"/>
            <w:rFonts w:asciiTheme="minorHAnsi" w:hAnsiTheme="minorHAnsi"/>
            <w:noProof/>
          </w:rPr>
          <w:t>Domains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_Toc459287733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57</w:t>
        </w:r>
        <w:r w:rsidR="00866479" w:rsidRPr="00866479">
          <w:rPr>
            <w:rFonts w:asciiTheme="minorHAnsi" w:hAnsiTheme="minorHAnsi"/>
            <w:noProof/>
            <w:webHidden/>
          </w:rPr>
          <w:fldChar w:fldCharType="end"/>
        </w:r>
      </w:hyperlink>
    </w:p>
    <w:p w14:paraId="59589699"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34" w:history="1">
        <w:r w:rsidR="00866479" w:rsidRPr="00866479">
          <w:rPr>
            <w:rStyle w:val="Hyperlink"/>
            <w:rFonts w:asciiTheme="minorHAnsi" w:hAnsiTheme="minorHAnsi"/>
            <w:noProof/>
          </w:rPr>
          <w:t>Methodology</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_Toc459287734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57</w:t>
        </w:r>
        <w:r w:rsidR="00866479" w:rsidRPr="00866479">
          <w:rPr>
            <w:rFonts w:asciiTheme="minorHAnsi" w:hAnsiTheme="minorHAnsi"/>
            <w:noProof/>
            <w:webHidden/>
          </w:rPr>
          <w:fldChar w:fldCharType="end"/>
        </w:r>
      </w:hyperlink>
    </w:p>
    <w:p w14:paraId="36964B6B"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35" w:history="1">
        <w:r w:rsidR="00866479" w:rsidRPr="00866479">
          <w:rPr>
            <w:rStyle w:val="Hyperlink"/>
            <w:rFonts w:asciiTheme="minorHAnsi" w:eastAsiaTheme="minorHAnsi" w:hAnsiTheme="minorHAnsi"/>
            <w:noProof/>
          </w:rPr>
          <w:t>Study Population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_Toc459287735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57</w:t>
        </w:r>
        <w:r w:rsidR="00866479" w:rsidRPr="00866479">
          <w:rPr>
            <w:rFonts w:asciiTheme="minorHAnsi" w:hAnsiTheme="minorHAnsi"/>
            <w:noProof/>
            <w:webHidden/>
          </w:rPr>
          <w:fldChar w:fldCharType="end"/>
        </w:r>
      </w:hyperlink>
    </w:p>
    <w:p w14:paraId="3ED8078F"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36" w:history="1">
        <w:r w:rsidR="00866479" w:rsidRPr="00866479">
          <w:rPr>
            <w:rStyle w:val="Hyperlink"/>
            <w:rFonts w:asciiTheme="minorHAnsi" w:eastAsiaTheme="minorHAnsi" w:hAnsiTheme="minorHAnsi"/>
            <w:noProof/>
          </w:rPr>
          <w:t>Baseline Study Periods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_Toc459287736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58</w:t>
        </w:r>
        <w:r w:rsidR="00866479" w:rsidRPr="00866479">
          <w:rPr>
            <w:rFonts w:asciiTheme="minorHAnsi" w:hAnsiTheme="minorHAnsi"/>
            <w:noProof/>
            <w:webHidden/>
          </w:rPr>
          <w:fldChar w:fldCharType="end"/>
        </w:r>
      </w:hyperlink>
    </w:p>
    <w:p w14:paraId="00A6E1EE"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37" w:history="1">
        <w:r w:rsidR="00866479" w:rsidRPr="00866479">
          <w:rPr>
            <w:rStyle w:val="Hyperlink"/>
            <w:rFonts w:asciiTheme="minorHAnsi" w:hAnsiTheme="minorHAnsi"/>
            <w:noProof/>
          </w:rPr>
          <w:t>Data Availability</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_Toc459287737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58</w:t>
        </w:r>
        <w:r w:rsidR="00866479" w:rsidRPr="00866479">
          <w:rPr>
            <w:rFonts w:asciiTheme="minorHAnsi" w:hAnsiTheme="minorHAnsi"/>
            <w:noProof/>
            <w:webHidden/>
          </w:rPr>
          <w:fldChar w:fldCharType="end"/>
        </w:r>
      </w:hyperlink>
    </w:p>
    <w:p w14:paraId="1D3606EF"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38" w:history="1">
        <w:r w:rsidR="00866479" w:rsidRPr="00866479">
          <w:rPr>
            <w:rStyle w:val="Hyperlink"/>
            <w:rFonts w:asciiTheme="minorHAnsi" w:hAnsiTheme="minorHAnsi"/>
            <w:noProof/>
          </w:rPr>
          <w:t>Access Evaluation Domains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_Toc459287738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59</w:t>
        </w:r>
        <w:r w:rsidR="00866479" w:rsidRPr="00866479">
          <w:rPr>
            <w:rFonts w:asciiTheme="minorHAnsi" w:hAnsiTheme="minorHAnsi"/>
            <w:noProof/>
            <w:webHidden/>
          </w:rPr>
          <w:fldChar w:fldCharType="end"/>
        </w:r>
      </w:hyperlink>
    </w:p>
    <w:p w14:paraId="3CB4BD64"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39" w:history="1">
        <w:r w:rsidR="00866479" w:rsidRPr="00866479">
          <w:rPr>
            <w:rStyle w:val="Hyperlink"/>
            <w:rFonts w:asciiTheme="minorHAnsi" w:hAnsiTheme="minorHAnsi"/>
            <w:noProof/>
          </w:rPr>
          <w:t>Evaluation Domain:  Beneficiary Participation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_Toc459287739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60</w:t>
        </w:r>
        <w:r w:rsidR="00866479" w:rsidRPr="00866479">
          <w:rPr>
            <w:rFonts w:asciiTheme="minorHAnsi" w:hAnsiTheme="minorHAnsi"/>
            <w:noProof/>
            <w:webHidden/>
          </w:rPr>
          <w:fldChar w:fldCharType="end"/>
        </w:r>
      </w:hyperlink>
    </w:p>
    <w:p w14:paraId="7CD27E01"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40" w:history="1">
        <w:r w:rsidR="00866479" w:rsidRPr="00866479">
          <w:rPr>
            <w:rStyle w:val="Hyperlink"/>
            <w:rFonts w:asciiTheme="minorHAnsi" w:eastAsiaTheme="majorEastAsia" w:hAnsiTheme="minorHAnsi" w:cstheme="majorBidi"/>
            <w:bCs/>
            <w:noProof/>
          </w:rPr>
          <w:t>Evaluation</w:t>
        </w:r>
        <w:r w:rsidR="00866479" w:rsidRPr="00866479">
          <w:rPr>
            <w:rStyle w:val="Hyperlink"/>
            <w:rFonts w:asciiTheme="minorHAnsi" w:hAnsiTheme="minorHAnsi"/>
            <w:noProof/>
          </w:rPr>
          <w:t xml:space="preserve"> Domain</w:t>
        </w:r>
        <w:r w:rsidR="00866479" w:rsidRPr="00866479">
          <w:rPr>
            <w:rStyle w:val="Hyperlink"/>
            <w:rFonts w:asciiTheme="minorHAnsi" w:eastAsiaTheme="majorEastAsia" w:hAnsiTheme="minorHAnsi" w:cstheme="majorBidi"/>
            <w:bCs/>
            <w:noProof/>
          </w:rPr>
          <w:t>:  Provider Participation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_Toc459287740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61</w:t>
        </w:r>
        <w:r w:rsidR="00866479" w:rsidRPr="00866479">
          <w:rPr>
            <w:rFonts w:asciiTheme="minorHAnsi" w:hAnsiTheme="minorHAnsi"/>
            <w:noProof/>
            <w:webHidden/>
          </w:rPr>
          <w:fldChar w:fldCharType="end"/>
        </w:r>
      </w:hyperlink>
    </w:p>
    <w:p w14:paraId="3238D843"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41" w:history="1">
        <w:r w:rsidR="00866479" w:rsidRPr="00866479">
          <w:rPr>
            <w:rStyle w:val="Hyperlink"/>
            <w:rFonts w:asciiTheme="minorHAnsi" w:hAnsiTheme="minorHAnsi"/>
            <w:noProof/>
          </w:rPr>
          <w:t>Evaluation Domain: Realized Access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_Toc459287741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64</w:t>
        </w:r>
        <w:r w:rsidR="00866479" w:rsidRPr="00866479">
          <w:rPr>
            <w:rFonts w:asciiTheme="minorHAnsi" w:hAnsiTheme="minorHAnsi"/>
            <w:noProof/>
            <w:webHidden/>
          </w:rPr>
          <w:fldChar w:fldCharType="end"/>
        </w:r>
      </w:hyperlink>
    </w:p>
    <w:p w14:paraId="49CD4B65"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42" w:history="1">
        <w:r w:rsidR="00866479" w:rsidRPr="00866479">
          <w:rPr>
            <w:rStyle w:val="Hyperlink"/>
            <w:rFonts w:asciiTheme="minorHAnsi" w:eastAsiaTheme="majorEastAsia" w:hAnsiTheme="minorHAnsi" w:cstheme="majorBidi"/>
            <w:bCs/>
            <w:noProof/>
          </w:rPr>
          <w:t>Evaluation Domain: Obstetric Services and Births Outcomes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_Toc459287742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69</w:t>
        </w:r>
        <w:r w:rsidR="00866479" w:rsidRPr="00866479">
          <w:rPr>
            <w:rFonts w:asciiTheme="minorHAnsi" w:hAnsiTheme="minorHAnsi"/>
            <w:noProof/>
            <w:webHidden/>
          </w:rPr>
          <w:fldChar w:fldCharType="end"/>
        </w:r>
      </w:hyperlink>
    </w:p>
    <w:p w14:paraId="63D23F5A"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43" w:history="1">
        <w:r w:rsidR="00866479" w:rsidRPr="00866479">
          <w:rPr>
            <w:rStyle w:val="Hyperlink"/>
            <w:rFonts w:asciiTheme="minorHAnsi" w:hAnsiTheme="minorHAnsi"/>
            <w:noProof/>
          </w:rPr>
          <w:t>Evaluation Domain: Feedback</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_Toc459287743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72</w:t>
        </w:r>
        <w:r w:rsidR="00866479" w:rsidRPr="00866479">
          <w:rPr>
            <w:rFonts w:asciiTheme="minorHAnsi" w:hAnsiTheme="minorHAnsi"/>
            <w:noProof/>
            <w:webHidden/>
          </w:rPr>
          <w:fldChar w:fldCharType="end"/>
        </w:r>
      </w:hyperlink>
    </w:p>
    <w:p w14:paraId="13D53B7C"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44" w:history="1">
        <w:r w:rsidR="00866479" w:rsidRPr="00866479">
          <w:rPr>
            <w:rStyle w:val="Hyperlink"/>
            <w:rFonts w:asciiTheme="minorHAnsi" w:hAnsiTheme="minorHAnsi"/>
            <w:noProof/>
          </w:rPr>
          <w:t>Evaluation Domain: Dental Eligibles and Utilization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_Toc459287744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74</w:t>
        </w:r>
        <w:r w:rsidR="00866479" w:rsidRPr="00866479">
          <w:rPr>
            <w:rFonts w:asciiTheme="minorHAnsi" w:hAnsiTheme="minorHAnsi"/>
            <w:noProof/>
            <w:webHidden/>
          </w:rPr>
          <w:fldChar w:fldCharType="end"/>
        </w:r>
      </w:hyperlink>
    </w:p>
    <w:p w14:paraId="7657CB13"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45" w:history="1">
        <w:r w:rsidR="00866479" w:rsidRPr="00866479">
          <w:rPr>
            <w:rStyle w:val="Hyperlink"/>
            <w:rFonts w:asciiTheme="minorHAnsi" w:hAnsiTheme="minorHAnsi"/>
            <w:noProof/>
          </w:rPr>
          <w:t>Evaluation Domain: FFS Provider Reimbursement Rates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_Toc459287745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75</w:t>
        </w:r>
        <w:r w:rsidR="00866479" w:rsidRPr="00866479">
          <w:rPr>
            <w:rFonts w:asciiTheme="minorHAnsi" w:hAnsiTheme="minorHAnsi"/>
            <w:noProof/>
            <w:webHidden/>
          </w:rPr>
          <w:fldChar w:fldCharType="end"/>
        </w:r>
      </w:hyperlink>
    </w:p>
    <w:p w14:paraId="21169F9A"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746" w:history="1">
        <w:r w:rsidR="00866479" w:rsidRPr="00866479">
          <w:rPr>
            <w:rStyle w:val="Hyperlink"/>
            <w:rFonts w:asciiTheme="minorHAnsi" w:hAnsiTheme="minorHAnsi"/>
            <w:noProof/>
          </w:rPr>
          <w:t>Access Monitoring Process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_Toc459287746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77</w:t>
        </w:r>
        <w:r w:rsidR="00866479" w:rsidRPr="00866479">
          <w:rPr>
            <w:rFonts w:asciiTheme="minorHAnsi" w:hAnsiTheme="minorHAnsi"/>
            <w:noProof/>
            <w:webHidden/>
          </w:rPr>
          <w:fldChar w:fldCharType="end"/>
        </w:r>
      </w:hyperlink>
    </w:p>
    <w:p w14:paraId="7BF5889F"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47" w:history="1">
        <w:r w:rsidR="00866479" w:rsidRPr="00866479">
          <w:rPr>
            <w:rStyle w:val="Hyperlink"/>
            <w:rFonts w:asciiTheme="minorHAnsi" w:hAnsiTheme="minorHAnsi"/>
            <w:noProof/>
          </w:rPr>
          <w:t>Understanding the Monitoring Process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_Toc459287747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79</w:t>
        </w:r>
        <w:r w:rsidR="00866479" w:rsidRPr="00866479">
          <w:rPr>
            <w:rFonts w:asciiTheme="minorHAnsi" w:hAnsiTheme="minorHAnsi"/>
            <w:noProof/>
            <w:webHidden/>
          </w:rPr>
          <w:fldChar w:fldCharType="end"/>
        </w:r>
      </w:hyperlink>
    </w:p>
    <w:p w14:paraId="15872603"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48" w:history="1">
        <w:r w:rsidR="00866479" w:rsidRPr="00866479">
          <w:rPr>
            <w:rStyle w:val="Hyperlink"/>
            <w:rFonts w:asciiTheme="minorHAnsi" w:hAnsiTheme="minorHAnsi"/>
            <w:noProof/>
          </w:rPr>
          <w:t>Limitations of the Initial Monitoring Stage</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_Toc459287748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80</w:t>
        </w:r>
        <w:r w:rsidR="00866479" w:rsidRPr="00866479">
          <w:rPr>
            <w:rFonts w:asciiTheme="minorHAnsi" w:hAnsiTheme="minorHAnsi"/>
            <w:noProof/>
            <w:webHidden/>
          </w:rPr>
          <w:fldChar w:fldCharType="end"/>
        </w:r>
      </w:hyperlink>
    </w:p>
    <w:p w14:paraId="7CCA0A71"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49" w:history="1">
        <w:r w:rsidR="00866479" w:rsidRPr="00866479">
          <w:rPr>
            <w:rStyle w:val="Hyperlink"/>
            <w:rFonts w:asciiTheme="minorHAnsi" w:hAnsiTheme="minorHAnsi"/>
            <w:noProof/>
          </w:rPr>
          <w:t>Procedures for Continued Access Monitoring</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_Toc459287749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81</w:t>
        </w:r>
        <w:r w:rsidR="00866479" w:rsidRPr="00866479">
          <w:rPr>
            <w:rFonts w:asciiTheme="minorHAnsi" w:hAnsiTheme="minorHAnsi"/>
            <w:noProof/>
            <w:webHidden/>
          </w:rPr>
          <w:fldChar w:fldCharType="end"/>
        </w:r>
      </w:hyperlink>
    </w:p>
    <w:p w14:paraId="6DFF8A95"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750" w:history="1">
        <w:r w:rsidR="00866479" w:rsidRPr="00866479">
          <w:rPr>
            <w:rStyle w:val="Hyperlink"/>
            <w:rFonts w:asciiTheme="minorHAnsi" w:hAnsiTheme="minorHAnsi"/>
            <w:noProof/>
          </w:rPr>
          <w:t>Appendix A: Baseline Analysis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_Toc459287750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84</w:t>
        </w:r>
        <w:r w:rsidR="00866479" w:rsidRPr="00866479">
          <w:rPr>
            <w:rFonts w:asciiTheme="minorHAnsi" w:hAnsiTheme="minorHAnsi"/>
            <w:noProof/>
            <w:webHidden/>
          </w:rPr>
          <w:fldChar w:fldCharType="end"/>
        </w:r>
      </w:hyperlink>
    </w:p>
    <w:p w14:paraId="7F7467F1"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51" w:history="1">
        <w:r w:rsidR="00866479" w:rsidRPr="00866479">
          <w:rPr>
            <w:rStyle w:val="Hyperlink"/>
            <w:rFonts w:asciiTheme="minorHAnsi" w:hAnsiTheme="minorHAnsi"/>
            <w:noProof/>
          </w:rPr>
          <w:t>Domain: Beneficiary Participation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_Toc459287751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84</w:t>
        </w:r>
        <w:r w:rsidR="00866479" w:rsidRPr="00866479">
          <w:rPr>
            <w:rFonts w:asciiTheme="minorHAnsi" w:hAnsiTheme="minorHAnsi"/>
            <w:noProof/>
            <w:webHidden/>
          </w:rPr>
          <w:fldChar w:fldCharType="end"/>
        </w:r>
      </w:hyperlink>
    </w:p>
    <w:p w14:paraId="2FC48575"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52" w:history="1">
        <w:r w:rsidR="00866479" w:rsidRPr="00866479">
          <w:rPr>
            <w:rStyle w:val="Hyperlink"/>
            <w:rFonts w:asciiTheme="minorHAnsi" w:hAnsiTheme="minorHAnsi"/>
            <w:noProof/>
          </w:rPr>
          <w:t>Introduction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_Toc459287752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84</w:t>
        </w:r>
        <w:r w:rsidR="00866479" w:rsidRPr="00866479">
          <w:rPr>
            <w:rFonts w:asciiTheme="minorHAnsi" w:hAnsiTheme="minorHAnsi"/>
            <w:noProof/>
            <w:webHidden/>
          </w:rPr>
          <w:fldChar w:fldCharType="end"/>
        </w:r>
      </w:hyperlink>
    </w:p>
    <w:p w14:paraId="2140AB8D"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53" w:history="1">
        <w:r w:rsidR="00866479" w:rsidRPr="00866479">
          <w:rPr>
            <w:rStyle w:val="Hyperlink"/>
            <w:rFonts w:asciiTheme="minorHAnsi" w:hAnsiTheme="minorHAnsi"/>
            <w:noProof/>
          </w:rPr>
          <w:t>Trend in Overall Medi-Cal Enrollment, 2008-2016</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_Toc459287753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84</w:t>
        </w:r>
        <w:r w:rsidR="00866479" w:rsidRPr="00866479">
          <w:rPr>
            <w:rFonts w:asciiTheme="minorHAnsi" w:hAnsiTheme="minorHAnsi"/>
            <w:noProof/>
            <w:webHidden/>
          </w:rPr>
          <w:fldChar w:fldCharType="end"/>
        </w:r>
      </w:hyperlink>
    </w:p>
    <w:p w14:paraId="49021617"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54" w:history="1">
        <w:r w:rsidR="00866479" w:rsidRPr="00866479">
          <w:rPr>
            <w:rStyle w:val="Hyperlink"/>
            <w:rFonts w:asciiTheme="minorHAnsi" w:hAnsiTheme="minorHAnsi"/>
            <w:noProof/>
          </w:rPr>
          <w:t>Distribution of FFS Medi-Cal Beneficiaries, by Age Group</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_Toc459287754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85</w:t>
        </w:r>
        <w:r w:rsidR="00866479" w:rsidRPr="00866479">
          <w:rPr>
            <w:rFonts w:asciiTheme="minorHAnsi" w:hAnsiTheme="minorHAnsi"/>
            <w:noProof/>
            <w:webHidden/>
          </w:rPr>
          <w:fldChar w:fldCharType="end"/>
        </w:r>
      </w:hyperlink>
    </w:p>
    <w:p w14:paraId="70165056"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55" w:history="1">
        <w:r w:rsidR="00866479" w:rsidRPr="00866479">
          <w:rPr>
            <w:rStyle w:val="Hyperlink"/>
            <w:rFonts w:asciiTheme="minorHAnsi" w:hAnsiTheme="minorHAnsi"/>
            <w:noProof/>
          </w:rPr>
          <w:t>Distribution of FFS Medi-Cal Beneficiaries, by Aid Category</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_Toc459287755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86</w:t>
        </w:r>
        <w:r w:rsidR="00866479" w:rsidRPr="00866479">
          <w:rPr>
            <w:rFonts w:asciiTheme="minorHAnsi" w:hAnsiTheme="minorHAnsi"/>
            <w:noProof/>
            <w:webHidden/>
          </w:rPr>
          <w:fldChar w:fldCharType="end"/>
        </w:r>
      </w:hyperlink>
    </w:p>
    <w:p w14:paraId="2314E73C"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56" w:history="1">
        <w:r w:rsidR="00866479" w:rsidRPr="00866479">
          <w:rPr>
            <w:rStyle w:val="Hyperlink"/>
            <w:rFonts w:asciiTheme="minorHAnsi" w:hAnsiTheme="minorHAnsi"/>
            <w:noProof/>
          </w:rPr>
          <w:t>Distribution of FFS Medi-Cal Beneficiaries, by Gender</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_Toc459287756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88</w:t>
        </w:r>
        <w:r w:rsidR="00866479" w:rsidRPr="00866479">
          <w:rPr>
            <w:rFonts w:asciiTheme="minorHAnsi" w:hAnsiTheme="minorHAnsi"/>
            <w:noProof/>
            <w:webHidden/>
          </w:rPr>
          <w:fldChar w:fldCharType="end"/>
        </w:r>
      </w:hyperlink>
    </w:p>
    <w:p w14:paraId="73F7A32A"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57" w:history="1">
        <w:r w:rsidR="00866479" w:rsidRPr="00866479">
          <w:rPr>
            <w:rStyle w:val="Hyperlink"/>
            <w:rFonts w:asciiTheme="minorHAnsi" w:hAnsiTheme="minorHAnsi"/>
            <w:noProof/>
          </w:rPr>
          <w:t>Distribution of FFS Medi-Cal Beneficiaries, by Geographic Region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_Toc459287757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90</w:t>
        </w:r>
        <w:r w:rsidR="00866479" w:rsidRPr="00866479">
          <w:rPr>
            <w:rFonts w:asciiTheme="minorHAnsi" w:hAnsiTheme="minorHAnsi"/>
            <w:noProof/>
            <w:webHidden/>
          </w:rPr>
          <w:fldChar w:fldCharType="end"/>
        </w:r>
      </w:hyperlink>
    </w:p>
    <w:p w14:paraId="7E3B6F33"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58" w:history="1">
        <w:r w:rsidR="00866479" w:rsidRPr="00866479">
          <w:rPr>
            <w:rStyle w:val="Hyperlink"/>
            <w:rFonts w:asciiTheme="minorHAnsi" w:hAnsiTheme="minorHAnsi"/>
            <w:noProof/>
          </w:rPr>
          <w:t>Distribution of FFS Medi-Cal Beneficiaries, by Race/Ethnicity</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_Toc459287758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91</w:t>
        </w:r>
        <w:r w:rsidR="00866479" w:rsidRPr="00866479">
          <w:rPr>
            <w:rFonts w:asciiTheme="minorHAnsi" w:hAnsiTheme="minorHAnsi"/>
            <w:noProof/>
            <w:webHidden/>
          </w:rPr>
          <w:fldChar w:fldCharType="end"/>
        </w:r>
      </w:hyperlink>
    </w:p>
    <w:p w14:paraId="4925FBED"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59" w:history="1">
        <w:r w:rsidR="00866479" w:rsidRPr="00866479">
          <w:rPr>
            <w:rStyle w:val="Hyperlink"/>
            <w:rFonts w:asciiTheme="minorHAnsi" w:hAnsiTheme="minorHAnsi"/>
            <w:noProof/>
          </w:rPr>
          <w:t>Distribution of FFS Medi-Cal Beneficiaries, by Primary Language Spoken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_Toc459287759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92</w:t>
        </w:r>
        <w:r w:rsidR="00866479" w:rsidRPr="00866479">
          <w:rPr>
            <w:rFonts w:asciiTheme="minorHAnsi" w:hAnsiTheme="minorHAnsi"/>
            <w:noProof/>
            <w:webHidden/>
          </w:rPr>
          <w:fldChar w:fldCharType="end"/>
        </w:r>
      </w:hyperlink>
    </w:p>
    <w:p w14:paraId="513E8B70"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60" w:history="1">
        <w:r w:rsidR="00866479" w:rsidRPr="00866479">
          <w:rPr>
            <w:rStyle w:val="Hyperlink"/>
            <w:rFonts w:asciiTheme="minorHAnsi" w:eastAsia="Calibri" w:hAnsiTheme="minorHAnsi"/>
            <w:noProof/>
          </w:rPr>
          <w:t>Conclusion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_Toc459287760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92</w:t>
        </w:r>
        <w:r w:rsidR="00866479" w:rsidRPr="00866479">
          <w:rPr>
            <w:rFonts w:asciiTheme="minorHAnsi" w:hAnsiTheme="minorHAnsi"/>
            <w:noProof/>
            <w:webHidden/>
          </w:rPr>
          <w:fldChar w:fldCharType="end"/>
        </w:r>
      </w:hyperlink>
    </w:p>
    <w:p w14:paraId="67782772"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61" w:history="1">
        <w:r w:rsidR="00866479" w:rsidRPr="00866479">
          <w:rPr>
            <w:rStyle w:val="Hyperlink"/>
            <w:rFonts w:asciiTheme="minorHAnsi" w:hAnsiTheme="minorHAnsi"/>
            <w:noProof/>
          </w:rPr>
          <w:t>Domain: Provider Participation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_Toc459287761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94</w:t>
        </w:r>
        <w:r w:rsidR="00866479" w:rsidRPr="00866479">
          <w:rPr>
            <w:rFonts w:asciiTheme="minorHAnsi" w:hAnsiTheme="minorHAnsi"/>
            <w:noProof/>
            <w:webHidden/>
          </w:rPr>
          <w:fldChar w:fldCharType="end"/>
        </w:r>
      </w:hyperlink>
    </w:p>
    <w:p w14:paraId="078E1F80"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62" w:history="1">
        <w:r w:rsidR="00866479" w:rsidRPr="00866479">
          <w:rPr>
            <w:rStyle w:val="Hyperlink"/>
            <w:rFonts w:asciiTheme="minorHAnsi" w:hAnsiTheme="minorHAnsi"/>
            <w:noProof/>
          </w:rPr>
          <w:t>Introduction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_Toc459287762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94</w:t>
        </w:r>
        <w:r w:rsidR="00866479" w:rsidRPr="00866479">
          <w:rPr>
            <w:rFonts w:asciiTheme="minorHAnsi" w:hAnsiTheme="minorHAnsi"/>
            <w:noProof/>
            <w:webHidden/>
          </w:rPr>
          <w:fldChar w:fldCharType="end"/>
        </w:r>
      </w:hyperlink>
    </w:p>
    <w:p w14:paraId="725B383B"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63" w:history="1">
        <w:r w:rsidR="00866479" w:rsidRPr="00866479">
          <w:rPr>
            <w:rStyle w:val="Hyperlink"/>
            <w:rFonts w:asciiTheme="minorHAnsi" w:hAnsiTheme="minorHAnsi"/>
            <w:noProof/>
          </w:rPr>
          <w:t>Providers by Provider Sub-Group and Geographic Region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_Toc459287763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95</w:t>
        </w:r>
        <w:r w:rsidR="00866479" w:rsidRPr="00866479">
          <w:rPr>
            <w:rFonts w:asciiTheme="minorHAnsi" w:hAnsiTheme="minorHAnsi"/>
            <w:noProof/>
            <w:webHidden/>
          </w:rPr>
          <w:fldChar w:fldCharType="end"/>
        </w:r>
      </w:hyperlink>
    </w:p>
    <w:p w14:paraId="30891B42"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64" w:history="1">
        <w:r w:rsidR="00866479" w:rsidRPr="00866479">
          <w:rPr>
            <w:rStyle w:val="Hyperlink"/>
            <w:rFonts w:asciiTheme="minorHAnsi" w:eastAsiaTheme="minorHAnsi" w:hAnsiTheme="minorHAnsi"/>
            <w:noProof/>
          </w:rPr>
          <w:t>Conclusions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_Toc459287764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113</w:t>
        </w:r>
        <w:r w:rsidR="00866479" w:rsidRPr="00866479">
          <w:rPr>
            <w:rFonts w:asciiTheme="minorHAnsi" w:hAnsiTheme="minorHAnsi"/>
            <w:noProof/>
            <w:webHidden/>
          </w:rPr>
          <w:fldChar w:fldCharType="end"/>
        </w:r>
      </w:hyperlink>
    </w:p>
    <w:p w14:paraId="16E77524"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65" w:history="1">
        <w:r w:rsidR="00866479" w:rsidRPr="00866479">
          <w:rPr>
            <w:rStyle w:val="Hyperlink"/>
            <w:rFonts w:asciiTheme="minorHAnsi" w:hAnsiTheme="minorHAnsi"/>
            <w:noProof/>
          </w:rPr>
          <w:t>Domain: Realized Access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_Toc459287765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114</w:t>
        </w:r>
        <w:r w:rsidR="00866479" w:rsidRPr="00866479">
          <w:rPr>
            <w:rFonts w:asciiTheme="minorHAnsi" w:hAnsiTheme="minorHAnsi"/>
            <w:noProof/>
            <w:webHidden/>
          </w:rPr>
          <w:fldChar w:fldCharType="end"/>
        </w:r>
      </w:hyperlink>
    </w:p>
    <w:p w14:paraId="4885A877"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66" w:history="1">
        <w:r w:rsidR="00866479" w:rsidRPr="00866479">
          <w:rPr>
            <w:rStyle w:val="Hyperlink"/>
            <w:rFonts w:asciiTheme="minorHAnsi" w:hAnsiTheme="minorHAnsi"/>
            <w:noProof/>
          </w:rPr>
          <w:t>Introduction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_Toc459287766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114</w:t>
        </w:r>
        <w:r w:rsidR="00866479" w:rsidRPr="00866479">
          <w:rPr>
            <w:rFonts w:asciiTheme="minorHAnsi" w:hAnsiTheme="minorHAnsi"/>
            <w:noProof/>
            <w:webHidden/>
          </w:rPr>
          <w:fldChar w:fldCharType="end"/>
        </w:r>
      </w:hyperlink>
    </w:p>
    <w:p w14:paraId="4A9CB486"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67" w:history="1">
        <w:r w:rsidR="00866479" w:rsidRPr="00866479">
          <w:rPr>
            <w:rStyle w:val="Hyperlink"/>
            <w:rFonts w:asciiTheme="minorHAnsi" w:hAnsiTheme="minorHAnsi"/>
            <w:noProof/>
          </w:rPr>
          <w:t>Utilization Trends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_Toc459287767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114</w:t>
        </w:r>
        <w:r w:rsidR="00866479" w:rsidRPr="00866479">
          <w:rPr>
            <w:rFonts w:asciiTheme="minorHAnsi" w:hAnsiTheme="minorHAnsi"/>
            <w:noProof/>
            <w:webHidden/>
          </w:rPr>
          <w:fldChar w:fldCharType="end"/>
        </w:r>
      </w:hyperlink>
    </w:p>
    <w:p w14:paraId="78C6439B"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68" w:history="1">
        <w:r w:rsidR="00866479" w:rsidRPr="00866479">
          <w:rPr>
            <w:rStyle w:val="Hyperlink"/>
            <w:rFonts w:asciiTheme="minorHAnsi" w:eastAsiaTheme="majorEastAsia" w:hAnsiTheme="minorHAnsi" w:cstheme="majorBidi"/>
            <w:bCs/>
            <w:noProof/>
          </w:rPr>
          <w:t>Domain: Obstetric Services and Births Outcomes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_Toc459287768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123</w:t>
        </w:r>
        <w:r w:rsidR="00866479" w:rsidRPr="00866479">
          <w:rPr>
            <w:rFonts w:asciiTheme="minorHAnsi" w:hAnsiTheme="minorHAnsi"/>
            <w:noProof/>
            <w:webHidden/>
          </w:rPr>
          <w:fldChar w:fldCharType="end"/>
        </w:r>
      </w:hyperlink>
    </w:p>
    <w:p w14:paraId="691C83B9"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69" w:history="1">
        <w:r w:rsidR="00866479" w:rsidRPr="00866479">
          <w:rPr>
            <w:rStyle w:val="Hyperlink"/>
            <w:rFonts w:asciiTheme="minorHAnsi" w:eastAsiaTheme="majorEastAsia" w:hAnsiTheme="minorHAnsi" w:cstheme="majorBidi"/>
            <w:bCs/>
            <w:noProof/>
          </w:rPr>
          <w:t>Introduction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_Toc459287769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123</w:t>
        </w:r>
        <w:r w:rsidR="00866479" w:rsidRPr="00866479">
          <w:rPr>
            <w:rFonts w:asciiTheme="minorHAnsi" w:hAnsiTheme="minorHAnsi"/>
            <w:noProof/>
            <w:webHidden/>
          </w:rPr>
          <w:fldChar w:fldCharType="end"/>
        </w:r>
      </w:hyperlink>
    </w:p>
    <w:p w14:paraId="05F63823"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70" w:history="1">
        <w:r w:rsidR="00866479" w:rsidRPr="00866479">
          <w:rPr>
            <w:rStyle w:val="Hyperlink"/>
            <w:rFonts w:asciiTheme="minorHAnsi" w:eastAsiaTheme="majorEastAsia" w:hAnsiTheme="minorHAnsi" w:cstheme="majorBidi"/>
            <w:bCs/>
            <w:noProof/>
          </w:rPr>
          <w:t>Characteristics of Medi-Cal FFS Funded Births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_Toc459287770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125</w:t>
        </w:r>
        <w:r w:rsidR="00866479" w:rsidRPr="00866479">
          <w:rPr>
            <w:rFonts w:asciiTheme="minorHAnsi" w:hAnsiTheme="minorHAnsi"/>
            <w:noProof/>
            <w:webHidden/>
          </w:rPr>
          <w:fldChar w:fldCharType="end"/>
        </w:r>
      </w:hyperlink>
    </w:p>
    <w:p w14:paraId="51D447B8"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71" w:history="1">
        <w:r w:rsidR="00866479" w:rsidRPr="00866479">
          <w:rPr>
            <w:rStyle w:val="Hyperlink"/>
            <w:rFonts w:asciiTheme="minorHAnsi" w:eastAsiaTheme="majorEastAsia" w:hAnsiTheme="minorHAnsi" w:cstheme="majorBidi"/>
            <w:bCs/>
            <w:noProof/>
          </w:rPr>
          <w:t>Initiation of Prenatal Care</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_Toc459287771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128</w:t>
        </w:r>
        <w:r w:rsidR="00866479" w:rsidRPr="00866479">
          <w:rPr>
            <w:rFonts w:asciiTheme="minorHAnsi" w:hAnsiTheme="minorHAnsi"/>
            <w:noProof/>
            <w:webHidden/>
          </w:rPr>
          <w:fldChar w:fldCharType="end"/>
        </w:r>
      </w:hyperlink>
    </w:p>
    <w:p w14:paraId="57D02FBD"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72" w:history="1">
        <w:r w:rsidR="00866479" w:rsidRPr="00866479">
          <w:rPr>
            <w:rStyle w:val="Hyperlink"/>
            <w:rFonts w:asciiTheme="minorHAnsi" w:eastAsiaTheme="majorEastAsia" w:hAnsiTheme="minorHAnsi" w:cstheme="majorBidi"/>
            <w:bCs/>
            <w:noProof/>
          </w:rPr>
          <w:t>Low-Birthweight among Singleton Births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_Toc459287772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131</w:t>
        </w:r>
        <w:r w:rsidR="00866479" w:rsidRPr="00866479">
          <w:rPr>
            <w:rFonts w:asciiTheme="minorHAnsi" w:hAnsiTheme="minorHAnsi"/>
            <w:noProof/>
            <w:webHidden/>
          </w:rPr>
          <w:fldChar w:fldCharType="end"/>
        </w:r>
      </w:hyperlink>
    </w:p>
    <w:p w14:paraId="68C453F4"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73" w:history="1">
        <w:r w:rsidR="00866479" w:rsidRPr="00866479">
          <w:rPr>
            <w:rStyle w:val="Hyperlink"/>
            <w:rFonts w:asciiTheme="minorHAnsi" w:hAnsiTheme="minorHAnsi"/>
            <w:noProof/>
          </w:rPr>
          <w:t>Pre-Term among Singleton Births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_Toc459287773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135</w:t>
        </w:r>
        <w:r w:rsidR="00866479" w:rsidRPr="00866479">
          <w:rPr>
            <w:rFonts w:asciiTheme="minorHAnsi" w:hAnsiTheme="minorHAnsi"/>
            <w:noProof/>
            <w:webHidden/>
          </w:rPr>
          <w:fldChar w:fldCharType="end"/>
        </w:r>
      </w:hyperlink>
    </w:p>
    <w:p w14:paraId="4ED59FDE"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74" w:history="1">
        <w:r w:rsidR="00866479" w:rsidRPr="00866479">
          <w:rPr>
            <w:rStyle w:val="Hyperlink"/>
            <w:rFonts w:asciiTheme="minorHAnsi" w:eastAsia="Calibri" w:hAnsiTheme="minorHAnsi"/>
            <w:noProof/>
          </w:rPr>
          <w:t>Conclusion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_Toc459287774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138</w:t>
        </w:r>
        <w:r w:rsidR="00866479" w:rsidRPr="00866479">
          <w:rPr>
            <w:rFonts w:asciiTheme="minorHAnsi" w:hAnsiTheme="minorHAnsi"/>
            <w:noProof/>
            <w:webHidden/>
          </w:rPr>
          <w:fldChar w:fldCharType="end"/>
        </w:r>
      </w:hyperlink>
    </w:p>
    <w:p w14:paraId="7462D486"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75" w:history="1">
        <w:r w:rsidR="00866479" w:rsidRPr="00866479">
          <w:rPr>
            <w:rStyle w:val="Hyperlink"/>
            <w:rFonts w:asciiTheme="minorHAnsi" w:hAnsiTheme="minorHAnsi"/>
            <w:noProof/>
          </w:rPr>
          <w:t>Domain: Feedback</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_Toc459287775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140</w:t>
        </w:r>
        <w:r w:rsidR="00866479" w:rsidRPr="00866479">
          <w:rPr>
            <w:rFonts w:asciiTheme="minorHAnsi" w:hAnsiTheme="minorHAnsi"/>
            <w:noProof/>
            <w:webHidden/>
          </w:rPr>
          <w:fldChar w:fldCharType="end"/>
        </w:r>
      </w:hyperlink>
    </w:p>
    <w:p w14:paraId="0E800075"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76" w:history="1">
        <w:r w:rsidR="00866479" w:rsidRPr="00866479">
          <w:rPr>
            <w:rStyle w:val="Hyperlink"/>
            <w:rFonts w:asciiTheme="minorHAnsi" w:hAnsiTheme="minorHAnsi"/>
            <w:noProof/>
          </w:rPr>
          <w:t>Introduction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_Toc459287776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140</w:t>
        </w:r>
        <w:r w:rsidR="00866479" w:rsidRPr="00866479">
          <w:rPr>
            <w:rFonts w:asciiTheme="minorHAnsi" w:hAnsiTheme="minorHAnsi"/>
            <w:noProof/>
            <w:webHidden/>
          </w:rPr>
          <w:fldChar w:fldCharType="end"/>
        </w:r>
      </w:hyperlink>
    </w:p>
    <w:p w14:paraId="5F9E5202"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77" w:history="1">
        <w:r w:rsidR="00866479" w:rsidRPr="00866479">
          <w:rPr>
            <w:rStyle w:val="Hyperlink"/>
            <w:rFonts w:asciiTheme="minorHAnsi" w:hAnsiTheme="minorHAnsi"/>
            <w:noProof/>
          </w:rPr>
          <w:t>Calls Received from FFS Medi-Cal Beneficiaries, by Quarter</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_Toc459287777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141</w:t>
        </w:r>
        <w:r w:rsidR="00866479" w:rsidRPr="00866479">
          <w:rPr>
            <w:rFonts w:asciiTheme="minorHAnsi" w:hAnsiTheme="minorHAnsi"/>
            <w:noProof/>
            <w:webHidden/>
          </w:rPr>
          <w:fldChar w:fldCharType="end"/>
        </w:r>
      </w:hyperlink>
    </w:p>
    <w:p w14:paraId="57BCF7D5"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78" w:history="1">
        <w:r w:rsidR="00866479" w:rsidRPr="00866479">
          <w:rPr>
            <w:rStyle w:val="Hyperlink"/>
            <w:rFonts w:asciiTheme="minorHAnsi" w:hAnsiTheme="minorHAnsi"/>
            <w:noProof/>
          </w:rPr>
          <w:t>Calls Received from FFS Medi-Cal Beneficiaries, by Month</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_Toc459287778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141</w:t>
        </w:r>
        <w:r w:rsidR="00866479" w:rsidRPr="00866479">
          <w:rPr>
            <w:rFonts w:asciiTheme="minorHAnsi" w:hAnsiTheme="minorHAnsi"/>
            <w:noProof/>
            <w:webHidden/>
          </w:rPr>
          <w:fldChar w:fldCharType="end"/>
        </w:r>
      </w:hyperlink>
    </w:p>
    <w:p w14:paraId="077C8FCF"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79" w:history="1">
        <w:r w:rsidR="00866479" w:rsidRPr="00866479">
          <w:rPr>
            <w:rStyle w:val="Hyperlink"/>
            <w:rFonts w:asciiTheme="minorHAnsi" w:hAnsiTheme="minorHAnsi"/>
            <w:noProof/>
          </w:rPr>
          <w:t>Calls Received from FFS Medi-Cal Beneficiaries, by Geographic Region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_Toc459287779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142</w:t>
        </w:r>
        <w:r w:rsidR="00866479" w:rsidRPr="00866479">
          <w:rPr>
            <w:rFonts w:asciiTheme="minorHAnsi" w:hAnsiTheme="minorHAnsi"/>
            <w:noProof/>
            <w:webHidden/>
          </w:rPr>
          <w:fldChar w:fldCharType="end"/>
        </w:r>
      </w:hyperlink>
    </w:p>
    <w:p w14:paraId="50A59B1D"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80" w:history="1">
        <w:r w:rsidR="00866479" w:rsidRPr="00866479">
          <w:rPr>
            <w:rStyle w:val="Hyperlink"/>
            <w:rFonts w:asciiTheme="minorHAnsi" w:hAnsiTheme="minorHAnsi"/>
            <w:noProof/>
          </w:rPr>
          <w:t>Calls Received from FFS Medi-Cal Beneficiaries, by Aid Category</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_Toc459287780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146</w:t>
        </w:r>
        <w:r w:rsidR="00866479" w:rsidRPr="00866479">
          <w:rPr>
            <w:rFonts w:asciiTheme="minorHAnsi" w:hAnsiTheme="minorHAnsi"/>
            <w:noProof/>
            <w:webHidden/>
          </w:rPr>
          <w:fldChar w:fldCharType="end"/>
        </w:r>
      </w:hyperlink>
    </w:p>
    <w:p w14:paraId="7C3C9A19"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81" w:history="1">
        <w:r w:rsidR="00866479" w:rsidRPr="00866479">
          <w:rPr>
            <w:rStyle w:val="Hyperlink"/>
            <w:rFonts w:asciiTheme="minorHAnsi" w:hAnsiTheme="minorHAnsi"/>
            <w:noProof/>
          </w:rPr>
          <w:t>Calls Received from FFS Medi-Cal Beneficiaries, by Call Category</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_Toc459287781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146</w:t>
        </w:r>
        <w:r w:rsidR="00866479" w:rsidRPr="00866479">
          <w:rPr>
            <w:rFonts w:asciiTheme="minorHAnsi" w:hAnsiTheme="minorHAnsi"/>
            <w:noProof/>
            <w:webHidden/>
          </w:rPr>
          <w:fldChar w:fldCharType="end"/>
        </w:r>
      </w:hyperlink>
    </w:p>
    <w:p w14:paraId="3BF0A6DF"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82" w:history="1">
        <w:r w:rsidR="00866479" w:rsidRPr="00866479">
          <w:rPr>
            <w:rStyle w:val="Hyperlink"/>
            <w:rFonts w:asciiTheme="minorHAnsi" w:hAnsiTheme="minorHAnsi"/>
            <w:noProof/>
          </w:rPr>
          <w:t>Top Three Call Categories, by Aid Category</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_Toc459287782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147</w:t>
        </w:r>
        <w:r w:rsidR="00866479" w:rsidRPr="00866479">
          <w:rPr>
            <w:rFonts w:asciiTheme="minorHAnsi" w:hAnsiTheme="minorHAnsi"/>
            <w:noProof/>
            <w:webHidden/>
          </w:rPr>
          <w:fldChar w:fldCharType="end"/>
        </w:r>
      </w:hyperlink>
    </w:p>
    <w:p w14:paraId="1A3E812C"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83" w:history="1">
        <w:r w:rsidR="00866479" w:rsidRPr="00866479">
          <w:rPr>
            <w:rStyle w:val="Hyperlink"/>
            <w:rFonts w:asciiTheme="minorHAnsi" w:hAnsiTheme="minorHAnsi"/>
            <w:noProof/>
          </w:rPr>
          <w:t>Dedicated Webpage and Email</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_Toc459287783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148</w:t>
        </w:r>
        <w:r w:rsidR="00866479" w:rsidRPr="00866479">
          <w:rPr>
            <w:rFonts w:asciiTheme="minorHAnsi" w:hAnsiTheme="minorHAnsi"/>
            <w:noProof/>
            <w:webHidden/>
          </w:rPr>
          <w:fldChar w:fldCharType="end"/>
        </w:r>
      </w:hyperlink>
    </w:p>
    <w:p w14:paraId="6AEE2563"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84" w:history="1">
        <w:r w:rsidR="00866479" w:rsidRPr="00866479">
          <w:rPr>
            <w:rStyle w:val="Hyperlink"/>
            <w:rFonts w:asciiTheme="minorHAnsi" w:eastAsiaTheme="minorHAnsi" w:hAnsiTheme="minorHAnsi"/>
            <w:noProof/>
          </w:rPr>
          <w:t>Conclusions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_Toc459287784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148</w:t>
        </w:r>
        <w:r w:rsidR="00866479" w:rsidRPr="00866479">
          <w:rPr>
            <w:rFonts w:asciiTheme="minorHAnsi" w:hAnsiTheme="minorHAnsi"/>
            <w:noProof/>
            <w:webHidden/>
          </w:rPr>
          <w:fldChar w:fldCharType="end"/>
        </w:r>
      </w:hyperlink>
    </w:p>
    <w:p w14:paraId="4D1D2DD7"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85" w:history="1">
        <w:r w:rsidR="00866479" w:rsidRPr="00866479">
          <w:rPr>
            <w:rStyle w:val="Hyperlink"/>
            <w:rFonts w:asciiTheme="minorHAnsi" w:hAnsiTheme="minorHAnsi"/>
            <w:noProof/>
          </w:rPr>
          <w:t>Domain: Dental</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_Toc459287785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149</w:t>
        </w:r>
        <w:r w:rsidR="00866479" w:rsidRPr="00866479">
          <w:rPr>
            <w:rFonts w:asciiTheme="minorHAnsi" w:hAnsiTheme="minorHAnsi"/>
            <w:noProof/>
            <w:webHidden/>
          </w:rPr>
          <w:fldChar w:fldCharType="end"/>
        </w:r>
      </w:hyperlink>
    </w:p>
    <w:p w14:paraId="73747A14"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86" w:history="1">
        <w:r w:rsidR="00866479" w:rsidRPr="00866479">
          <w:rPr>
            <w:rStyle w:val="Hyperlink"/>
            <w:rFonts w:asciiTheme="minorHAnsi" w:hAnsiTheme="minorHAnsi"/>
            <w:noProof/>
          </w:rPr>
          <w:t>Introduction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_Toc459287786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149</w:t>
        </w:r>
        <w:r w:rsidR="00866479" w:rsidRPr="00866479">
          <w:rPr>
            <w:rFonts w:asciiTheme="minorHAnsi" w:hAnsiTheme="minorHAnsi"/>
            <w:noProof/>
            <w:webHidden/>
          </w:rPr>
          <w:fldChar w:fldCharType="end"/>
        </w:r>
      </w:hyperlink>
    </w:p>
    <w:p w14:paraId="567C3D76"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87" w:history="1">
        <w:r w:rsidR="00866479" w:rsidRPr="00866479">
          <w:rPr>
            <w:rStyle w:val="Hyperlink"/>
            <w:rFonts w:asciiTheme="minorHAnsi" w:eastAsiaTheme="minorHAnsi" w:hAnsiTheme="minorHAnsi"/>
            <w:noProof/>
          </w:rPr>
          <w:t>Dental Providers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_Toc459287787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150</w:t>
        </w:r>
        <w:r w:rsidR="00866479" w:rsidRPr="00866479">
          <w:rPr>
            <w:rFonts w:asciiTheme="minorHAnsi" w:hAnsiTheme="minorHAnsi"/>
            <w:noProof/>
            <w:webHidden/>
          </w:rPr>
          <w:fldChar w:fldCharType="end"/>
        </w:r>
      </w:hyperlink>
    </w:p>
    <w:p w14:paraId="774EBCCB"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88" w:history="1">
        <w:r w:rsidR="00866479" w:rsidRPr="00866479">
          <w:rPr>
            <w:rStyle w:val="Hyperlink"/>
            <w:rFonts w:asciiTheme="minorHAnsi" w:eastAsiaTheme="minorHAnsi" w:hAnsiTheme="minorHAnsi"/>
            <w:noProof/>
          </w:rPr>
          <w:t>Beneficiary Participation and Utilization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_Toc459287788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151</w:t>
        </w:r>
        <w:r w:rsidR="00866479" w:rsidRPr="00866479">
          <w:rPr>
            <w:rFonts w:asciiTheme="minorHAnsi" w:hAnsiTheme="minorHAnsi"/>
            <w:noProof/>
            <w:webHidden/>
          </w:rPr>
          <w:fldChar w:fldCharType="end"/>
        </w:r>
      </w:hyperlink>
    </w:p>
    <w:p w14:paraId="22ADAB4A"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89" w:history="1">
        <w:r w:rsidR="00866479" w:rsidRPr="00866479">
          <w:rPr>
            <w:rStyle w:val="Hyperlink"/>
            <w:rFonts w:asciiTheme="minorHAnsi" w:eastAsiaTheme="minorHAnsi" w:hAnsiTheme="minorHAnsi"/>
            <w:noProof/>
          </w:rPr>
          <w:t>Reimbursement Rates Comparison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_Toc459287789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164</w:t>
        </w:r>
        <w:r w:rsidR="00866479" w:rsidRPr="00866479">
          <w:rPr>
            <w:rFonts w:asciiTheme="minorHAnsi" w:hAnsiTheme="minorHAnsi"/>
            <w:noProof/>
            <w:webHidden/>
          </w:rPr>
          <w:fldChar w:fldCharType="end"/>
        </w:r>
      </w:hyperlink>
    </w:p>
    <w:p w14:paraId="7B90ECF4"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91" w:history="1">
        <w:r w:rsidR="00866479" w:rsidRPr="00866479">
          <w:rPr>
            <w:rStyle w:val="Hyperlink"/>
            <w:rFonts w:asciiTheme="minorHAnsi" w:hAnsiTheme="minorHAnsi"/>
            <w:noProof/>
          </w:rPr>
          <w:t>Domain: FFS Provider Reimbursement Rates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_Toc459287791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167</w:t>
        </w:r>
        <w:r w:rsidR="00866479" w:rsidRPr="00866479">
          <w:rPr>
            <w:rFonts w:asciiTheme="minorHAnsi" w:hAnsiTheme="minorHAnsi"/>
            <w:noProof/>
            <w:webHidden/>
          </w:rPr>
          <w:fldChar w:fldCharType="end"/>
        </w:r>
      </w:hyperlink>
    </w:p>
    <w:p w14:paraId="01DF39E4"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92" w:history="1">
        <w:r w:rsidR="00866479" w:rsidRPr="00866479">
          <w:rPr>
            <w:rStyle w:val="Hyperlink"/>
            <w:rFonts w:asciiTheme="minorHAnsi" w:hAnsiTheme="minorHAnsi"/>
            <w:noProof/>
          </w:rPr>
          <w:t>Introduction</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_Toc459287792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167</w:t>
        </w:r>
        <w:r w:rsidR="00866479" w:rsidRPr="00866479">
          <w:rPr>
            <w:rFonts w:asciiTheme="minorHAnsi" w:hAnsiTheme="minorHAnsi"/>
            <w:noProof/>
            <w:webHidden/>
          </w:rPr>
          <w:fldChar w:fldCharType="end"/>
        </w:r>
      </w:hyperlink>
    </w:p>
    <w:p w14:paraId="6BBC8D02" w14:textId="77777777" w:rsidR="00866479" w:rsidRPr="00866479" w:rsidRDefault="00716727">
      <w:pPr>
        <w:pStyle w:val="TOC3"/>
        <w:tabs>
          <w:tab w:val="right" w:leader="dot" w:pos="9350"/>
        </w:tabs>
        <w:rPr>
          <w:rFonts w:asciiTheme="minorHAnsi" w:eastAsiaTheme="minorEastAsia" w:hAnsiTheme="minorHAnsi" w:cstheme="minorBidi"/>
          <w:noProof/>
        </w:rPr>
      </w:pPr>
      <w:hyperlink w:anchor="_Toc459287793" w:history="1">
        <w:r w:rsidR="00866479" w:rsidRPr="00866479">
          <w:rPr>
            <w:rStyle w:val="Hyperlink"/>
            <w:rFonts w:asciiTheme="minorHAnsi" w:eastAsiaTheme="minorHAnsi" w:hAnsiTheme="minorHAnsi"/>
            <w:noProof/>
          </w:rPr>
          <w:t>FFS Provider Reimbursement Rate Comparisons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_Toc459287793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168</w:t>
        </w:r>
        <w:r w:rsidR="00866479" w:rsidRPr="00866479">
          <w:rPr>
            <w:rFonts w:asciiTheme="minorHAnsi" w:hAnsiTheme="minorHAnsi"/>
            <w:noProof/>
            <w:webHidden/>
          </w:rPr>
          <w:fldChar w:fldCharType="end"/>
        </w:r>
      </w:hyperlink>
    </w:p>
    <w:p w14:paraId="3B7A73E0"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94" w:history="1">
        <w:r w:rsidR="00866479" w:rsidRPr="00866479">
          <w:rPr>
            <w:rStyle w:val="Hyperlink"/>
            <w:rFonts w:asciiTheme="minorHAnsi" w:eastAsiaTheme="minorHAnsi" w:hAnsiTheme="minorHAnsi"/>
            <w:noProof/>
          </w:rPr>
          <w:t>Baseline Analysis Conclusions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_Toc459287794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169</w:t>
        </w:r>
        <w:r w:rsidR="00866479" w:rsidRPr="00866479">
          <w:rPr>
            <w:rFonts w:asciiTheme="minorHAnsi" w:hAnsiTheme="minorHAnsi"/>
            <w:noProof/>
            <w:webHidden/>
          </w:rPr>
          <w:fldChar w:fldCharType="end"/>
        </w:r>
      </w:hyperlink>
    </w:p>
    <w:p w14:paraId="63BC2360"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795" w:history="1">
        <w:r w:rsidR="00866479" w:rsidRPr="00866479">
          <w:rPr>
            <w:rStyle w:val="Hyperlink"/>
            <w:rFonts w:asciiTheme="minorHAnsi" w:eastAsiaTheme="minorHAnsi" w:hAnsiTheme="minorHAnsi"/>
            <w:noProof/>
          </w:rPr>
          <w:t>Appendix B: FFS Medi-Cal Data Sources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_Toc459287795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170</w:t>
        </w:r>
        <w:r w:rsidR="00866479" w:rsidRPr="00866479">
          <w:rPr>
            <w:rFonts w:asciiTheme="minorHAnsi" w:hAnsiTheme="minorHAnsi"/>
            <w:noProof/>
            <w:webHidden/>
          </w:rPr>
          <w:fldChar w:fldCharType="end"/>
        </w:r>
      </w:hyperlink>
    </w:p>
    <w:p w14:paraId="43A61342"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96" w:history="1">
        <w:r w:rsidR="00866479" w:rsidRPr="00866479">
          <w:rPr>
            <w:rStyle w:val="Hyperlink"/>
            <w:rFonts w:asciiTheme="minorHAnsi" w:eastAsiaTheme="minorHAnsi" w:hAnsiTheme="minorHAnsi"/>
            <w:noProof/>
          </w:rPr>
          <w:t>Medi-Cal Claims and Encounters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_Toc459287796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170</w:t>
        </w:r>
        <w:r w:rsidR="00866479" w:rsidRPr="00866479">
          <w:rPr>
            <w:rFonts w:asciiTheme="minorHAnsi" w:hAnsiTheme="minorHAnsi"/>
            <w:noProof/>
            <w:webHidden/>
          </w:rPr>
          <w:fldChar w:fldCharType="end"/>
        </w:r>
      </w:hyperlink>
    </w:p>
    <w:p w14:paraId="553DAEB5"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97" w:history="1">
        <w:r w:rsidR="00866479" w:rsidRPr="00866479">
          <w:rPr>
            <w:rStyle w:val="Hyperlink"/>
            <w:rFonts w:asciiTheme="minorHAnsi" w:eastAsiaTheme="minorHAnsi" w:hAnsiTheme="minorHAnsi"/>
            <w:noProof/>
          </w:rPr>
          <w:t>Medi-Cal Provider Master File (PMF)</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_Toc459287797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170</w:t>
        </w:r>
        <w:r w:rsidR="00866479" w:rsidRPr="00866479">
          <w:rPr>
            <w:rFonts w:asciiTheme="minorHAnsi" w:hAnsiTheme="minorHAnsi"/>
            <w:noProof/>
            <w:webHidden/>
          </w:rPr>
          <w:fldChar w:fldCharType="end"/>
        </w:r>
      </w:hyperlink>
    </w:p>
    <w:p w14:paraId="3A642687" w14:textId="77777777" w:rsidR="00866479" w:rsidRPr="00866479" w:rsidRDefault="00716727">
      <w:pPr>
        <w:pStyle w:val="TOC2"/>
        <w:tabs>
          <w:tab w:val="right" w:leader="dot" w:pos="9350"/>
        </w:tabs>
        <w:rPr>
          <w:rFonts w:asciiTheme="minorHAnsi" w:eastAsiaTheme="minorEastAsia" w:hAnsiTheme="minorHAnsi" w:cstheme="minorBidi"/>
          <w:noProof/>
        </w:rPr>
      </w:pPr>
      <w:hyperlink w:anchor="_Toc459287798" w:history="1">
        <w:r w:rsidR="00866479" w:rsidRPr="00866479">
          <w:rPr>
            <w:rStyle w:val="Hyperlink"/>
            <w:rFonts w:asciiTheme="minorHAnsi" w:eastAsiaTheme="minorHAnsi" w:hAnsiTheme="minorHAnsi"/>
            <w:noProof/>
          </w:rPr>
          <w:t>MIS/DSS Eligibility Tables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_Toc459287798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170</w:t>
        </w:r>
        <w:r w:rsidR="00866479" w:rsidRPr="00866479">
          <w:rPr>
            <w:rFonts w:asciiTheme="minorHAnsi" w:hAnsiTheme="minorHAnsi"/>
            <w:noProof/>
            <w:webHidden/>
          </w:rPr>
          <w:fldChar w:fldCharType="end"/>
        </w:r>
      </w:hyperlink>
    </w:p>
    <w:p w14:paraId="2F26DB8A"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799" w:history="1">
        <w:r w:rsidR="00866479" w:rsidRPr="00866479">
          <w:rPr>
            <w:rStyle w:val="Hyperlink"/>
            <w:rFonts w:asciiTheme="minorHAnsi" w:eastAsiaTheme="minorHAnsi" w:hAnsiTheme="minorHAnsi"/>
            <w:noProof/>
          </w:rPr>
          <w:t>Appendix C: Aid and County Codes by Delivery System</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_Toc459287799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171</w:t>
        </w:r>
        <w:r w:rsidR="00866479" w:rsidRPr="00866479">
          <w:rPr>
            <w:rFonts w:asciiTheme="minorHAnsi" w:hAnsiTheme="minorHAnsi"/>
            <w:noProof/>
            <w:webHidden/>
          </w:rPr>
          <w:fldChar w:fldCharType="end"/>
        </w:r>
      </w:hyperlink>
    </w:p>
    <w:p w14:paraId="00C11674"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800" w:history="1">
        <w:r w:rsidR="00866479" w:rsidRPr="00866479">
          <w:rPr>
            <w:rStyle w:val="Hyperlink"/>
            <w:rFonts w:asciiTheme="minorHAnsi" w:hAnsiTheme="minorHAnsi"/>
            <w:noProof/>
          </w:rPr>
          <w:t>Appendix D: Aid Code Categories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_Toc459287800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174</w:t>
        </w:r>
        <w:r w:rsidR="00866479" w:rsidRPr="00866479">
          <w:rPr>
            <w:rFonts w:asciiTheme="minorHAnsi" w:hAnsiTheme="minorHAnsi"/>
            <w:noProof/>
            <w:webHidden/>
          </w:rPr>
          <w:fldChar w:fldCharType="end"/>
        </w:r>
      </w:hyperlink>
    </w:p>
    <w:p w14:paraId="0A87010A"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801" w:history="1">
        <w:r w:rsidR="00866479" w:rsidRPr="00866479">
          <w:rPr>
            <w:rStyle w:val="Hyperlink"/>
            <w:rFonts w:asciiTheme="minorHAnsi" w:hAnsiTheme="minorHAnsi"/>
            <w:noProof/>
          </w:rPr>
          <w:t>Appendix E: Geographic Region Categories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_Toc459287801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175</w:t>
        </w:r>
        <w:r w:rsidR="00866479" w:rsidRPr="00866479">
          <w:rPr>
            <w:rFonts w:asciiTheme="minorHAnsi" w:hAnsiTheme="minorHAnsi"/>
            <w:noProof/>
            <w:webHidden/>
          </w:rPr>
          <w:fldChar w:fldCharType="end"/>
        </w:r>
      </w:hyperlink>
    </w:p>
    <w:p w14:paraId="783F8624"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802" w:history="1">
        <w:r w:rsidR="00866479" w:rsidRPr="00866479">
          <w:rPr>
            <w:rStyle w:val="Hyperlink"/>
            <w:rFonts w:asciiTheme="minorHAnsi" w:hAnsiTheme="minorHAnsi"/>
            <w:noProof/>
          </w:rPr>
          <w:t>Appendix F: Dental Services’ Geographic Region Categories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_Toc459287802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176</w:t>
        </w:r>
        <w:r w:rsidR="00866479" w:rsidRPr="00866479">
          <w:rPr>
            <w:rFonts w:asciiTheme="minorHAnsi" w:hAnsiTheme="minorHAnsi"/>
            <w:noProof/>
            <w:webHidden/>
          </w:rPr>
          <w:fldChar w:fldCharType="end"/>
        </w:r>
      </w:hyperlink>
    </w:p>
    <w:p w14:paraId="380A108C"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803" w:history="1">
        <w:r w:rsidR="00866479" w:rsidRPr="00866479">
          <w:rPr>
            <w:rStyle w:val="Hyperlink"/>
            <w:rFonts w:asciiTheme="minorHAnsi" w:hAnsiTheme="minorHAnsi"/>
            <w:noProof/>
          </w:rPr>
          <w:t>Appendix F: Dental Services’ Procedure Code Descriptions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_Toc459287803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177</w:t>
        </w:r>
        <w:r w:rsidR="00866479" w:rsidRPr="00866479">
          <w:rPr>
            <w:rFonts w:asciiTheme="minorHAnsi" w:hAnsiTheme="minorHAnsi"/>
            <w:noProof/>
            <w:webHidden/>
          </w:rPr>
          <w:fldChar w:fldCharType="end"/>
        </w:r>
      </w:hyperlink>
    </w:p>
    <w:p w14:paraId="752997A8"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804" w:history="1">
        <w:r w:rsidR="00866479" w:rsidRPr="00866479">
          <w:rPr>
            <w:rStyle w:val="Hyperlink"/>
            <w:rFonts w:asciiTheme="minorHAnsi" w:hAnsiTheme="minorHAnsi"/>
            <w:noProof/>
          </w:rPr>
          <w:t>Appendix H: Provider Type Categories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_Toc459287804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178</w:t>
        </w:r>
        <w:r w:rsidR="00866479" w:rsidRPr="00866479">
          <w:rPr>
            <w:rFonts w:asciiTheme="minorHAnsi" w:hAnsiTheme="minorHAnsi"/>
            <w:noProof/>
            <w:webHidden/>
          </w:rPr>
          <w:fldChar w:fldCharType="end"/>
        </w:r>
      </w:hyperlink>
    </w:p>
    <w:p w14:paraId="57AC0F33"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805" w:history="1">
        <w:r w:rsidR="00866479" w:rsidRPr="00866479">
          <w:rPr>
            <w:rStyle w:val="Hyperlink"/>
            <w:rFonts w:asciiTheme="minorHAnsi" w:hAnsiTheme="minorHAnsi"/>
            <w:noProof/>
          </w:rPr>
          <w:t>Table 66: Description of Provider Types Used in Provider Participation and Service Utilization Measures</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_Toc459287805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178</w:t>
        </w:r>
        <w:r w:rsidR="00866479" w:rsidRPr="00866479">
          <w:rPr>
            <w:rFonts w:asciiTheme="minorHAnsi" w:hAnsiTheme="minorHAnsi"/>
            <w:noProof/>
            <w:webHidden/>
          </w:rPr>
          <w:fldChar w:fldCharType="end"/>
        </w:r>
      </w:hyperlink>
    </w:p>
    <w:p w14:paraId="7ED00B70" w14:textId="77777777" w:rsidR="00866479" w:rsidRPr="00866479" w:rsidRDefault="00716727">
      <w:pPr>
        <w:pStyle w:val="TOC1"/>
        <w:tabs>
          <w:tab w:val="right" w:leader="dot" w:pos="9350"/>
        </w:tabs>
        <w:rPr>
          <w:rFonts w:asciiTheme="minorHAnsi" w:eastAsiaTheme="minorEastAsia" w:hAnsiTheme="minorHAnsi" w:cstheme="minorBidi"/>
          <w:noProof/>
        </w:rPr>
      </w:pPr>
      <w:hyperlink w:anchor="_Toc459287806" w:history="1">
        <w:r w:rsidR="00866479" w:rsidRPr="00866479">
          <w:rPr>
            <w:rStyle w:val="Hyperlink"/>
            <w:rFonts w:asciiTheme="minorHAnsi" w:hAnsiTheme="minorHAnsi"/>
            <w:noProof/>
          </w:rPr>
          <w:t>Works Cited</w:t>
        </w:r>
        <w:r w:rsidR="00866479" w:rsidRPr="00866479">
          <w:rPr>
            <w:rFonts w:asciiTheme="minorHAnsi" w:hAnsiTheme="minorHAnsi"/>
            <w:noProof/>
            <w:webHidden/>
          </w:rPr>
          <w:tab/>
        </w:r>
        <w:r w:rsidR="00866479" w:rsidRPr="00866479">
          <w:rPr>
            <w:rFonts w:asciiTheme="minorHAnsi" w:hAnsiTheme="minorHAnsi"/>
            <w:noProof/>
            <w:webHidden/>
          </w:rPr>
          <w:fldChar w:fldCharType="begin"/>
        </w:r>
        <w:r w:rsidR="00866479" w:rsidRPr="00866479">
          <w:rPr>
            <w:rFonts w:asciiTheme="minorHAnsi" w:hAnsiTheme="minorHAnsi"/>
            <w:noProof/>
            <w:webHidden/>
          </w:rPr>
          <w:instrText xml:space="preserve"> PAGEREF _Toc459287806 \h </w:instrText>
        </w:r>
        <w:r w:rsidR="00866479" w:rsidRPr="00866479">
          <w:rPr>
            <w:rFonts w:asciiTheme="minorHAnsi" w:hAnsiTheme="minorHAnsi"/>
            <w:noProof/>
            <w:webHidden/>
          </w:rPr>
        </w:r>
        <w:r w:rsidR="00866479" w:rsidRPr="00866479">
          <w:rPr>
            <w:rFonts w:asciiTheme="minorHAnsi" w:hAnsiTheme="minorHAnsi"/>
            <w:noProof/>
            <w:webHidden/>
          </w:rPr>
          <w:fldChar w:fldCharType="separate"/>
        </w:r>
        <w:r w:rsidR="00866479" w:rsidRPr="00866479">
          <w:rPr>
            <w:rFonts w:asciiTheme="minorHAnsi" w:hAnsiTheme="minorHAnsi"/>
            <w:noProof/>
            <w:webHidden/>
          </w:rPr>
          <w:t>190</w:t>
        </w:r>
        <w:r w:rsidR="00866479" w:rsidRPr="00866479">
          <w:rPr>
            <w:rFonts w:asciiTheme="minorHAnsi" w:hAnsiTheme="minorHAnsi"/>
            <w:noProof/>
            <w:webHidden/>
          </w:rPr>
          <w:fldChar w:fldCharType="end"/>
        </w:r>
      </w:hyperlink>
    </w:p>
    <w:p w14:paraId="0E53C7D1" w14:textId="77777777" w:rsidR="00BD3F43" w:rsidRDefault="00D22900" w:rsidP="00B04F0F">
      <w:pPr>
        <w:pStyle w:val="Heading1"/>
        <w:spacing w:before="0" w:line="276" w:lineRule="auto"/>
      </w:pPr>
      <w:r w:rsidRPr="00866479">
        <w:rPr>
          <w:b w:val="0"/>
          <w:sz w:val="24"/>
          <w:szCs w:val="24"/>
        </w:rPr>
        <w:fldChar w:fldCharType="end"/>
      </w:r>
      <w:r w:rsidR="00B04F0F" w:rsidRPr="00105FFC">
        <w:t xml:space="preserve"> </w:t>
      </w:r>
      <w:r w:rsidR="00BD3F43">
        <w:br w:type="page"/>
      </w:r>
    </w:p>
    <w:p w14:paraId="3F2567C8" w14:textId="77777777" w:rsidR="00EA67D7" w:rsidRPr="00105FFC" w:rsidRDefault="00EA67D7" w:rsidP="00EA67D7">
      <w:pPr>
        <w:pStyle w:val="Heading1"/>
        <w:spacing w:before="0" w:line="276" w:lineRule="auto"/>
        <w:rPr>
          <w:color w:val="auto"/>
          <w:u w:val="single"/>
        </w:rPr>
      </w:pPr>
      <w:bookmarkStart w:id="11" w:name="_Toc459287697"/>
      <w:r>
        <w:rPr>
          <w:color w:val="auto"/>
          <w:u w:val="single"/>
        </w:rPr>
        <w:lastRenderedPageBreak/>
        <w:t>Table of Figures</w:t>
      </w:r>
      <w:bookmarkEnd w:id="11"/>
    </w:p>
    <w:p w14:paraId="190B28BE" w14:textId="77777777" w:rsidR="00EA67D7" w:rsidRDefault="00EA67D7">
      <w:pPr>
        <w:pStyle w:val="TableofFigures"/>
        <w:tabs>
          <w:tab w:val="right" w:leader="dot" w:pos="9350"/>
        </w:tabs>
      </w:pPr>
    </w:p>
    <w:p w14:paraId="5C26C6A1"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rPr>
        <w:fldChar w:fldCharType="begin"/>
      </w:r>
      <w:r w:rsidRPr="00866479">
        <w:rPr>
          <w:rFonts w:asciiTheme="minorHAnsi" w:hAnsiTheme="minorHAnsi"/>
        </w:rPr>
        <w:instrText xml:space="preserve"> TOC \c "Figure" </w:instrText>
      </w:r>
      <w:r w:rsidRPr="00866479">
        <w:rPr>
          <w:rFonts w:asciiTheme="minorHAnsi" w:hAnsiTheme="minorHAnsi"/>
        </w:rPr>
        <w:fldChar w:fldCharType="separate"/>
      </w:r>
      <w:r w:rsidRPr="00866479">
        <w:rPr>
          <w:rFonts w:asciiTheme="minorHAnsi" w:hAnsiTheme="minorHAnsi"/>
          <w:noProof/>
        </w:rPr>
        <w:t>Figure 1</w:t>
      </w:r>
      <w:r w:rsidRPr="00866479">
        <w:rPr>
          <w:rFonts w:asciiTheme="minorHAnsi" w:hAnsiTheme="minorHAnsi" w:cs="Arial"/>
          <w:noProof/>
        </w:rPr>
        <w:t>: Socioeconomic Characteristics of California's Nonelderly Adult Population by Insurance Coverage, 2013-14 CHIS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_Toc459286682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18</w:t>
      </w:r>
      <w:r w:rsidRPr="00866479">
        <w:rPr>
          <w:rFonts w:asciiTheme="minorHAnsi" w:hAnsiTheme="minorHAnsi"/>
          <w:noProof/>
        </w:rPr>
        <w:fldChar w:fldCharType="end"/>
      </w:r>
    </w:p>
    <w:p w14:paraId="569F04E0"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cs="Arial"/>
          <w:bCs/>
          <w:noProof/>
        </w:rPr>
        <w:t>Figure 2: Health Characteristics of California's Nonelderly Adult Population by Insurance Coverage, 2013-2014 CHIS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_Toc459286683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19</w:t>
      </w:r>
      <w:r w:rsidRPr="00866479">
        <w:rPr>
          <w:rFonts w:asciiTheme="minorHAnsi" w:hAnsiTheme="minorHAnsi"/>
          <w:noProof/>
        </w:rPr>
        <w:fldChar w:fldCharType="end"/>
      </w:r>
    </w:p>
    <w:p w14:paraId="2D8ADEEA"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 xml:space="preserve">Figure 3: </w:t>
      </w:r>
      <w:r w:rsidRPr="00866479">
        <w:rPr>
          <w:rFonts w:asciiTheme="minorHAnsi" w:eastAsiaTheme="minorHAnsi" w:hAnsiTheme="minorHAnsi" w:cs="Arial"/>
          <w:noProof/>
        </w:rPr>
        <w:t>Biannual Trend in Medi-Cal FFS and Managed Care Participation from January 2008-January 2016</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_Toc459286684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20</w:t>
      </w:r>
      <w:r w:rsidRPr="00866479">
        <w:rPr>
          <w:rFonts w:asciiTheme="minorHAnsi" w:hAnsiTheme="minorHAnsi"/>
          <w:noProof/>
        </w:rPr>
        <w:fldChar w:fldCharType="end"/>
      </w:r>
    </w:p>
    <w:p w14:paraId="4396932B"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4:</w:t>
      </w:r>
      <w:r w:rsidRPr="00866479">
        <w:rPr>
          <w:rFonts w:asciiTheme="minorHAnsi" w:eastAsiaTheme="minorHAnsi" w:hAnsiTheme="minorHAnsi" w:cstheme="minorBidi"/>
          <w:noProof/>
        </w:rPr>
        <w:t xml:space="preserve"> Distribution of Cal MediConnect Participation in June 2016, by County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_Toc459286685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23</w:t>
      </w:r>
      <w:r w:rsidRPr="00866479">
        <w:rPr>
          <w:rFonts w:asciiTheme="minorHAnsi" w:hAnsiTheme="minorHAnsi"/>
          <w:noProof/>
        </w:rPr>
        <w:fldChar w:fldCharType="end"/>
      </w:r>
    </w:p>
    <w:p w14:paraId="0298C280"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5:</w:t>
      </w:r>
      <w:r w:rsidRPr="00866479">
        <w:rPr>
          <w:rFonts w:asciiTheme="minorHAnsi" w:eastAsiaTheme="minorHAnsi" w:hAnsiTheme="minorHAnsi" w:cstheme="minorBidi"/>
          <w:noProof/>
        </w:rPr>
        <w:t xml:space="preserve"> Distribution of Medi-Cal Participation in January 2013 and January 2016, by Delivery System</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_Toc459286686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24</w:t>
      </w:r>
      <w:r w:rsidRPr="00866479">
        <w:rPr>
          <w:rFonts w:asciiTheme="minorHAnsi" w:hAnsiTheme="minorHAnsi"/>
          <w:noProof/>
        </w:rPr>
        <w:fldChar w:fldCharType="end"/>
      </w:r>
    </w:p>
    <w:p w14:paraId="396A4EDD"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6: Certified Eligible Medi-Cal Beneficiaries Enrolled in Optional Target Low-Income Children Program (OTLICP) Aid Codes from December 2012 – December 2013</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_Toc459286687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25</w:t>
      </w:r>
      <w:r w:rsidRPr="00866479">
        <w:rPr>
          <w:rFonts w:asciiTheme="minorHAnsi" w:hAnsiTheme="minorHAnsi"/>
          <w:noProof/>
        </w:rPr>
        <w:fldChar w:fldCharType="end"/>
      </w:r>
    </w:p>
    <w:p w14:paraId="3E604E20"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7: Certified Eligible Medi-Cal Beneficiaries Enrolled in the ACA Expansion Adult Ages 19-64 Aid Category from December 2013-December 2015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_Toc459286688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26</w:t>
      </w:r>
      <w:r w:rsidRPr="00866479">
        <w:rPr>
          <w:rFonts w:asciiTheme="minorHAnsi" w:hAnsiTheme="minorHAnsi"/>
          <w:noProof/>
        </w:rPr>
        <w:fldChar w:fldCharType="end"/>
      </w:r>
    </w:p>
    <w:p w14:paraId="0FA20A4E"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8</w:t>
      </w:r>
      <w:r w:rsidRPr="00866479">
        <w:rPr>
          <w:rFonts w:asciiTheme="minorHAnsi" w:eastAsiaTheme="minorHAnsi" w:hAnsiTheme="minorHAnsi" w:cstheme="minorBidi"/>
          <w:noProof/>
        </w:rPr>
        <w:t>: Distribution of Certified Eligible FFS Medi-Cal Beneficiaries who were Enrolled at any Point in 2015, by Administrative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_Toc459286689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29</w:t>
      </w:r>
      <w:r w:rsidRPr="00866479">
        <w:rPr>
          <w:rFonts w:asciiTheme="minorHAnsi" w:hAnsiTheme="minorHAnsi"/>
          <w:noProof/>
        </w:rPr>
        <w:fldChar w:fldCharType="end"/>
      </w:r>
    </w:p>
    <w:p w14:paraId="5671FC4B"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9</w:t>
      </w:r>
      <w:r w:rsidRPr="00866479">
        <w:rPr>
          <w:rFonts w:asciiTheme="minorHAnsi" w:eastAsiaTheme="minorHAnsi" w:hAnsiTheme="minorHAnsi" w:cstheme="minorBidi"/>
          <w:noProof/>
        </w:rPr>
        <w:t>: Distribution of Certified Eligible FFS Medi-Cal Beneficiaries in 2015, by Managed Care Requirements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_Toc459286690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30</w:t>
      </w:r>
      <w:r w:rsidRPr="00866479">
        <w:rPr>
          <w:rFonts w:asciiTheme="minorHAnsi" w:hAnsiTheme="minorHAnsi"/>
          <w:noProof/>
        </w:rPr>
        <w:fldChar w:fldCharType="end"/>
      </w:r>
    </w:p>
    <w:p w14:paraId="6DE8BEA8"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10</w:t>
      </w:r>
      <w:r w:rsidRPr="00866479">
        <w:rPr>
          <w:rFonts w:asciiTheme="minorHAnsi" w:eastAsiaTheme="minorHAnsi" w:hAnsiTheme="minorHAnsi" w:cstheme="minorBidi"/>
          <w:noProof/>
        </w:rPr>
        <w:t>: Distribution of Certified Eligible FFS Medi-Cal Beneficiaries in 2015, by Number of Months Assigned to FFS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_Toc459286691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31</w:t>
      </w:r>
      <w:r w:rsidRPr="00866479">
        <w:rPr>
          <w:rFonts w:asciiTheme="minorHAnsi" w:hAnsiTheme="minorHAnsi"/>
          <w:noProof/>
        </w:rPr>
        <w:fldChar w:fldCharType="end"/>
      </w:r>
    </w:p>
    <w:p w14:paraId="14E72513"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11</w:t>
      </w:r>
      <w:r w:rsidRPr="00866479">
        <w:rPr>
          <w:rFonts w:asciiTheme="minorHAnsi" w:eastAsiaTheme="minorHAnsi" w:hAnsiTheme="minorHAnsi" w:cstheme="minorBidi"/>
          <w:noProof/>
        </w:rPr>
        <w:t>: Primary Care Service Visits Rate per 1,000 Member Months among Certified Eligible FFS Medi-Cal Beneficiaries in SFY 2014-15, by Length of FFS Enrollment</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_Toc459286692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33</w:t>
      </w:r>
      <w:r w:rsidRPr="00866479">
        <w:rPr>
          <w:rFonts w:asciiTheme="minorHAnsi" w:hAnsiTheme="minorHAnsi"/>
          <w:noProof/>
        </w:rPr>
        <w:fldChar w:fldCharType="end"/>
      </w:r>
    </w:p>
    <w:p w14:paraId="02860F11"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12</w:t>
      </w:r>
      <w:r w:rsidRPr="00866479">
        <w:rPr>
          <w:rFonts w:asciiTheme="minorHAnsi" w:eastAsiaTheme="minorHAnsi" w:hAnsiTheme="minorHAnsi" w:cstheme="minorBidi"/>
          <w:noProof/>
        </w:rPr>
        <w:t>: Distribution of Certified Eligible Restricted-Scope FFS Medi-Cal Beneficiaries Enrolled at any Point in 2015, by Aid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_Toc459286693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34</w:t>
      </w:r>
      <w:r w:rsidRPr="00866479">
        <w:rPr>
          <w:rFonts w:asciiTheme="minorHAnsi" w:hAnsiTheme="minorHAnsi"/>
          <w:noProof/>
        </w:rPr>
        <w:fldChar w:fldCharType="end"/>
      </w:r>
    </w:p>
    <w:p w14:paraId="6BFCA563"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13: Distribution of Dual Eligible Medi-Cal Beneficiaries </w:t>
      </w:r>
      <w:r w:rsidRPr="00866479">
        <w:rPr>
          <w:rFonts w:asciiTheme="minorHAnsi" w:eastAsiaTheme="minorHAnsi" w:hAnsiTheme="minorHAnsi" w:cstheme="minorBidi"/>
          <w:noProof/>
        </w:rPr>
        <w:t xml:space="preserve">Enrolled at any Point </w:t>
      </w:r>
      <w:r w:rsidRPr="00866479">
        <w:rPr>
          <w:rFonts w:asciiTheme="minorHAnsi" w:hAnsiTheme="minorHAnsi"/>
          <w:noProof/>
          <w:color w:val="000000" w:themeColor="text1"/>
        </w:rPr>
        <w:t>in 2015, by Long-Term Care Enrollment Status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_Toc459286694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37</w:t>
      </w:r>
      <w:r w:rsidRPr="00866479">
        <w:rPr>
          <w:rFonts w:asciiTheme="minorHAnsi" w:hAnsiTheme="minorHAnsi"/>
          <w:noProof/>
        </w:rPr>
        <w:fldChar w:fldCharType="end"/>
      </w:r>
    </w:p>
    <w:p w14:paraId="5661B93B"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14: Percentage of Certified Eligible FFS Medi-Cal Beneficiaries with a Share-of-Cost </w:t>
      </w:r>
      <w:r w:rsidRPr="00866479">
        <w:rPr>
          <w:rFonts w:asciiTheme="minorHAnsi" w:eastAsiaTheme="minorHAnsi" w:hAnsiTheme="minorHAnsi" w:cstheme="minorBidi"/>
          <w:noProof/>
        </w:rPr>
        <w:t xml:space="preserve">Enrolled at any Point </w:t>
      </w:r>
      <w:r w:rsidRPr="00866479">
        <w:rPr>
          <w:rFonts w:asciiTheme="minorHAnsi" w:hAnsiTheme="minorHAnsi"/>
          <w:noProof/>
          <w:color w:val="000000" w:themeColor="text1"/>
        </w:rPr>
        <w:t>in 2015, by FFS Member Months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_Toc459286695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38</w:t>
      </w:r>
      <w:r w:rsidRPr="00866479">
        <w:rPr>
          <w:rFonts w:asciiTheme="minorHAnsi" w:hAnsiTheme="minorHAnsi"/>
          <w:noProof/>
        </w:rPr>
        <w:fldChar w:fldCharType="end"/>
      </w:r>
    </w:p>
    <w:p w14:paraId="7E0BFD59"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Figure 15: Count of Certified Eligible FFS Medi-Cal Beneficiaries Enrolled at any Point in 2015 with a Share-of-Cost, by FFS Member Months and Long-Term Care Enrollment Status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_Toc459286696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39</w:t>
      </w:r>
      <w:r w:rsidRPr="00866479">
        <w:rPr>
          <w:rFonts w:asciiTheme="minorHAnsi" w:hAnsiTheme="minorHAnsi"/>
          <w:noProof/>
        </w:rPr>
        <w:fldChar w:fldCharType="end"/>
      </w:r>
    </w:p>
    <w:p w14:paraId="2D033545"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16</w:t>
      </w:r>
      <w:r w:rsidRPr="00866479">
        <w:rPr>
          <w:rFonts w:asciiTheme="minorHAnsi" w:eastAsiaTheme="minorHAnsi" w:hAnsiTheme="minorHAnsi" w:cstheme="minorBidi"/>
          <w:noProof/>
        </w:rPr>
        <w:t>: Distribution of Certified Eligible Medi-Cal Beneficiaries Enrolled at any Point in 2015, by Age Group and Delivery System</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_Toc459286697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42</w:t>
      </w:r>
      <w:r w:rsidRPr="00866479">
        <w:rPr>
          <w:rFonts w:asciiTheme="minorHAnsi" w:hAnsiTheme="minorHAnsi"/>
          <w:noProof/>
        </w:rPr>
        <w:fldChar w:fldCharType="end"/>
      </w:r>
    </w:p>
    <w:p w14:paraId="6F1F6E4E"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lastRenderedPageBreak/>
        <w:t>Figure 17</w:t>
      </w:r>
      <w:r w:rsidRPr="00866479">
        <w:rPr>
          <w:rFonts w:asciiTheme="minorHAnsi" w:eastAsiaTheme="minorHAnsi" w:hAnsiTheme="minorHAnsi" w:cstheme="minorBidi"/>
          <w:noProof/>
        </w:rPr>
        <w:t>: Distribution of Certified Eligible FFS Medi-Cal and Medi-Cal Managed Care Beneficiaries Enrolled at any Point in 2015, and California Residents in 2014, by Race/Ethnicity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_Toc459286698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43</w:t>
      </w:r>
      <w:r w:rsidRPr="00866479">
        <w:rPr>
          <w:rFonts w:asciiTheme="minorHAnsi" w:hAnsiTheme="minorHAnsi"/>
          <w:noProof/>
        </w:rPr>
        <w:fldChar w:fldCharType="end"/>
      </w:r>
    </w:p>
    <w:p w14:paraId="23D7A92A"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18</w:t>
      </w:r>
      <w:r w:rsidRPr="00866479">
        <w:rPr>
          <w:rFonts w:asciiTheme="minorHAnsi" w:eastAsiaTheme="minorHAnsi" w:hAnsiTheme="minorHAnsi" w:cstheme="minorBidi"/>
          <w:noProof/>
        </w:rPr>
        <w:t>: Distribution of Certified Eligible Medi-Cal Beneficiaries in 2015, by Delivery System and Primary Language Spoken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_Toc459286699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43</w:t>
      </w:r>
      <w:r w:rsidRPr="00866479">
        <w:rPr>
          <w:rFonts w:asciiTheme="minorHAnsi" w:hAnsiTheme="minorHAnsi"/>
          <w:noProof/>
        </w:rPr>
        <w:fldChar w:fldCharType="end"/>
      </w:r>
    </w:p>
    <w:p w14:paraId="2381696E"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19: Ronald Andersen’s Framework for the Study of Access to Health Care Services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_Toc459286700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53</w:t>
      </w:r>
      <w:r w:rsidRPr="00866479">
        <w:rPr>
          <w:rFonts w:asciiTheme="minorHAnsi" w:hAnsiTheme="minorHAnsi"/>
          <w:noProof/>
        </w:rPr>
        <w:fldChar w:fldCharType="end"/>
      </w:r>
    </w:p>
    <w:p w14:paraId="36B66B24"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bCs/>
          <w:noProof/>
        </w:rPr>
        <w:t xml:space="preserve">Figure 20: </w:t>
      </w:r>
      <w:r w:rsidRPr="00866479">
        <w:rPr>
          <w:rFonts w:asciiTheme="minorHAnsi" w:hAnsiTheme="minorHAnsi" w:cs="Tahoma"/>
          <w:bCs/>
          <w:noProof/>
        </w:rPr>
        <w:t>DHCS Access Monitoring Process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_Toc459286701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77</w:t>
      </w:r>
      <w:r w:rsidRPr="00866479">
        <w:rPr>
          <w:rFonts w:asciiTheme="minorHAnsi" w:hAnsiTheme="minorHAnsi"/>
          <w:noProof/>
        </w:rPr>
        <w:fldChar w:fldCharType="end"/>
      </w:r>
    </w:p>
    <w:p w14:paraId="0F39172D"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bCs/>
          <w:noProof/>
        </w:rPr>
        <w:t xml:space="preserve">Figure 21: </w:t>
      </w:r>
      <w:r w:rsidRPr="00866479">
        <w:rPr>
          <w:rFonts w:asciiTheme="minorHAnsi" w:hAnsiTheme="minorHAnsi" w:cs="Tahoma"/>
          <w:bCs/>
          <w:noProof/>
        </w:rPr>
        <w:t>DHCS Access Monitoring Process Flow</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_Toc459286702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79</w:t>
      </w:r>
      <w:r w:rsidRPr="00866479">
        <w:rPr>
          <w:rFonts w:asciiTheme="minorHAnsi" w:hAnsiTheme="minorHAnsi"/>
          <w:noProof/>
        </w:rPr>
        <w:fldChar w:fldCharType="end"/>
      </w:r>
    </w:p>
    <w:p w14:paraId="1C3ADDAF"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 xml:space="preserve">Figure 22: </w:t>
      </w:r>
      <w:r w:rsidRPr="00866479">
        <w:rPr>
          <w:rFonts w:asciiTheme="minorHAnsi" w:eastAsiaTheme="minorHAnsi" w:hAnsiTheme="minorHAnsi" w:cs="Arial"/>
          <w:noProof/>
        </w:rPr>
        <w:t>Biannual Trend in Medi-Cal FFS and Managed Care Participation from January 2008-January 2016</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_Toc459286703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85</w:t>
      </w:r>
      <w:r w:rsidRPr="00866479">
        <w:rPr>
          <w:rFonts w:asciiTheme="minorHAnsi" w:hAnsiTheme="minorHAnsi"/>
          <w:noProof/>
        </w:rPr>
        <w:fldChar w:fldCharType="end"/>
      </w:r>
    </w:p>
    <w:p w14:paraId="19574F3B"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Calibri" w:hAnsiTheme="minorHAnsi"/>
          <w:bCs/>
          <w:noProof/>
        </w:rPr>
        <w:t>Figure 23: Distribution of FFS Medi-Cal Beneficiaries Certified Eligible for at Least 11 Months in SFYs 2013-14 and 2014-15, by Age Group</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_Toc459286704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86</w:t>
      </w:r>
      <w:r w:rsidRPr="00866479">
        <w:rPr>
          <w:rFonts w:asciiTheme="minorHAnsi" w:hAnsiTheme="minorHAnsi"/>
          <w:noProof/>
        </w:rPr>
        <w:fldChar w:fldCharType="end"/>
      </w:r>
    </w:p>
    <w:p w14:paraId="458736F1"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Calibri" w:hAnsiTheme="minorHAnsi"/>
          <w:bCs/>
          <w:noProof/>
        </w:rPr>
        <w:t>Figure 24: Distribution of FFS Medi-Cal Beneficiaries Certified Eligible for at Least 11 Months in SFYs 2013-14 and 2014-15, by Aid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_Toc459286705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87</w:t>
      </w:r>
      <w:r w:rsidRPr="00866479">
        <w:rPr>
          <w:rFonts w:asciiTheme="minorHAnsi" w:hAnsiTheme="minorHAnsi"/>
          <w:noProof/>
        </w:rPr>
        <w:fldChar w:fldCharType="end"/>
      </w:r>
    </w:p>
    <w:p w14:paraId="6F539157"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Calibri" w:hAnsiTheme="minorHAnsi"/>
          <w:bCs/>
          <w:noProof/>
        </w:rPr>
        <w:t>Figure 25: Distribution of FFS Medi-Cal Beneficiaries Certified Eligible for at Least 11 Months in SFYs 2013-14 and 2014-15, by Gender</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_Toc459286706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88</w:t>
      </w:r>
      <w:r w:rsidRPr="00866479">
        <w:rPr>
          <w:rFonts w:asciiTheme="minorHAnsi" w:hAnsiTheme="minorHAnsi"/>
          <w:noProof/>
        </w:rPr>
        <w:fldChar w:fldCharType="end"/>
      </w:r>
    </w:p>
    <w:p w14:paraId="73FBB5FB"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26:</w:t>
      </w:r>
      <w:r w:rsidRPr="00866479">
        <w:rPr>
          <w:rFonts w:asciiTheme="minorHAnsi" w:eastAsia="Calibri" w:hAnsiTheme="minorHAnsi" w:cs="Tahoma"/>
          <w:noProof/>
        </w:rPr>
        <w:t xml:space="preserve"> Distribution of Female Beneficiaries with 11+ Months of FFS Enrollment in SFY 2014-15 by Age, and Distribution of Females with 11+ Months of FFS Enrollment Between the Ages of 15 and 44, By Aid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_Toc459286707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89</w:t>
      </w:r>
      <w:r w:rsidRPr="00866479">
        <w:rPr>
          <w:rFonts w:asciiTheme="minorHAnsi" w:hAnsiTheme="minorHAnsi"/>
          <w:noProof/>
        </w:rPr>
        <w:fldChar w:fldCharType="end"/>
      </w:r>
    </w:p>
    <w:p w14:paraId="1A81564C"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Figure 27:</w:t>
      </w:r>
      <w:r w:rsidRPr="00866479">
        <w:rPr>
          <w:rFonts w:asciiTheme="minorHAnsi" w:eastAsia="Calibri" w:hAnsiTheme="minorHAnsi" w:cs="Tahoma"/>
          <w:noProof/>
        </w:rPr>
        <w:t xml:space="preserve"> Distribution of Females with 11+ Months of FFS Enrollment Between the Ages of 15 and 44 in SFY 2014-15, By Aid Category</w:t>
      </w:r>
      <w:r w:rsidR="00866479" w:rsidRPr="00866479">
        <w:rPr>
          <w:rFonts w:asciiTheme="minorHAnsi" w:eastAsia="Calibri" w:hAnsiTheme="minorHAnsi" w:cs="Tahoma"/>
          <w:noProof/>
        </w:rPr>
        <w:t xml:space="preserve"> </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_Toc459286708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89</w:t>
      </w:r>
      <w:r w:rsidRPr="00866479">
        <w:rPr>
          <w:rFonts w:asciiTheme="minorHAnsi" w:hAnsiTheme="minorHAnsi"/>
          <w:noProof/>
        </w:rPr>
        <w:fldChar w:fldCharType="end"/>
      </w:r>
    </w:p>
    <w:p w14:paraId="6ED85BAD"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Calibri" w:hAnsiTheme="minorHAnsi"/>
          <w:bCs/>
          <w:noProof/>
        </w:rPr>
        <w:t>Figure 28: Distribution of FFS Medi-Cal Beneficiaries Certified Eligible for at Least 11 Months in SFYs 2013-14 and 2014-15,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_Toc459286709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90</w:t>
      </w:r>
      <w:r w:rsidRPr="00866479">
        <w:rPr>
          <w:rFonts w:asciiTheme="minorHAnsi" w:hAnsiTheme="minorHAnsi"/>
          <w:noProof/>
        </w:rPr>
        <w:fldChar w:fldCharType="end"/>
      </w:r>
    </w:p>
    <w:p w14:paraId="7D41F348"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Calibri" w:hAnsiTheme="minorHAnsi"/>
          <w:bCs/>
          <w:noProof/>
        </w:rPr>
        <w:t>Figure 29: Distribution of FFS Medi-Cal Beneficiaries Certified Eligible for at Least 11 Months in SFYs 2013-14 and 2014-15, by Race/Ethnicity</w:t>
      </w:r>
      <w:r w:rsidR="00866479" w:rsidRPr="00866479">
        <w:rPr>
          <w:rFonts w:asciiTheme="minorHAnsi" w:eastAsia="Calibri" w:hAnsiTheme="minorHAnsi"/>
          <w:bCs/>
          <w:noProof/>
          <w:color w:val="5B9BD5"/>
        </w:rPr>
        <w:t xml:space="preserve"> </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_Toc459286710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91</w:t>
      </w:r>
      <w:r w:rsidRPr="00866479">
        <w:rPr>
          <w:rFonts w:asciiTheme="minorHAnsi" w:hAnsiTheme="minorHAnsi"/>
          <w:noProof/>
        </w:rPr>
        <w:fldChar w:fldCharType="end"/>
      </w:r>
    </w:p>
    <w:p w14:paraId="661EFFAC"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Calibri" w:hAnsiTheme="minorHAnsi"/>
          <w:bCs/>
          <w:noProof/>
        </w:rPr>
        <w:t>Figure 30: Distribution of FFS Medi-Cal Beneficiaries Certified Eligible for at Least 11 Months in SFYs 2013-14 and 2014-15, by Primary Language Spoken</w:t>
      </w:r>
      <w:r w:rsidRPr="00866479">
        <w:rPr>
          <w:rFonts w:asciiTheme="minorHAnsi" w:eastAsia="Calibri" w:hAnsiTheme="minorHAnsi"/>
          <w:bCs/>
          <w:noProof/>
          <w:color w:val="5B9BD5"/>
        </w:rPr>
        <w:t xml:space="preserve"> </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_Toc459286711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92</w:t>
      </w:r>
      <w:r w:rsidRPr="00866479">
        <w:rPr>
          <w:rFonts w:asciiTheme="minorHAnsi" w:hAnsiTheme="minorHAnsi"/>
          <w:noProof/>
        </w:rPr>
        <w:fldChar w:fldCharType="end"/>
      </w:r>
    </w:p>
    <w:p w14:paraId="4E4366B0"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Figure 31: Total Medi-Cal Participating Primary Care Providers from SFY 2013-14 to 2014-15,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_Toc459286712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97</w:t>
      </w:r>
      <w:r w:rsidRPr="00866479">
        <w:rPr>
          <w:rFonts w:asciiTheme="minorHAnsi" w:hAnsiTheme="minorHAnsi"/>
          <w:noProof/>
        </w:rPr>
        <w:fldChar w:fldCharType="end"/>
      </w:r>
    </w:p>
    <w:p w14:paraId="0AC75BC9"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noProof/>
        </w:rPr>
        <w:t>Figure 32: Statewide FFS Medi-Cal Primary Care Service Areas and FFS Primary Care Provider Locations in 2014-15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_Toc459286713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101</w:t>
      </w:r>
      <w:r w:rsidRPr="00866479">
        <w:rPr>
          <w:rFonts w:asciiTheme="minorHAnsi" w:hAnsiTheme="minorHAnsi"/>
          <w:noProof/>
        </w:rPr>
        <w:fldChar w:fldCharType="end"/>
      </w:r>
    </w:p>
    <w:p w14:paraId="1D18EC70"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Figure 33: Total Medi-Cal Participating Specialist Providers from SFY 2013-14 to 2014-15,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_Toc459286714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103</w:t>
      </w:r>
      <w:r w:rsidRPr="00866479">
        <w:rPr>
          <w:rFonts w:asciiTheme="minorHAnsi" w:hAnsiTheme="minorHAnsi"/>
          <w:noProof/>
        </w:rPr>
        <w:fldChar w:fldCharType="end"/>
      </w:r>
    </w:p>
    <w:p w14:paraId="603343ED"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Figure 34: Total Medi-Cal Participating Behavioral Health Providers from SFY 2013-14 to 2014-15,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_Toc459286715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106</w:t>
      </w:r>
      <w:r w:rsidRPr="00866479">
        <w:rPr>
          <w:rFonts w:asciiTheme="minorHAnsi" w:hAnsiTheme="minorHAnsi"/>
          <w:noProof/>
        </w:rPr>
        <w:fldChar w:fldCharType="end"/>
      </w:r>
    </w:p>
    <w:p w14:paraId="29C1C0A1"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lastRenderedPageBreak/>
        <w:t>Figure 35: Total Medi-Cal Participating Pre- and Post-Natal Obstetric Providers from SFY 2013-14 to 2014-15,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_Toc459286716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109</w:t>
      </w:r>
      <w:r w:rsidRPr="00866479">
        <w:rPr>
          <w:rFonts w:asciiTheme="minorHAnsi" w:hAnsiTheme="minorHAnsi"/>
          <w:noProof/>
        </w:rPr>
        <w:fldChar w:fldCharType="end"/>
      </w:r>
    </w:p>
    <w:p w14:paraId="090798B0"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Figure 36: Total Medi-Cal Participating Home Health Providers from SFY 2013-14 to 2014-15,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_Toc459286717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112</w:t>
      </w:r>
      <w:r w:rsidRPr="00866479">
        <w:rPr>
          <w:rFonts w:asciiTheme="minorHAnsi" w:hAnsiTheme="minorHAnsi"/>
          <w:noProof/>
        </w:rPr>
        <w:fldChar w:fldCharType="end"/>
      </w:r>
    </w:p>
    <w:p w14:paraId="03795442"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37: </w:t>
      </w:r>
      <w:r w:rsidRPr="00866479">
        <w:rPr>
          <w:rFonts w:asciiTheme="minorHAnsi" w:eastAsia="Calibri" w:hAnsiTheme="minorHAnsi"/>
          <w:noProof/>
          <w:color w:val="000000" w:themeColor="text1"/>
        </w:rPr>
        <w:t>Distribution of California Births in 2013, by Payer Type and Delivery System</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_Toc459286718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125</w:t>
      </w:r>
      <w:r w:rsidRPr="00866479">
        <w:rPr>
          <w:rFonts w:asciiTheme="minorHAnsi" w:hAnsiTheme="minorHAnsi"/>
          <w:noProof/>
        </w:rPr>
        <w:fldChar w:fldCharType="end"/>
      </w:r>
    </w:p>
    <w:p w14:paraId="60A223EB"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38: </w:t>
      </w:r>
      <w:r w:rsidRPr="00866479">
        <w:rPr>
          <w:rFonts w:asciiTheme="minorHAnsi" w:eastAsia="Calibri" w:hAnsiTheme="minorHAnsi"/>
          <w:noProof/>
          <w:color w:val="000000" w:themeColor="text1"/>
        </w:rPr>
        <w:t>Distribution of FFS Medi-Cal Births in 2013, by Age Group</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_Toc459286719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126</w:t>
      </w:r>
      <w:r w:rsidRPr="00866479">
        <w:rPr>
          <w:rFonts w:asciiTheme="minorHAnsi" w:hAnsiTheme="minorHAnsi"/>
          <w:noProof/>
        </w:rPr>
        <w:fldChar w:fldCharType="end"/>
      </w:r>
    </w:p>
    <w:p w14:paraId="4748D433"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39: </w:t>
      </w:r>
      <w:r w:rsidRPr="00866479">
        <w:rPr>
          <w:rFonts w:asciiTheme="minorHAnsi" w:eastAsia="Calibri" w:hAnsiTheme="minorHAnsi"/>
          <w:noProof/>
          <w:color w:val="000000" w:themeColor="text1"/>
        </w:rPr>
        <w:t>Distribution of FFS Medi-Cal Births in 2013, by Aid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_Toc459286720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126</w:t>
      </w:r>
      <w:r w:rsidRPr="00866479">
        <w:rPr>
          <w:rFonts w:asciiTheme="minorHAnsi" w:hAnsiTheme="minorHAnsi"/>
          <w:noProof/>
        </w:rPr>
        <w:fldChar w:fldCharType="end"/>
      </w:r>
    </w:p>
    <w:p w14:paraId="50017C99"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40: </w:t>
      </w:r>
      <w:r w:rsidRPr="00866479">
        <w:rPr>
          <w:rFonts w:asciiTheme="minorHAnsi" w:eastAsia="Calibri" w:hAnsiTheme="minorHAnsi"/>
          <w:noProof/>
          <w:color w:val="000000" w:themeColor="text1"/>
        </w:rPr>
        <w:t>Distribution of FFS Medi-Cal Births in 2013, by Race/Ethnicity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_Toc459286721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127</w:t>
      </w:r>
      <w:r w:rsidRPr="00866479">
        <w:rPr>
          <w:rFonts w:asciiTheme="minorHAnsi" w:hAnsiTheme="minorHAnsi"/>
          <w:noProof/>
        </w:rPr>
        <w:fldChar w:fldCharType="end"/>
      </w:r>
    </w:p>
    <w:p w14:paraId="6415CBC7"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41: </w:t>
      </w:r>
      <w:r w:rsidRPr="00866479">
        <w:rPr>
          <w:rFonts w:asciiTheme="minorHAnsi" w:eastAsia="Calibri" w:hAnsiTheme="minorHAnsi"/>
          <w:noProof/>
          <w:color w:val="000000" w:themeColor="text1"/>
        </w:rPr>
        <w:t>Distribution of FFS Medi-Cal Births in 2013,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_Toc459286722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127</w:t>
      </w:r>
      <w:r w:rsidRPr="00866479">
        <w:rPr>
          <w:rFonts w:asciiTheme="minorHAnsi" w:hAnsiTheme="minorHAnsi"/>
          <w:noProof/>
        </w:rPr>
        <w:fldChar w:fldCharType="end"/>
      </w:r>
    </w:p>
    <w:p w14:paraId="33377519"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42: </w:t>
      </w:r>
      <w:r w:rsidRPr="00866479">
        <w:rPr>
          <w:rFonts w:asciiTheme="minorHAnsi" w:eastAsia="Calibri" w:hAnsiTheme="minorHAnsi" w:cs="Tahoma"/>
          <w:noProof/>
          <w:color w:val="000000" w:themeColor="text1"/>
        </w:rPr>
        <w:t>Percent of Early Prenatal Care Initiation among new Californian Mothers in 2013, by Payer Type</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_Toc459286723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128</w:t>
      </w:r>
      <w:r w:rsidRPr="00866479">
        <w:rPr>
          <w:rFonts w:asciiTheme="minorHAnsi" w:hAnsiTheme="minorHAnsi"/>
          <w:noProof/>
        </w:rPr>
        <w:fldChar w:fldCharType="end"/>
      </w:r>
    </w:p>
    <w:p w14:paraId="719417D2"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43: </w:t>
      </w:r>
      <w:r w:rsidRPr="00866479">
        <w:rPr>
          <w:rFonts w:asciiTheme="minorHAnsi" w:eastAsia="Calibri" w:hAnsiTheme="minorHAnsi" w:cs="Tahoma"/>
          <w:noProof/>
          <w:color w:val="000000" w:themeColor="text1"/>
        </w:rPr>
        <w:t>Percent of Early Prenatal Care Initiation among FFS Medi-Cal Mothers in 2013, by Scope of Coverage</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_Toc459286724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128</w:t>
      </w:r>
      <w:r w:rsidRPr="00866479">
        <w:rPr>
          <w:rFonts w:asciiTheme="minorHAnsi" w:hAnsiTheme="minorHAnsi"/>
          <w:noProof/>
        </w:rPr>
        <w:fldChar w:fldCharType="end"/>
      </w:r>
    </w:p>
    <w:p w14:paraId="5962C807"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44: </w:t>
      </w:r>
      <w:r w:rsidRPr="00866479">
        <w:rPr>
          <w:rFonts w:asciiTheme="minorHAnsi" w:eastAsia="Calibri" w:hAnsiTheme="minorHAnsi" w:cs="Tahoma"/>
          <w:noProof/>
          <w:color w:val="000000" w:themeColor="text1"/>
        </w:rPr>
        <w:t>Percent of Early Prenatal Care Initiation among FFS Medi-Cal Mothers in 2013, by Aid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_Toc459286725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129</w:t>
      </w:r>
      <w:r w:rsidRPr="00866479">
        <w:rPr>
          <w:rFonts w:asciiTheme="minorHAnsi" w:hAnsiTheme="minorHAnsi"/>
          <w:noProof/>
        </w:rPr>
        <w:fldChar w:fldCharType="end"/>
      </w:r>
    </w:p>
    <w:p w14:paraId="3DA08E62"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45: </w:t>
      </w:r>
      <w:r w:rsidRPr="00866479">
        <w:rPr>
          <w:rFonts w:asciiTheme="minorHAnsi" w:eastAsia="Calibri" w:hAnsiTheme="minorHAnsi" w:cs="Tahoma"/>
          <w:noProof/>
          <w:color w:val="000000" w:themeColor="text1"/>
        </w:rPr>
        <w:t>Percent of Early Prenatal Care Initiation among FFS Medi-Cal Mothers in 2013,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_Toc459286726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130</w:t>
      </w:r>
      <w:r w:rsidRPr="00866479">
        <w:rPr>
          <w:rFonts w:asciiTheme="minorHAnsi" w:hAnsiTheme="minorHAnsi"/>
          <w:noProof/>
        </w:rPr>
        <w:fldChar w:fldCharType="end"/>
      </w:r>
    </w:p>
    <w:p w14:paraId="53831746"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46: </w:t>
      </w:r>
      <w:r w:rsidRPr="00866479">
        <w:rPr>
          <w:rFonts w:asciiTheme="minorHAnsi" w:eastAsia="Calibri" w:hAnsiTheme="minorHAnsi" w:cs="Tahoma"/>
          <w:noProof/>
          <w:color w:val="000000" w:themeColor="text1"/>
        </w:rPr>
        <w:t>Percent of Early Prenatal Care Initiation among FFS Medi-Cal Mothers in 2013, by Age Group</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_Toc459286727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130</w:t>
      </w:r>
      <w:r w:rsidRPr="00866479">
        <w:rPr>
          <w:rFonts w:asciiTheme="minorHAnsi" w:hAnsiTheme="minorHAnsi"/>
          <w:noProof/>
        </w:rPr>
        <w:fldChar w:fldCharType="end"/>
      </w:r>
    </w:p>
    <w:p w14:paraId="6720B1D1"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47: </w:t>
      </w:r>
      <w:r w:rsidRPr="00866479">
        <w:rPr>
          <w:rFonts w:asciiTheme="minorHAnsi" w:eastAsia="Calibri" w:hAnsiTheme="minorHAnsi" w:cs="Tahoma"/>
          <w:noProof/>
          <w:color w:val="000000" w:themeColor="text1"/>
        </w:rPr>
        <w:t>Proportion of Early Prenatal Care Initiation among FFS Medi-Cal Mothers in 2013, by Race/Ethnicity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_Toc459286728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131</w:t>
      </w:r>
      <w:r w:rsidRPr="00866479">
        <w:rPr>
          <w:rFonts w:asciiTheme="minorHAnsi" w:hAnsiTheme="minorHAnsi"/>
          <w:noProof/>
        </w:rPr>
        <w:fldChar w:fldCharType="end"/>
      </w:r>
    </w:p>
    <w:p w14:paraId="6C529383"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48: </w:t>
      </w:r>
      <w:r w:rsidRPr="00866479">
        <w:rPr>
          <w:rFonts w:asciiTheme="minorHAnsi" w:eastAsia="Calibri" w:hAnsiTheme="minorHAnsi"/>
          <w:noProof/>
          <w:color w:val="000000" w:themeColor="text1"/>
        </w:rPr>
        <w:t>Percent of Low-Birthweight Singleton Births in 2013, by Payer Source</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_Toc459286729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131</w:t>
      </w:r>
      <w:r w:rsidRPr="00866479">
        <w:rPr>
          <w:rFonts w:asciiTheme="minorHAnsi" w:hAnsiTheme="minorHAnsi"/>
          <w:noProof/>
        </w:rPr>
        <w:fldChar w:fldCharType="end"/>
      </w:r>
    </w:p>
    <w:p w14:paraId="36F1FAB5"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49: </w:t>
      </w:r>
      <w:r w:rsidRPr="00866479">
        <w:rPr>
          <w:rFonts w:asciiTheme="minorHAnsi" w:eastAsia="Calibri" w:hAnsiTheme="minorHAnsi" w:cs="Tahoma"/>
          <w:noProof/>
          <w:color w:val="000000" w:themeColor="text1"/>
        </w:rPr>
        <w:t>Percent of Low-Birthweight Singleton Births among FFS Medi-Cal Mothers in 2013, by Timing of Prenatal Care Initiation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_Toc459286730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132</w:t>
      </w:r>
      <w:r w:rsidRPr="00866479">
        <w:rPr>
          <w:rFonts w:asciiTheme="minorHAnsi" w:hAnsiTheme="minorHAnsi"/>
          <w:noProof/>
        </w:rPr>
        <w:fldChar w:fldCharType="end"/>
      </w:r>
    </w:p>
    <w:p w14:paraId="7C2BBDCE"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50: </w:t>
      </w:r>
      <w:r w:rsidRPr="00866479">
        <w:rPr>
          <w:rFonts w:asciiTheme="minorHAnsi" w:eastAsia="Calibri" w:hAnsiTheme="minorHAnsi" w:cs="Tahoma"/>
          <w:noProof/>
          <w:color w:val="000000" w:themeColor="text1"/>
        </w:rPr>
        <w:t>Percent of Low-Birthweight Singleton Births among FFS Medi-Cal Mothers in 2013, by Scope of Coverage</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_Toc459286731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132</w:t>
      </w:r>
      <w:r w:rsidRPr="00866479">
        <w:rPr>
          <w:rFonts w:asciiTheme="minorHAnsi" w:hAnsiTheme="minorHAnsi"/>
          <w:noProof/>
        </w:rPr>
        <w:fldChar w:fldCharType="end"/>
      </w:r>
    </w:p>
    <w:p w14:paraId="351D6FB0"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51: </w:t>
      </w:r>
      <w:r w:rsidRPr="00866479">
        <w:rPr>
          <w:rFonts w:asciiTheme="minorHAnsi" w:eastAsia="Calibri" w:hAnsiTheme="minorHAnsi" w:cs="Tahoma"/>
          <w:noProof/>
          <w:color w:val="000000" w:themeColor="text1"/>
        </w:rPr>
        <w:t>Percent of Low-Birthweight Singleton Births among FFS Medi-Cal Mothers in 2013, by Aid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_Toc459286732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133</w:t>
      </w:r>
      <w:r w:rsidRPr="00866479">
        <w:rPr>
          <w:rFonts w:asciiTheme="minorHAnsi" w:hAnsiTheme="minorHAnsi"/>
          <w:noProof/>
        </w:rPr>
        <w:fldChar w:fldCharType="end"/>
      </w:r>
    </w:p>
    <w:p w14:paraId="4552837C"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52: </w:t>
      </w:r>
      <w:r w:rsidRPr="00866479">
        <w:rPr>
          <w:rFonts w:asciiTheme="minorHAnsi" w:eastAsia="Calibri" w:hAnsiTheme="minorHAnsi" w:cs="Tahoma"/>
          <w:noProof/>
          <w:color w:val="000000" w:themeColor="text1"/>
        </w:rPr>
        <w:t>Percent of Low-Birthweight Singleton Births among FFS Medi-Cal Mothers in 2013,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_Toc459286733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133</w:t>
      </w:r>
      <w:r w:rsidRPr="00866479">
        <w:rPr>
          <w:rFonts w:asciiTheme="minorHAnsi" w:hAnsiTheme="minorHAnsi"/>
          <w:noProof/>
        </w:rPr>
        <w:fldChar w:fldCharType="end"/>
      </w:r>
    </w:p>
    <w:p w14:paraId="098B1001"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53: </w:t>
      </w:r>
      <w:r w:rsidRPr="00866479">
        <w:rPr>
          <w:rFonts w:asciiTheme="minorHAnsi" w:eastAsia="Calibri" w:hAnsiTheme="minorHAnsi" w:cs="Tahoma"/>
          <w:noProof/>
          <w:color w:val="000000" w:themeColor="text1"/>
        </w:rPr>
        <w:t>Percent of Low-Birthweight Singleton Births among FFS Medi-Cal Mothers in 2013, by Maternal Age Group</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_Toc459286734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134</w:t>
      </w:r>
      <w:r w:rsidRPr="00866479">
        <w:rPr>
          <w:rFonts w:asciiTheme="minorHAnsi" w:hAnsiTheme="minorHAnsi"/>
          <w:noProof/>
        </w:rPr>
        <w:fldChar w:fldCharType="end"/>
      </w:r>
    </w:p>
    <w:p w14:paraId="36F1B5AE"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54: </w:t>
      </w:r>
      <w:r w:rsidRPr="00866479">
        <w:rPr>
          <w:rFonts w:asciiTheme="minorHAnsi" w:eastAsia="Calibri" w:hAnsiTheme="minorHAnsi" w:cs="Tahoma"/>
          <w:noProof/>
          <w:color w:val="000000" w:themeColor="text1"/>
        </w:rPr>
        <w:t>Percent of Low-Birthweight Singleton Births among FFS Medi-Cal Mothers in 2012, by Race/Ethnicity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_Toc459286735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134</w:t>
      </w:r>
      <w:r w:rsidRPr="00866479">
        <w:rPr>
          <w:rFonts w:asciiTheme="minorHAnsi" w:hAnsiTheme="minorHAnsi"/>
          <w:noProof/>
        </w:rPr>
        <w:fldChar w:fldCharType="end"/>
      </w:r>
    </w:p>
    <w:p w14:paraId="71D39A57"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55: </w:t>
      </w:r>
      <w:r w:rsidRPr="00866479">
        <w:rPr>
          <w:rFonts w:asciiTheme="minorHAnsi" w:eastAsia="Calibri" w:hAnsiTheme="minorHAnsi" w:cs="Tahoma"/>
          <w:noProof/>
          <w:color w:val="000000" w:themeColor="text1"/>
        </w:rPr>
        <w:t>Percent of Preterm Singleton Births in California in 2013, by Payer Source</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_Toc459286736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135</w:t>
      </w:r>
      <w:r w:rsidRPr="00866479">
        <w:rPr>
          <w:rFonts w:asciiTheme="minorHAnsi" w:hAnsiTheme="minorHAnsi"/>
          <w:noProof/>
        </w:rPr>
        <w:fldChar w:fldCharType="end"/>
      </w:r>
    </w:p>
    <w:p w14:paraId="5DD4FC68"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56: </w:t>
      </w:r>
      <w:r w:rsidRPr="00866479">
        <w:rPr>
          <w:rFonts w:asciiTheme="minorHAnsi" w:eastAsia="Calibri" w:hAnsiTheme="minorHAnsi" w:cs="Tahoma"/>
          <w:noProof/>
          <w:color w:val="000000" w:themeColor="text1"/>
        </w:rPr>
        <w:t>Percent of Preterm Singleton Births among FFS Medi-Cal Mothers in 2013, by Timing of Prenatal Care Initiation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_Toc459286737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135</w:t>
      </w:r>
      <w:r w:rsidRPr="00866479">
        <w:rPr>
          <w:rFonts w:asciiTheme="minorHAnsi" w:hAnsiTheme="minorHAnsi"/>
          <w:noProof/>
        </w:rPr>
        <w:fldChar w:fldCharType="end"/>
      </w:r>
    </w:p>
    <w:p w14:paraId="4EE404E9"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57: </w:t>
      </w:r>
      <w:r w:rsidRPr="00866479">
        <w:rPr>
          <w:rFonts w:asciiTheme="minorHAnsi" w:eastAsia="Calibri" w:hAnsiTheme="minorHAnsi" w:cs="Tahoma"/>
          <w:noProof/>
          <w:color w:val="000000" w:themeColor="text1"/>
        </w:rPr>
        <w:t>Percent of Preterm Singleton Births among FFS Medi-Cal Mothers in 2012, by Scope of Coverage</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_Toc459286738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136</w:t>
      </w:r>
      <w:r w:rsidRPr="00866479">
        <w:rPr>
          <w:rFonts w:asciiTheme="minorHAnsi" w:hAnsiTheme="minorHAnsi"/>
          <w:noProof/>
        </w:rPr>
        <w:fldChar w:fldCharType="end"/>
      </w:r>
    </w:p>
    <w:p w14:paraId="1C9D4466"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58: </w:t>
      </w:r>
      <w:r w:rsidRPr="00866479">
        <w:rPr>
          <w:rFonts w:asciiTheme="minorHAnsi" w:eastAsia="Calibri" w:hAnsiTheme="minorHAnsi" w:cs="Tahoma"/>
          <w:noProof/>
          <w:color w:val="000000" w:themeColor="text1"/>
        </w:rPr>
        <w:t>Percent of Preterm Singleton Births among FFS Medi-Cal Mothers in 2013, by Aid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_Toc459286739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136</w:t>
      </w:r>
      <w:r w:rsidRPr="00866479">
        <w:rPr>
          <w:rFonts w:asciiTheme="minorHAnsi" w:hAnsiTheme="minorHAnsi"/>
          <w:noProof/>
        </w:rPr>
        <w:fldChar w:fldCharType="end"/>
      </w:r>
    </w:p>
    <w:p w14:paraId="5855CA28"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59: </w:t>
      </w:r>
      <w:r w:rsidRPr="00866479">
        <w:rPr>
          <w:rFonts w:asciiTheme="minorHAnsi" w:eastAsia="Calibri" w:hAnsiTheme="minorHAnsi" w:cs="Tahoma"/>
          <w:noProof/>
          <w:color w:val="000000" w:themeColor="text1"/>
        </w:rPr>
        <w:t>Percent of Preterm Singleton Births among FFS Medi-Cal Mothers in 2013, by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_Toc459286740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137</w:t>
      </w:r>
      <w:r w:rsidRPr="00866479">
        <w:rPr>
          <w:rFonts w:asciiTheme="minorHAnsi" w:hAnsiTheme="minorHAnsi"/>
          <w:noProof/>
        </w:rPr>
        <w:fldChar w:fldCharType="end"/>
      </w:r>
    </w:p>
    <w:p w14:paraId="6E3936D9"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lastRenderedPageBreak/>
        <w:t xml:space="preserve">Figure 60: </w:t>
      </w:r>
      <w:r w:rsidRPr="00866479">
        <w:rPr>
          <w:rFonts w:asciiTheme="minorHAnsi" w:eastAsia="Calibri" w:hAnsiTheme="minorHAnsi" w:cs="Tahoma"/>
          <w:noProof/>
          <w:color w:val="000000" w:themeColor="text1"/>
        </w:rPr>
        <w:t>Percent of Preterm Singleton Births among FFS Medi-Cal Mothers in 2013, by Maternal Age Group</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_Toc459286741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137</w:t>
      </w:r>
      <w:r w:rsidRPr="00866479">
        <w:rPr>
          <w:rFonts w:asciiTheme="minorHAnsi" w:hAnsiTheme="minorHAnsi"/>
          <w:noProof/>
        </w:rPr>
        <w:fldChar w:fldCharType="end"/>
      </w:r>
    </w:p>
    <w:p w14:paraId="23FA0644"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61: </w:t>
      </w:r>
      <w:r w:rsidRPr="00866479">
        <w:rPr>
          <w:rFonts w:asciiTheme="minorHAnsi" w:eastAsia="Calibri" w:hAnsiTheme="minorHAnsi" w:cs="Tahoma"/>
          <w:noProof/>
          <w:color w:val="000000" w:themeColor="text1"/>
        </w:rPr>
        <w:t>Percent of Preterm Singleton Births among FFS Medi-Cal Mothers in 2012, by Race/Ethnicity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_Toc459286742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138</w:t>
      </w:r>
      <w:r w:rsidRPr="00866479">
        <w:rPr>
          <w:rFonts w:asciiTheme="minorHAnsi" w:hAnsiTheme="minorHAnsi"/>
          <w:noProof/>
        </w:rPr>
        <w:fldChar w:fldCharType="end"/>
      </w:r>
    </w:p>
    <w:p w14:paraId="49CF13AD"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62: </w:t>
      </w:r>
      <w:r w:rsidRPr="00866479">
        <w:rPr>
          <w:rFonts w:asciiTheme="minorHAnsi" w:eastAsiaTheme="minorHAnsi" w:hAnsiTheme="minorHAnsi" w:cstheme="minorBidi"/>
          <w:noProof/>
          <w:color w:val="000000" w:themeColor="text1"/>
        </w:rPr>
        <w:t>Calls Received from FFS Medi-Cal Beneficiaries in SFYs 2013-14 and 2014-15, by Quarter</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_Toc459286743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141</w:t>
      </w:r>
      <w:r w:rsidRPr="00866479">
        <w:rPr>
          <w:rFonts w:asciiTheme="minorHAnsi" w:hAnsiTheme="minorHAnsi"/>
          <w:noProof/>
        </w:rPr>
        <w:fldChar w:fldCharType="end"/>
      </w:r>
    </w:p>
    <w:p w14:paraId="2832BDCC"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63: </w:t>
      </w:r>
      <w:r w:rsidRPr="00866479">
        <w:rPr>
          <w:rFonts w:asciiTheme="minorHAnsi" w:eastAsiaTheme="minorHAnsi" w:hAnsiTheme="minorHAnsi" w:cstheme="minorBidi"/>
          <w:noProof/>
          <w:color w:val="000000" w:themeColor="text1"/>
        </w:rPr>
        <w:t>Calls Received from FFS Medi-Cal Beneficiaries in SFYs 2013-14 and 2014-15, by Geographic Region (Southern Only)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_Toc459286744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143</w:t>
      </w:r>
      <w:r w:rsidRPr="00866479">
        <w:rPr>
          <w:rFonts w:asciiTheme="minorHAnsi" w:hAnsiTheme="minorHAnsi"/>
          <w:noProof/>
        </w:rPr>
        <w:fldChar w:fldCharType="end"/>
      </w:r>
    </w:p>
    <w:p w14:paraId="3DA80ECE"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64: </w:t>
      </w:r>
      <w:r w:rsidRPr="00866479">
        <w:rPr>
          <w:rFonts w:asciiTheme="minorHAnsi" w:eastAsiaTheme="minorHAnsi" w:hAnsiTheme="minorHAnsi" w:cstheme="minorBidi"/>
          <w:noProof/>
          <w:color w:val="000000" w:themeColor="text1"/>
        </w:rPr>
        <w:t>Calls Received from FFS Medi-Cal Beneficiaries in SFYs 2013-14 and 2014-15, by Geographic Region (Non-Southern)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_Toc459286745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144</w:t>
      </w:r>
      <w:r w:rsidRPr="00866479">
        <w:rPr>
          <w:rFonts w:asciiTheme="minorHAnsi" w:hAnsiTheme="minorHAnsi"/>
          <w:noProof/>
        </w:rPr>
        <w:fldChar w:fldCharType="end"/>
      </w:r>
    </w:p>
    <w:p w14:paraId="734CCA8D" w14:textId="77777777" w:rsidR="000E1B8E" w:rsidRPr="00866479" w:rsidRDefault="000E1B8E">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 xml:space="preserve">Figure 65: </w:t>
      </w:r>
      <w:r w:rsidRPr="00866479">
        <w:rPr>
          <w:rFonts w:asciiTheme="minorHAnsi" w:eastAsiaTheme="minorEastAsia" w:hAnsiTheme="minorHAnsi" w:cstheme="minorBidi"/>
          <w:noProof/>
          <w:color w:val="000000" w:themeColor="text1"/>
          <w:kern w:val="24"/>
        </w:rPr>
        <w:t>Aggregate Average Medi-Cal Rates as Percentage of Medicare Rates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_Toc459286746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168</w:t>
      </w:r>
      <w:r w:rsidRPr="00866479">
        <w:rPr>
          <w:rFonts w:asciiTheme="minorHAnsi" w:hAnsiTheme="minorHAnsi"/>
          <w:noProof/>
        </w:rPr>
        <w:fldChar w:fldCharType="end"/>
      </w:r>
    </w:p>
    <w:p w14:paraId="64037BA1" w14:textId="77777777" w:rsidR="00BD3F43" w:rsidRDefault="000E1B8E" w:rsidP="00B04F0F">
      <w:pPr>
        <w:pStyle w:val="Heading1"/>
        <w:spacing w:before="0" w:line="276" w:lineRule="auto"/>
      </w:pPr>
      <w:r w:rsidRPr="00866479">
        <w:rPr>
          <w:b w:val="0"/>
          <w:sz w:val="24"/>
          <w:szCs w:val="24"/>
        </w:rPr>
        <w:fldChar w:fldCharType="end"/>
      </w:r>
    </w:p>
    <w:p w14:paraId="74AACBCB" w14:textId="77777777" w:rsidR="00BD3F43" w:rsidRDefault="00BD3F43">
      <w:pPr>
        <w:spacing w:after="200" w:line="276" w:lineRule="auto"/>
        <w:rPr>
          <w:rFonts w:asciiTheme="minorHAnsi" w:eastAsiaTheme="majorEastAsia" w:hAnsiTheme="minorHAnsi" w:cstheme="majorBidi"/>
          <w:b/>
          <w:bCs/>
          <w:color w:val="000000" w:themeColor="text1"/>
          <w:sz w:val="36"/>
          <w:szCs w:val="28"/>
        </w:rPr>
      </w:pPr>
      <w:r>
        <w:br w:type="page"/>
      </w:r>
    </w:p>
    <w:p w14:paraId="575911B2" w14:textId="77777777" w:rsidR="00EA67D7" w:rsidRPr="00105FFC" w:rsidRDefault="00EA67D7" w:rsidP="00EA67D7">
      <w:pPr>
        <w:pStyle w:val="Heading1"/>
        <w:spacing w:before="0" w:line="276" w:lineRule="auto"/>
        <w:rPr>
          <w:color w:val="auto"/>
          <w:u w:val="single"/>
        </w:rPr>
      </w:pPr>
      <w:bookmarkStart w:id="12" w:name="_Toc459287698"/>
      <w:r>
        <w:rPr>
          <w:color w:val="auto"/>
          <w:u w:val="single"/>
        </w:rPr>
        <w:lastRenderedPageBreak/>
        <w:t>Table of Tables</w:t>
      </w:r>
      <w:bookmarkEnd w:id="12"/>
    </w:p>
    <w:p w14:paraId="0F08C9AF" w14:textId="77777777" w:rsidR="00EA67D7" w:rsidRDefault="00EA67D7">
      <w:pPr>
        <w:pStyle w:val="TableofFigures"/>
        <w:tabs>
          <w:tab w:val="right" w:leader="dot" w:pos="9350"/>
        </w:tabs>
      </w:pPr>
    </w:p>
    <w:p w14:paraId="5F2E0741"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rPr>
        <w:fldChar w:fldCharType="begin"/>
      </w:r>
      <w:r w:rsidRPr="00866479">
        <w:rPr>
          <w:rFonts w:asciiTheme="minorHAnsi" w:hAnsiTheme="minorHAnsi"/>
        </w:rPr>
        <w:instrText xml:space="preserve"> TOC \c "Table" </w:instrText>
      </w:r>
      <w:r w:rsidRPr="00866479">
        <w:rPr>
          <w:rFonts w:asciiTheme="minorHAnsi" w:hAnsiTheme="minorHAnsi"/>
        </w:rPr>
        <w:fldChar w:fldCharType="separate"/>
      </w:r>
      <w:r w:rsidRPr="00866479">
        <w:rPr>
          <w:rFonts w:asciiTheme="minorHAnsi" w:hAnsiTheme="minorHAnsi"/>
          <w:noProof/>
        </w:rPr>
        <w:t>Table 1</w:t>
      </w:r>
      <w:r w:rsidRPr="00866479">
        <w:rPr>
          <w:rFonts w:asciiTheme="minorHAnsi" w:eastAsiaTheme="minorHAnsi" w:hAnsiTheme="minorHAnsi" w:cs="Arial"/>
          <w:noProof/>
        </w:rPr>
        <w:t>: Medi-Cal FFS Beneficiaries Shifting to Medi-Cal Managed Care, 2008-2016</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_Toc459285146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21</w:t>
      </w:r>
      <w:r w:rsidRPr="00866479">
        <w:rPr>
          <w:rFonts w:asciiTheme="minorHAnsi" w:hAnsiTheme="minorHAnsi"/>
          <w:noProof/>
        </w:rPr>
        <w:fldChar w:fldCharType="end"/>
      </w:r>
    </w:p>
    <w:p w14:paraId="03D929CD"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2</w:t>
      </w:r>
      <w:r w:rsidRPr="00866479">
        <w:rPr>
          <w:rFonts w:asciiTheme="minorHAnsi" w:eastAsiaTheme="minorHAnsi" w:hAnsiTheme="minorHAnsi" w:cs="Arial"/>
          <w:noProof/>
        </w:rPr>
        <w:t>: Medi-Cal Only Seniors and Persons with Disabilities Beneficiaries Shifting to Medi-Cal Managed Care</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_Toc459285147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22</w:t>
      </w:r>
      <w:r w:rsidRPr="00866479">
        <w:rPr>
          <w:rFonts w:asciiTheme="minorHAnsi" w:hAnsiTheme="minorHAnsi"/>
          <w:noProof/>
        </w:rPr>
        <w:fldChar w:fldCharType="end"/>
      </w:r>
    </w:p>
    <w:p w14:paraId="3D254124"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3</w:t>
      </w:r>
      <w:r w:rsidRPr="00866479">
        <w:rPr>
          <w:rFonts w:asciiTheme="minorHAnsi" w:eastAsiaTheme="minorHAnsi" w:hAnsiTheme="minorHAnsi" w:cstheme="minorBidi"/>
          <w:noProof/>
        </w:rPr>
        <w:t>: FFS Administrative Categories and Access Limitations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_Toc459285148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28</w:t>
      </w:r>
      <w:r w:rsidRPr="00866479">
        <w:rPr>
          <w:rFonts w:asciiTheme="minorHAnsi" w:hAnsiTheme="minorHAnsi"/>
          <w:noProof/>
        </w:rPr>
        <w:fldChar w:fldCharType="end"/>
      </w:r>
    </w:p>
    <w:p w14:paraId="5940C73C"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4</w:t>
      </w:r>
      <w:r w:rsidRPr="00866479">
        <w:rPr>
          <w:rFonts w:asciiTheme="minorHAnsi" w:eastAsiaTheme="minorHAnsi" w:hAnsiTheme="minorHAnsi" w:cstheme="minorBidi"/>
          <w:noProof/>
        </w:rPr>
        <w:t>: Interpreting the Utilization of Restricted-Scope Services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_Toc459285149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34</w:t>
      </w:r>
      <w:r w:rsidRPr="00866479">
        <w:rPr>
          <w:rFonts w:asciiTheme="minorHAnsi" w:hAnsiTheme="minorHAnsi"/>
          <w:noProof/>
        </w:rPr>
        <w:fldChar w:fldCharType="end"/>
      </w:r>
    </w:p>
    <w:p w14:paraId="25283BBD"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Table 5: Medicare vs. Medi-Cal Services For Dually Eligible Individuals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_Toc459285150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36</w:t>
      </w:r>
      <w:r w:rsidRPr="00866479">
        <w:rPr>
          <w:rFonts w:asciiTheme="minorHAnsi" w:hAnsiTheme="minorHAnsi"/>
          <w:noProof/>
        </w:rPr>
        <w:fldChar w:fldCharType="end"/>
      </w:r>
    </w:p>
    <w:p w14:paraId="13888D91"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color w:val="000000" w:themeColor="text1"/>
        </w:rPr>
        <w:t>Table 6: Top 10 Aid Codes in the FFS Full-Scope Medi-Cal Only Group, 2015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_Toc459285151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40</w:t>
      </w:r>
      <w:r w:rsidRPr="00866479">
        <w:rPr>
          <w:rFonts w:asciiTheme="minorHAnsi" w:hAnsiTheme="minorHAnsi"/>
          <w:noProof/>
        </w:rPr>
        <w:fldChar w:fldCharType="end"/>
      </w:r>
    </w:p>
    <w:p w14:paraId="78ABA739"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7</w:t>
      </w:r>
      <w:r w:rsidRPr="00866479">
        <w:rPr>
          <w:rFonts w:asciiTheme="minorHAnsi" w:eastAsiaTheme="minorHAnsi" w:hAnsiTheme="minorHAnsi" w:cstheme="minorBidi"/>
          <w:noProof/>
        </w:rPr>
        <w:t>: Median Age of Medi-Cal FFS Beneficiaries and Medi-Cal Managed Care Beneficiaries in 2015, and California Residents in 2014</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_Toc459285152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41</w:t>
      </w:r>
      <w:r w:rsidRPr="00866479">
        <w:rPr>
          <w:rFonts w:asciiTheme="minorHAnsi" w:hAnsiTheme="minorHAnsi"/>
          <w:noProof/>
        </w:rPr>
        <w:fldChar w:fldCharType="end"/>
      </w:r>
    </w:p>
    <w:p w14:paraId="6C3B34B5"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8</w:t>
      </w:r>
      <w:r w:rsidRPr="00866479">
        <w:rPr>
          <w:rFonts w:asciiTheme="minorHAnsi" w:eastAsiaTheme="minorHAnsi" w:hAnsiTheme="minorHAnsi" w:cstheme="minorBidi"/>
          <w:noProof/>
        </w:rPr>
        <w:t>: Proportion of the Population with a Disability among Certified Eligible FFS Medi-Cal and Medi-Cal Managed Care Beneficiaries in 2015, and California Residents in 2014</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_Toc459285153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42</w:t>
      </w:r>
      <w:r w:rsidRPr="00866479">
        <w:rPr>
          <w:rFonts w:asciiTheme="minorHAnsi" w:hAnsiTheme="minorHAnsi"/>
          <w:noProof/>
        </w:rPr>
        <w:fldChar w:fldCharType="end"/>
      </w:r>
    </w:p>
    <w:p w14:paraId="3661FF76"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9</w:t>
      </w:r>
      <w:r w:rsidRPr="00866479">
        <w:rPr>
          <w:rFonts w:asciiTheme="minorHAnsi" w:eastAsiaTheme="minorHAnsi" w:hAnsiTheme="minorHAnsi" w:cstheme="minorBidi"/>
          <w:noProof/>
        </w:rPr>
        <w:t>: Distribution of Certified Eligible FFS Medi-Cal and Medi-Cal Managed Care Beneficiaries in 2015, and California Residents in 2014, by Metropolitan Status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_Toc459285154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44</w:t>
      </w:r>
      <w:r w:rsidRPr="00866479">
        <w:rPr>
          <w:rFonts w:asciiTheme="minorHAnsi" w:hAnsiTheme="minorHAnsi"/>
          <w:noProof/>
        </w:rPr>
        <w:fldChar w:fldCharType="end"/>
      </w:r>
    </w:p>
    <w:p w14:paraId="68922782"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10</w:t>
      </w:r>
      <w:r w:rsidRPr="00866479">
        <w:rPr>
          <w:rFonts w:asciiTheme="minorHAnsi" w:eastAsiaTheme="minorHAnsi" w:hAnsiTheme="minorHAnsi" w:cstheme="minorBidi"/>
          <w:noProof/>
        </w:rPr>
        <w:t>: Distribution of Certified Eligible FFS Medi-Cal and Medi-Cal Managed Care Beneficiaries in 2015, and California Residents in 2014, by Gender</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_Toc459285155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44</w:t>
      </w:r>
      <w:r w:rsidRPr="00866479">
        <w:rPr>
          <w:rFonts w:asciiTheme="minorHAnsi" w:hAnsiTheme="minorHAnsi"/>
          <w:noProof/>
        </w:rPr>
        <w:fldChar w:fldCharType="end"/>
      </w:r>
    </w:p>
    <w:p w14:paraId="4A0297AB"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11: Primary Care Category of Service Definition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_Toc459285156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64</w:t>
      </w:r>
      <w:r w:rsidRPr="00866479">
        <w:rPr>
          <w:rFonts w:asciiTheme="minorHAnsi" w:hAnsiTheme="minorHAnsi"/>
          <w:noProof/>
        </w:rPr>
        <w:fldChar w:fldCharType="end"/>
      </w:r>
    </w:p>
    <w:p w14:paraId="6081551C"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12:  Specialty Category of Service Definition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_Toc459285157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65</w:t>
      </w:r>
      <w:r w:rsidRPr="00866479">
        <w:rPr>
          <w:rFonts w:asciiTheme="minorHAnsi" w:hAnsiTheme="minorHAnsi"/>
          <w:noProof/>
        </w:rPr>
        <w:fldChar w:fldCharType="end"/>
      </w:r>
    </w:p>
    <w:p w14:paraId="5CAAF2C7"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13:  Behavioral Health Provider Definition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_Toc459285158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66</w:t>
      </w:r>
      <w:r w:rsidRPr="00866479">
        <w:rPr>
          <w:rFonts w:asciiTheme="minorHAnsi" w:hAnsiTheme="minorHAnsi"/>
          <w:noProof/>
        </w:rPr>
        <w:fldChar w:fldCharType="end"/>
      </w:r>
    </w:p>
    <w:p w14:paraId="2530B3CE"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14:  Pre and Post-Natal Service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_Toc459285159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67</w:t>
      </w:r>
      <w:r w:rsidRPr="00866479">
        <w:rPr>
          <w:rFonts w:asciiTheme="minorHAnsi" w:hAnsiTheme="minorHAnsi"/>
          <w:noProof/>
        </w:rPr>
        <w:fldChar w:fldCharType="end"/>
      </w:r>
    </w:p>
    <w:p w14:paraId="586EB4CF"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15:  Health Home Service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_Toc459285160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67</w:t>
      </w:r>
      <w:r w:rsidRPr="00866479">
        <w:rPr>
          <w:rFonts w:asciiTheme="minorHAnsi" w:hAnsiTheme="minorHAnsi"/>
          <w:noProof/>
        </w:rPr>
        <w:fldChar w:fldCharType="end"/>
      </w:r>
    </w:p>
    <w:p w14:paraId="2A1B5446"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16: Total Medi-Cal Participating Primary Care Providers in SFY 2013-14, by Provider Sub-Group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_Toc459285161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96</w:t>
      </w:r>
      <w:r w:rsidRPr="00866479">
        <w:rPr>
          <w:rFonts w:asciiTheme="minorHAnsi" w:hAnsiTheme="minorHAnsi"/>
          <w:noProof/>
        </w:rPr>
        <w:fldChar w:fldCharType="end"/>
      </w:r>
    </w:p>
    <w:p w14:paraId="757CCA8F"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17: Total Medi-Cal Participating Primary Care Providers in SFY 2014-15, by Provider Sub-Group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_Toc459285162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96</w:t>
      </w:r>
      <w:r w:rsidRPr="00866479">
        <w:rPr>
          <w:rFonts w:asciiTheme="minorHAnsi" w:hAnsiTheme="minorHAnsi"/>
          <w:noProof/>
        </w:rPr>
        <w:fldChar w:fldCharType="end"/>
      </w:r>
    </w:p>
    <w:p w14:paraId="4F73B494"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18: FFS Full-Scope Medi-Cal Only Beneficiary-to-Primary-Care-Provider Ratios in SFY 2013-14 and 2014-15,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_Toc459285163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97</w:t>
      </w:r>
      <w:r w:rsidRPr="00866479">
        <w:rPr>
          <w:rFonts w:asciiTheme="minorHAnsi" w:hAnsiTheme="minorHAnsi"/>
          <w:noProof/>
        </w:rPr>
        <w:fldChar w:fldCharType="end"/>
      </w:r>
    </w:p>
    <w:p w14:paraId="24E36982"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19: Total Medi-Cal Participating Primary Care Providers in SFY 2013-14, by Service Setting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_Toc459285164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98</w:t>
      </w:r>
      <w:r w:rsidRPr="00866479">
        <w:rPr>
          <w:rFonts w:asciiTheme="minorHAnsi" w:hAnsiTheme="minorHAnsi"/>
          <w:noProof/>
        </w:rPr>
        <w:fldChar w:fldCharType="end"/>
      </w:r>
    </w:p>
    <w:p w14:paraId="43536E9A"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lastRenderedPageBreak/>
        <w:t>Table 20: Total Medi-Cal Participating Primary Care Providers in SFY 2014-15, by Service Setting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_Toc459285165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98</w:t>
      </w:r>
      <w:r w:rsidRPr="00866479">
        <w:rPr>
          <w:rFonts w:asciiTheme="minorHAnsi" w:hAnsiTheme="minorHAnsi"/>
          <w:noProof/>
        </w:rPr>
        <w:fldChar w:fldCharType="end"/>
      </w:r>
    </w:p>
    <w:p w14:paraId="72C6E3A2"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noProof/>
        </w:rPr>
        <w:t>Table 21: Proportion of FFS Medi-Cal Beneficiaries Certified Eligible for at Least 11 Months in SFY 2014-15 Who Reside Inside/Outside of a Primary Care Service Area,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_Toc459285166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99</w:t>
      </w:r>
      <w:r w:rsidRPr="00866479">
        <w:rPr>
          <w:rFonts w:asciiTheme="minorHAnsi" w:hAnsiTheme="minorHAnsi"/>
          <w:noProof/>
        </w:rPr>
        <w:fldChar w:fldCharType="end"/>
      </w:r>
    </w:p>
    <w:p w14:paraId="5317A7F3"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noProof/>
        </w:rPr>
        <w:t>Table 22: Average Driving Time to Reach Primary Care Appointment among FFS Medi-Cal Beneficiaries Certified Eligible for at Least 11 Months in SFY 2014-15 Who Reside Inside/Outside of a Primary Care Service Area,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_Toc459285167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100</w:t>
      </w:r>
      <w:r w:rsidRPr="00866479">
        <w:rPr>
          <w:rFonts w:asciiTheme="minorHAnsi" w:hAnsiTheme="minorHAnsi"/>
          <w:noProof/>
        </w:rPr>
        <w:fldChar w:fldCharType="end"/>
      </w:r>
    </w:p>
    <w:p w14:paraId="4D92F6E9"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noProof/>
        </w:rPr>
        <w:t>Table 23: Average Driving Distance to Reach Primary Care Appointment among FFS Medi-Cal Beneficiaries Certified Eligible for at Least 11 Months in SFY 2014-15 Who Reside Inside/Outside of a Primary Care Service Area,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_Toc459285168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100</w:t>
      </w:r>
      <w:r w:rsidRPr="00866479">
        <w:rPr>
          <w:rFonts w:asciiTheme="minorHAnsi" w:hAnsiTheme="minorHAnsi"/>
          <w:noProof/>
        </w:rPr>
        <w:fldChar w:fldCharType="end"/>
      </w:r>
    </w:p>
    <w:p w14:paraId="1A17161F"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24: Total Medi-Cal Participating Specialist Providers in SFY 2013-14, by Provider Sub-Group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_Toc459285169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102</w:t>
      </w:r>
      <w:r w:rsidRPr="00866479">
        <w:rPr>
          <w:rFonts w:asciiTheme="minorHAnsi" w:hAnsiTheme="minorHAnsi"/>
          <w:noProof/>
        </w:rPr>
        <w:fldChar w:fldCharType="end"/>
      </w:r>
    </w:p>
    <w:p w14:paraId="02B87610"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25: Total Medi-Cal Participating Specialist Providers in SFY 2014-15, by Provider Sub-Group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_Toc459285170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102</w:t>
      </w:r>
      <w:r w:rsidRPr="00866479">
        <w:rPr>
          <w:rFonts w:asciiTheme="minorHAnsi" w:hAnsiTheme="minorHAnsi"/>
          <w:noProof/>
        </w:rPr>
        <w:fldChar w:fldCharType="end"/>
      </w:r>
    </w:p>
    <w:p w14:paraId="7995EC45"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26: Total Medi-Cal Participating Specialist Providers in SFY 2013-14, by Service Setting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_Toc459285171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103</w:t>
      </w:r>
      <w:r w:rsidRPr="00866479">
        <w:rPr>
          <w:rFonts w:asciiTheme="minorHAnsi" w:hAnsiTheme="minorHAnsi"/>
          <w:noProof/>
        </w:rPr>
        <w:fldChar w:fldCharType="end"/>
      </w:r>
    </w:p>
    <w:p w14:paraId="07961692"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27: Total Medi-Cal Participating Specialist Providers in SFY 2014-15, by Service Setting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_Toc459285172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104</w:t>
      </w:r>
      <w:r w:rsidRPr="00866479">
        <w:rPr>
          <w:rFonts w:asciiTheme="minorHAnsi" w:hAnsiTheme="minorHAnsi"/>
          <w:noProof/>
        </w:rPr>
        <w:fldChar w:fldCharType="end"/>
      </w:r>
    </w:p>
    <w:p w14:paraId="23ECA10E"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28: Total Medi-Cal Participating Behavioral Health Providers in SFY 2013-14, by Provider Sub-Group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_Toc459285173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105</w:t>
      </w:r>
      <w:r w:rsidRPr="00866479">
        <w:rPr>
          <w:rFonts w:asciiTheme="minorHAnsi" w:hAnsiTheme="minorHAnsi"/>
          <w:noProof/>
        </w:rPr>
        <w:fldChar w:fldCharType="end"/>
      </w:r>
    </w:p>
    <w:p w14:paraId="47EB4A89"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29: Total Medi-Cal Participating Behavioral Health Providers in SFY 2014-15, by Provider Sub-Group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_Toc459285174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105</w:t>
      </w:r>
      <w:r w:rsidRPr="00866479">
        <w:rPr>
          <w:rFonts w:asciiTheme="minorHAnsi" w:hAnsiTheme="minorHAnsi"/>
          <w:noProof/>
        </w:rPr>
        <w:fldChar w:fldCharType="end"/>
      </w:r>
    </w:p>
    <w:p w14:paraId="2897494E"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30: Total Medi-Cal Participating Behavioral Health Providers in SFY 2013-14, by Service Setting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_Toc459285175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106</w:t>
      </w:r>
      <w:r w:rsidRPr="00866479">
        <w:rPr>
          <w:rFonts w:asciiTheme="minorHAnsi" w:hAnsiTheme="minorHAnsi"/>
          <w:noProof/>
        </w:rPr>
        <w:fldChar w:fldCharType="end"/>
      </w:r>
    </w:p>
    <w:p w14:paraId="4EE3FF84"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31: Total Medi-Cal Participating Behavioral Health Providers in SFY 2014-15, by Service Setting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_Toc459285176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107</w:t>
      </w:r>
      <w:r w:rsidRPr="00866479">
        <w:rPr>
          <w:rFonts w:asciiTheme="minorHAnsi" w:hAnsiTheme="minorHAnsi"/>
          <w:noProof/>
        </w:rPr>
        <w:fldChar w:fldCharType="end"/>
      </w:r>
    </w:p>
    <w:p w14:paraId="1BCE3E0D"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32: Total Medi-Cal Participating Pre- and Post-Natal Obstetric Providers in SFY 2013-14, by Provider Sub-Group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_Toc459285177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108</w:t>
      </w:r>
      <w:r w:rsidRPr="00866479">
        <w:rPr>
          <w:rFonts w:asciiTheme="minorHAnsi" w:hAnsiTheme="minorHAnsi"/>
          <w:noProof/>
        </w:rPr>
        <w:fldChar w:fldCharType="end"/>
      </w:r>
    </w:p>
    <w:p w14:paraId="522F3D0E"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33: Total Medi-Cal Participating Pre- and Post-Natal Obstetric Providers in SFY 2014-15, by Provider Sub-Group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_Toc459285178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108</w:t>
      </w:r>
      <w:r w:rsidRPr="00866479">
        <w:rPr>
          <w:rFonts w:asciiTheme="minorHAnsi" w:hAnsiTheme="minorHAnsi"/>
          <w:noProof/>
        </w:rPr>
        <w:fldChar w:fldCharType="end"/>
      </w:r>
    </w:p>
    <w:p w14:paraId="79463519"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34: Total Medi-Cal Participating Pre- and Post-Obstetric Providers in SFY 2013-14, by Service Setting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_Toc459285179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110</w:t>
      </w:r>
      <w:r w:rsidRPr="00866479">
        <w:rPr>
          <w:rFonts w:asciiTheme="minorHAnsi" w:hAnsiTheme="minorHAnsi"/>
          <w:noProof/>
        </w:rPr>
        <w:fldChar w:fldCharType="end"/>
      </w:r>
    </w:p>
    <w:p w14:paraId="156FF952"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lastRenderedPageBreak/>
        <w:t>Table 35: Total Medi-Cal Participating Pre- and Post-Obstetric Providers in SFY 2014-15, by Service Setting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_Toc459285180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110</w:t>
      </w:r>
      <w:r w:rsidRPr="00866479">
        <w:rPr>
          <w:rFonts w:asciiTheme="minorHAnsi" w:hAnsiTheme="minorHAnsi"/>
          <w:noProof/>
        </w:rPr>
        <w:fldChar w:fldCharType="end"/>
      </w:r>
    </w:p>
    <w:p w14:paraId="03BC6E5F"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36: Total Medi-Cal Participating Home Health Providers in SFY 2013-14,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_Toc459285181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111</w:t>
      </w:r>
      <w:r w:rsidRPr="00866479">
        <w:rPr>
          <w:rFonts w:asciiTheme="minorHAnsi" w:hAnsiTheme="minorHAnsi"/>
          <w:noProof/>
        </w:rPr>
        <w:fldChar w:fldCharType="end"/>
      </w:r>
    </w:p>
    <w:p w14:paraId="6EE2F319"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37: Total Medi-Cal Participating Home Health Providers in SFY 2014-15,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_Toc459285182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111</w:t>
      </w:r>
      <w:r w:rsidRPr="00866479">
        <w:rPr>
          <w:rFonts w:asciiTheme="minorHAnsi" w:hAnsiTheme="minorHAnsi"/>
          <w:noProof/>
        </w:rPr>
        <w:fldChar w:fldCharType="end"/>
      </w:r>
    </w:p>
    <w:p w14:paraId="1394F5F4"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38: Total Medi-Cal Participating Home Health Providers in SFY 2013-14, by Service Setting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_Toc459285183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112</w:t>
      </w:r>
      <w:r w:rsidRPr="00866479">
        <w:rPr>
          <w:rFonts w:asciiTheme="minorHAnsi" w:hAnsiTheme="minorHAnsi"/>
          <w:noProof/>
        </w:rPr>
        <w:fldChar w:fldCharType="end"/>
      </w:r>
    </w:p>
    <w:p w14:paraId="54AC4C75"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39: Total Medi-Cal Participating Home Health Providers in SFY 2014-15, by Service Setting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_Toc459285184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113</w:t>
      </w:r>
      <w:r w:rsidRPr="00866479">
        <w:rPr>
          <w:rFonts w:asciiTheme="minorHAnsi" w:hAnsiTheme="minorHAnsi"/>
          <w:noProof/>
        </w:rPr>
        <w:fldChar w:fldCharType="end"/>
      </w:r>
    </w:p>
    <w:p w14:paraId="70FE14E5"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40: Visit Rates by Service Category, Statewide, Per 1,000 Member Months in SFYs 2012-13, 2013-14 and 2014-15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_Toc459285185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115</w:t>
      </w:r>
      <w:r w:rsidRPr="00866479">
        <w:rPr>
          <w:rFonts w:asciiTheme="minorHAnsi" w:hAnsiTheme="minorHAnsi"/>
          <w:noProof/>
        </w:rPr>
        <w:fldChar w:fldCharType="end"/>
      </w:r>
    </w:p>
    <w:p w14:paraId="5E7480B6"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41: Visit Rates by Service Category and Region Per 1,000 Member Months in SFYs 2012-13, 2013-14 and 2014-15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_Toc459285186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115</w:t>
      </w:r>
      <w:r w:rsidRPr="00866479">
        <w:rPr>
          <w:rFonts w:asciiTheme="minorHAnsi" w:hAnsiTheme="minorHAnsi"/>
          <w:noProof/>
        </w:rPr>
        <w:fldChar w:fldCharType="end"/>
      </w:r>
    </w:p>
    <w:p w14:paraId="367AB922"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42: Visit Rates by Service Category and Age Group Per 1,000 Member Months in SFYs 2012-13, 2013-14 and 2014-15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_Toc459285187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117</w:t>
      </w:r>
      <w:r w:rsidRPr="00866479">
        <w:rPr>
          <w:rFonts w:asciiTheme="minorHAnsi" w:hAnsiTheme="minorHAnsi"/>
          <w:noProof/>
        </w:rPr>
        <w:fldChar w:fldCharType="end"/>
      </w:r>
    </w:p>
    <w:p w14:paraId="1D1D203A"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43: Visit Rates by Service Category and Gender Per 1,000 Member Months in SFYs 2012-13, 2013-14 and 2014-15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_Toc459285188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119</w:t>
      </w:r>
      <w:r w:rsidRPr="00866479">
        <w:rPr>
          <w:rFonts w:asciiTheme="minorHAnsi" w:hAnsiTheme="minorHAnsi"/>
          <w:noProof/>
        </w:rPr>
        <w:fldChar w:fldCharType="end"/>
      </w:r>
    </w:p>
    <w:p w14:paraId="016A0081"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44: Visit Rates by Service Category and Aid Category Per 1,000 Member Months in SFYs 2012-13, 2013-14 and 2014-15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_Toc459285189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120</w:t>
      </w:r>
      <w:r w:rsidRPr="00866479">
        <w:rPr>
          <w:rFonts w:asciiTheme="minorHAnsi" w:hAnsiTheme="minorHAnsi"/>
          <w:noProof/>
        </w:rPr>
        <w:fldChar w:fldCharType="end"/>
      </w:r>
    </w:p>
    <w:p w14:paraId="5AA20783"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45: Visit Rates by Service Category and Race/Ethnicity Per 1,000 Member Months in SFYs 2012-13, 2013-14 and 2014-15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_Toc459285190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121</w:t>
      </w:r>
      <w:r w:rsidRPr="00866479">
        <w:rPr>
          <w:rFonts w:asciiTheme="minorHAnsi" w:hAnsiTheme="minorHAnsi"/>
          <w:noProof/>
        </w:rPr>
        <w:fldChar w:fldCharType="end"/>
      </w:r>
    </w:p>
    <w:p w14:paraId="150724B4"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46: Calls Received from FFS Medi-Cal Beneficiaries in SFYs 2013-14 and 2014-15, by Month</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_Toc459285191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141</w:t>
      </w:r>
      <w:r w:rsidRPr="00866479">
        <w:rPr>
          <w:rFonts w:asciiTheme="minorHAnsi" w:hAnsiTheme="minorHAnsi"/>
          <w:noProof/>
        </w:rPr>
        <w:fldChar w:fldCharType="end"/>
      </w:r>
    </w:p>
    <w:p w14:paraId="4E17D2D9"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47: Calls Received from FFS Medi-Cal Beneficiaries in SFYs 2013-14 and 2014-15, by Geographic Region and Month</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_Toc459285192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145</w:t>
      </w:r>
      <w:r w:rsidRPr="00866479">
        <w:rPr>
          <w:rFonts w:asciiTheme="minorHAnsi" w:hAnsiTheme="minorHAnsi"/>
          <w:noProof/>
        </w:rPr>
        <w:fldChar w:fldCharType="end"/>
      </w:r>
    </w:p>
    <w:p w14:paraId="0300B749"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48: Calls Received from FFS Medi-Cal Beneficiaries in SFYs 2013-14 and 2014-15, by Aid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_Toc459285193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146</w:t>
      </w:r>
      <w:r w:rsidRPr="00866479">
        <w:rPr>
          <w:rFonts w:asciiTheme="minorHAnsi" w:hAnsiTheme="minorHAnsi"/>
          <w:noProof/>
        </w:rPr>
        <w:fldChar w:fldCharType="end"/>
      </w:r>
    </w:p>
    <w:p w14:paraId="4D8426F0"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49: Calls Received from FFS Medi-Cal Beneficiaries in SFYs 2013-14 and 2014-15, by Call Category</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_Toc459285194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147</w:t>
      </w:r>
      <w:r w:rsidRPr="00866479">
        <w:rPr>
          <w:rFonts w:asciiTheme="minorHAnsi" w:hAnsiTheme="minorHAnsi"/>
          <w:noProof/>
        </w:rPr>
        <w:fldChar w:fldCharType="end"/>
      </w:r>
    </w:p>
    <w:p w14:paraId="61D6A09A"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50: Top Three Categories of Calls Received from FFS Medi-Cal Beneficiaries in the Parent/Caretaker Relative &amp; Child Aid Category in SFYs 2013-14 and 2014-15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_Toc459285195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147</w:t>
      </w:r>
      <w:r w:rsidRPr="00866479">
        <w:rPr>
          <w:rFonts w:asciiTheme="minorHAnsi" w:hAnsiTheme="minorHAnsi"/>
          <w:noProof/>
        </w:rPr>
        <w:fldChar w:fldCharType="end"/>
      </w:r>
    </w:p>
    <w:p w14:paraId="01DC1582"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51: Top Three Categories of Calls Received from FFS Medi-Cal Beneficiaries in the Seniors and Persons with Disabilities Aid Category in SFYs 2013-14 and 2014-15</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_Toc459285196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148</w:t>
      </w:r>
      <w:r w:rsidRPr="00866479">
        <w:rPr>
          <w:rFonts w:asciiTheme="minorHAnsi" w:hAnsiTheme="minorHAnsi"/>
          <w:noProof/>
        </w:rPr>
        <w:fldChar w:fldCharType="end"/>
      </w:r>
    </w:p>
    <w:p w14:paraId="7331BC5E"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lastRenderedPageBreak/>
        <w:t>Table 52</w:t>
      </w:r>
      <w:r w:rsidRPr="00866479">
        <w:rPr>
          <w:rFonts w:asciiTheme="minorHAnsi" w:eastAsiaTheme="minorHAnsi" w:hAnsiTheme="minorHAnsi" w:cstheme="minorBidi"/>
          <w:noProof/>
        </w:rPr>
        <w:t>: Denti-Cal Provider Enrollment - Active Offices &amp; Renderers in CY 2014 and 2015, by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_Toc459285197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150</w:t>
      </w:r>
      <w:r w:rsidRPr="00866479">
        <w:rPr>
          <w:rFonts w:asciiTheme="minorHAnsi" w:hAnsiTheme="minorHAnsi"/>
          <w:noProof/>
        </w:rPr>
        <w:fldChar w:fldCharType="end"/>
      </w:r>
    </w:p>
    <w:p w14:paraId="56145F6E"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53</w:t>
      </w:r>
      <w:r w:rsidRPr="00866479">
        <w:rPr>
          <w:rFonts w:asciiTheme="minorHAnsi" w:eastAsiaTheme="minorHAnsi" w:hAnsiTheme="minorHAnsi" w:cstheme="minorBidi"/>
          <w:noProof/>
        </w:rPr>
        <w:t>: Proportion of FFS Medi-Cal Beneficiaries Ages 0-20 Who Received a Preventive Dental Service, Any Dental Service, or a Dental Visit at a Clinic in CY 2014, by Age Group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_Toc459285198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151</w:t>
      </w:r>
      <w:r w:rsidRPr="00866479">
        <w:rPr>
          <w:rFonts w:asciiTheme="minorHAnsi" w:hAnsiTheme="minorHAnsi"/>
          <w:noProof/>
        </w:rPr>
        <w:fldChar w:fldCharType="end"/>
      </w:r>
    </w:p>
    <w:p w14:paraId="669DE47D"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54</w:t>
      </w:r>
      <w:r w:rsidRPr="00866479">
        <w:rPr>
          <w:rFonts w:asciiTheme="minorHAnsi" w:eastAsiaTheme="minorHAnsi" w:hAnsiTheme="minorHAnsi" w:cstheme="minorBidi"/>
          <w:noProof/>
        </w:rPr>
        <w:t>: Proportion of FFS Medi-Cal Beneficiaries Ages 0-20 Who Received a Preventive Dental Service, Any Dental Service, or a Dental Visit at a Clinic in CY 2015, by Age Group and Geographic Region</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_Toc459285199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157</w:t>
      </w:r>
      <w:r w:rsidRPr="00866479">
        <w:rPr>
          <w:rFonts w:asciiTheme="minorHAnsi" w:hAnsiTheme="minorHAnsi"/>
          <w:noProof/>
        </w:rPr>
        <w:fldChar w:fldCharType="end"/>
      </w:r>
    </w:p>
    <w:p w14:paraId="52536DF8"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55</w:t>
      </w:r>
      <w:r w:rsidRPr="00866479">
        <w:rPr>
          <w:rFonts w:asciiTheme="minorHAnsi" w:eastAsiaTheme="minorHAnsi" w:hAnsiTheme="minorHAnsi" w:cstheme="minorBidi"/>
          <w:noProof/>
        </w:rPr>
        <w:t>: Percentage of 25 Most Utilized Denti-Cal Procedures Reimbursement Rates in SFY 2013-2014 in Relation to Other Comparable Medicaid Programs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_Toc459285200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164</w:t>
      </w:r>
      <w:r w:rsidRPr="00866479">
        <w:rPr>
          <w:rFonts w:asciiTheme="minorHAnsi" w:hAnsiTheme="minorHAnsi"/>
          <w:noProof/>
        </w:rPr>
        <w:fldChar w:fldCharType="end"/>
      </w:r>
    </w:p>
    <w:p w14:paraId="65AEA5C6"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56</w:t>
      </w:r>
      <w:r w:rsidRPr="00866479">
        <w:rPr>
          <w:rFonts w:asciiTheme="minorHAnsi" w:eastAsiaTheme="minorHAnsi" w:hAnsiTheme="minorHAnsi" w:cstheme="minorBidi"/>
          <w:noProof/>
        </w:rPr>
        <w:t>: Percentage of 25 Most Utilized Denti-Cal Procedures Reimbursement Rates in SFY 2014-2015 in Relation to Other Comparable Medicaid Programs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_Toc459285201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165</w:t>
      </w:r>
      <w:r w:rsidRPr="00866479">
        <w:rPr>
          <w:rFonts w:asciiTheme="minorHAnsi" w:hAnsiTheme="minorHAnsi"/>
          <w:noProof/>
        </w:rPr>
        <w:fldChar w:fldCharType="end"/>
      </w:r>
    </w:p>
    <w:p w14:paraId="781A7F3C"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57</w:t>
      </w:r>
      <w:r w:rsidRPr="00866479">
        <w:rPr>
          <w:rFonts w:asciiTheme="minorHAnsi" w:eastAsiaTheme="minorHAnsi" w:hAnsiTheme="minorHAnsi" w:cstheme="minorBidi"/>
          <w:noProof/>
        </w:rPr>
        <w:t>: Aggregate Average Medi-Cal Rates as Percentage of Medicare Rates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_Toc459285202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168</w:t>
      </w:r>
      <w:r w:rsidRPr="00866479">
        <w:rPr>
          <w:rFonts w:asciiTheme="minorHAnsi" w:hAnsiTheme="minorHAnsi"/>
          <w:noProof/>
        </w:rPr>
        <w:fldChar w:fldCharType="end"/>
      </w:r>
    </w:p>
    <w:p w14:paraId="2B9006A0"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58</w:t>
      </w:r>
      <w:r w:rsidRPr="00866479">
        <w:rPr>
          <w:rFonts w:asciiTheme="minorHAnsi" w:eastAsiaTheme="minorHAnsi" w:hAnsiTheme="minorHAnsi" w:cstheme="minorBidi"/>
          <w:noProof/>
        </w:rPr>
        <w:t>: County Codes in 2015 by Delivery Type and Dual Status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_Toc459285203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171</w:t>
      </w:r>
      <w:r w:rsidRPr="00866479">
        <w:rPr>
          <w:rFonts w:asciiTheme="minorHAnsi" w:hAnsiTheme="minorHAnsi"/>
          <w:noProof/>
        </w:rPr>
        <w:fldChar w:fldCharType="end"/>
      </w:r>
    </w:p>
    <w:p w14:paraId="4F5AFC45"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59</w:t>
      </w:r>
      <w:r w:rsidRPr="00866479">
        <w:rPr>
          <w:rFonts w:asciiTheme="minorHAnsi" w:eastAsiaTheme="minorHAnsi" w:hAnsiTheme="minorHAnsi" w:cstheme="minorBidi"/>
          <w:noProof/>
        </w:rPr>
        <w:t>: Mandatory Managed Care – An Exemption is Required for Beneficiaries to Stay in FFS – Aid Codes in 2015 by Delivery Type, County, and Dual Status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_Toc459285204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171</w:t>
      </w:r>
      <w:r w:rsidRPr="00866479">
        <w:rPr>
          <w:rFonts w:asciiTheme="minorHAnsi" w:hAnsiTheme="minorHAnsi"/>
          <w:noProof/>
        </w:rPr>
        <w:fldChar w:fldCharType="end"/>
      </w:r>
    </w:p>
    <w:p w14:paraId="708CBC3A"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60</w:t>
      </w:r>
      <w:r w:rsidRPr="00866479">
        <w:rPr>
          <w:rFonts w:asciiTheme="minorHAnsi" w:eastAsiaTheme="minorHAnsi" w:hAnsiTheme="minorHAnsi" w:cstheme="minorBidi"/>
          <w:noProof/>
        </w:rPr>
        <w:t>: Voluntary - Beneficiaries May Choose to Stay in FFS - Aid Codes in 2015 by Delivery Type, County, and Dual Status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_Toc459285205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172</w:t>
      </w:r>
      <w:r w:rsidRPr="00866479">
        <w:rPr>
          <w:rFonts w:asciiTheme="minorHAnsi" w:hAnsiTheme="minorHAnsi"/>
          <w:noProof/>
        </w:rPr>
        <w:fldChar w:fldCharType="end"/>
      </w:r>
    </w:p>
    <w:p w14:paraId="621E031E"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61</w:t>
      </w:r>
      <w:r w:rsidRPr="00866479">
        <w:rPr>
          <w:rFonts w:asciiTheme="minorHAnsi" w:eastAsiaTheme="minorHAnsi" w:hAnsiTheme="minorHAnsi" w:cstheme="minorBidi"/>
          <w:noProof/>
        </w:rPr>
        <w:t>: FFS Only – Beneficiaries are not able to Enroll in Managed Care Plans - Aid Codes in 2015 by Delivery Type, County, and Dual Status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_Toc459285206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173</w:t>
      </w:r>
      <w:r w:rsidRPr="00866479">
        <w:rPr>
          <w:rFonts w:asciiTheme="minorHAnsi" w:hAnsiTheme="minorHAnsi"/>
          <w:noProof/>
        </w:rPr>
        <w:fldChar w:fldCharType="end"/>
      </w:r>
    </w:p>
    <w:p w14:paraId="346A6E17"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62:</w:t>
      </w:r>
      <w:r w:rsidRPr="00866479">
        <w:rPr>
          <w:rFonts w:asciiTheme="minorHAnsi" w:eastAsiaTheme="minorHAnsi" w:hAnsiTheme="minorHAnsi" w:cstheme="minorBidi"/>
          <w:noProof/>
        </w:rPr>
        <w:t xml:space="preserve"> Aid Code Grouping Schema</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_Toc459285207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174</w:t>
      </w:r>
      <w:r w:rsidRPr="00866479">
        <w:rPr>
          <w:rFonts w:asciiTheme="minorHAnsi" w:hAnsiTheme="minorHAnsi"/>
          <w:noProof/>
        </w:rPr>
        <w:fldChar w:fldCharType="end"/>
      </w:r>
    </w:p>
    <w:p w14:paraId="720E3A2D"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63:</w:t>
      </w:r>
      <w:r w:rsidRPr="00866479">
        <w:rPr>
          <w:rFonts w:asciiTheme="minorHAnsi" w:eastAsiaTheme="majorEastAsia" w:hAnsiTheme="minorHAnsi"/>
          <w:noProof/>
        </w:rPr>
        <w:t xml:space="preserve"> Geographic Region Grouping Schema</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_Toc459285208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175</w:t>
      </w:r>
      <w:r w:rsidRPr="00866479">
        <w:rPr>
          <w:rFonts w:asciiTheme="minorHAnsi" w:hAnsiTheme="minorHAnsi"/>
          <w:noProof/>
        </w:rPr>
        <w:fldChar w:fldCharType="end"/>
      </w:r>
    </w:p>
    <w:p w14:paraId="26DAB7AD"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64:</w:t>
      </w:r>
      <w:r w:rsidRPr="00866479">
        <w:rPr>
          <w:rFonts w:asciiTheme="minorHAnsi" w:eastAsiaTheme="majorEastAsia" w:hAnsiTheme="minorHAnsi"/>
          <w:noProof/>
        </w:rPr>
        <w:t xml:space="preserve"> Dental Services’ Geographic Region Grouping Schema</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_Toc459285209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176</w:t>
      </w:r>
      <w:r w:rsidRPr="00866479">
        <w:rPr>
          <w:rFonts w:asciiTheme="minorHAnsi" w:hAnsiTheme="minorHAnsi"/>
          <w:noProof/>
        </w:rPr>
        <w:fldChar w:fldCharType="end"/>
      </w:r>
    </w:p>
    <w:p w14:paraId="2FC52DE8"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65:</w:t>
      </w:r>
      <w:r w:rsidRPr="00866479">
        <w:rPr>
          <w:rFonts w:asciiTheme="minorHAnsi" w:eastAsiaTheme="majorEastAsia" w:hAnsiTheme="minorHAnsi"/>
          <w:noProof/>
        </w:rPr>
        <w:t xml:space="preserve"> Dental Services’ Procedure Code Descriptions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_Toc459285210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177</w:t>
      </w:r>
      <w:r w:rsidRPr="00866479">
        <w:rPr>
          <w:rFonts w:asciiTheme="minorHAnsi" w:hAnsiTheme="minorHAnsi"/>
          <w:noProof/>
        </w:rPr>
        <w:fldChar w:fldCharType="end"/>
      </w:r>
    </w:p>
    <w:p w14:paraId="3A7EF0C1"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hAnsiTheme="minorHAnsi"/>
          <w:noProof/>
        </w:rPr>
        <w:t>Table 66: Description of Provider Types Used in Provider Participation and Service Utilization Measures</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_Toc459285211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178</w:t>
      </w:r>
      <w:r w:rsidRPr="00866479">
        <w:rPr>
          <w:rFonts w:asciiTheme="minorHAnsi" w:hAnsiTheme="minorHAnsi"/>
          <w:noProof/>
        </w:rPr>
        <w:fldChar w:fldCharType="end"/>
      </w:r>
    </w:p>
    <w:p w14:paraId="32E6DCED" w14:textId="77777777" w:rsidR="00BD3F43" w:rsidRPr="00866479" w:rsidRDefault="00BD3F43">
      <w:pPr>
        <w:pStyle w:val="TableofFigures"/>
        <w:tabs>
          <w:tab w:val="right" w:leader="dot" w:pos="9350"/>
        </w:tabs>
        <w:rPr>
          <w:rFonts w:asciiTheme="minorHAnsi" w:eastAsiaTheme="minorEastAsia" w:hAnsiTheme="minorHAnsi" w:cstheme="minorBidi"/>
          <w:noProof/>
        </w:rPr>
      </w:pPr>
      <w:r w:rsidRPr="00866479">
        <w:rPr>
          <w:rFonts w:asciiTheme="minorHAnsi" w:eastAsiaTheme="minorHAnsi" w:hAnsiTheme="minorHAnsi" w:cstheme="minorBidi"/>
          <w:bCs/>
          <w:noProof/>
        </w:rPr>
        <w:t>Table 67: Modified Call Categories Used in Feedback Measure</w:t>
      </w:r>
      <w:r w:rsidRPr="00866479">
        <w:rPr>
          <w:rFonts w:asciiTheme="minorHAnsi" w:hAnsiTheme="minorHAnsi"/>
          <w:noProof/>
        </w:rPr>
        <w:tab/>
      </w:r>
      <w:r w:rsidRPr="00866479">
        <w:rPr>
          <w:rFonts w:asciiTheme="minorHAnsi" w:hAnsiTheme="minorHAnsi"/>
          <w:noProof/>
        </w:rPr>
        <w:fldChar w:fldCharType="begin"/>
      </w:r>
      <w:r w:rsidRPr="00866479">
        <w:rPr>
          <w:rFonts w:asciiTheme="minorHAnsi" w:hAnsiTheme="minorHAnsi"/>
          <w:noProof/>
        </w:rPr>
        <w:instrText xml:space="preserve"> PAGEREF _Toc459285212 \h </w:instrText>
      </w:r>
      <w:r w:rsidRPr="00866479">
        <w:rPr>
          <w:rFonts w:asciiTheme="minorHAnsi" w:hAnsiTheme="minorHAnsi"/>
          <w:noProof/>
        </w:rPr>
      </w:r>
      <w:r w:rsidRPr="00866479">
        <w:rPr>
          <w:rFonts w:asciiTheme="minorHAnsi" w:hAnsiTheme="minorHAnsi"/>
          <w:noProof/>
        </w:rPr>
        <w:fldChar w:fldCharType="separate"/>
      </w:r>
      <w:r w:rsidR="00866479">
        <w:rPr>
          <w:rFonts w:asciiTheme="minorHAnsi" w:hAnsiTheme="minorHAnsi"/>
          <w:noProof/>
        </w:rPr>
        <w:t>181</w:t>
      </w:r>
      <w:r w:rsidRPr="00866479">
        <w:rPr>
          <w:rFonts w:asciiTheme="minorHAnsi" w:hAnsiTheme="minorHAnsi"/>
          <w:noProof/>
        </w:rPr>
        <w:fldChar w:fldCharType="end"/>
      </w:r>
    </w:p>
    <w:p w14:paraId="5DB64E81" w14:textId="77777777" w:rsidR="00B04F0F" w:rsidRDefault="00BD3F43" w:rsidP="00B04F0F">
      <w:pPr>
        <w:pStyle w:val="Heading1"/>
        <w:spacing w:before="0" w:line="276" w:lineRule="auto"/>
      </w:pPr>
      <w:r w:rsidRPr="00866479">
        <w:rPr>
          <w:b w:val="0"/>
          <w:sz w:val="24"/>
          <w:szCs w:val="24"/>
        </w:rPr>
        <w:fldChar w:fldCharType="end"/>
      </w:r>
    </w:p>
    <w:p w14:paraId="35EEA5F9" w14:textId="77777777" w:rsidR="00BD3F43" w:rsidRPr="00BD3F43" w:rsidRDefault="00BD3F43" w:rsidP="00BD3F43"/>
    <w:p w14:paraId="1F6205A5" w14:textId="77777777" w:rsidR="00070296" w:rsidRPr="00105FFC" w:rsidRDefault="00070296" w:rsidP="00D80425">
      <w:pPr>
        <w:spacing w:after="200" w:line="276" w:lineRule="auto"/>
        <w:rPr>
          <w:rFonts w:asciiTheme="minorHAnsi" w:hAnsiTheme="minorHAnsi"/>
        </w:rPr>
      </w:pPr>
      <w:r w:rsidRPr="00105FFC">
        <w:rPr>
          <w:rFonts w:asciiTheme="minorHAnsi" w:hAnsiTheme="minorHAnsi"/>
        </w:rPr>
        <w:br w:type="page"/>
      </w:r>
    </w:p>
    <w:p w14:paraId="0E7F49A9" w14:textId="77777777" w:rsidR="00CE79E8" w:rsidRPr="00105FFC" w:rsidRDefault="00CE79E8" w:rsidP="00CE79E8">
      <w:pPr>
        <w:pStyle w:val="Heading1"/>
        <w:spacing w:before="0"/>
        <w:rPr>
          <w:color w:val="auto"/>
        </w:rPr>
      </w:pPr>
      <w:bookmarkStart w:id="13" w:name="_Toc459287699"/>
      <w:r w:rsidRPr="00105FFC">
        <w:rPr>
          <w:color w:val="auto"/>
        </w:rPr>
        <w:lastRenderedPageBreak/>
        <w:t>Introduction</w:t>
      </w:r>
      <w:bookmarkEnd w:id="13"/>
    </w:p>
    <w:p w14:paraId="44398D25" w14:textId="77777777" w:rsidR="00CE79E8" w:rsidRPr="00105FFC" w:rsidRDefault="00CE79E8" w:rsidP="00CE79E8">
      <w:pPr>
        <w:spacing w:line="276" w:lineRule="auto"/>
        <w:rPr>
          <w:rFonts w:asciiTheme="minorHAnsi" w:hAnsiTheme="minorHAnsi" w:cs="Arial"/>
        </w:rPr>
      </w:pPr>
    </w:p>
    <w:p w14:paraId="6EE8997C" w14:textId="77777777" w:rsidR="003E7629" w:rsidRPr="00105FFC" w:rsidRDefault="00CE79E8" w:rsidP="00CE79E8">
      <w:pPr>
        <w:spacing w:after="120" w:line="276" w:lineRule="auto"/>
        <w:rPr>
          <w:rFonts w:asciiTheme="minorHAnsi" w:hAnsiTheme="minorHAnsi" w:cs="Arial"/>
        </w:rPr>
      </w:pPr>
      <w:r w:rsidRPr="00105FFC">
        <w:rPr>
          <w:rFonts w:asciiTheme="minorHAnsi" w:hAnsiTheme="minorHAnsi" w:cs="Arial"/>
        </w:rPr>
        <w:t xml:space="preserve">California’s Medicaid program, Medi-Cal, provides health care services for millions of low income individuals including families, seniors, and persons with disabilities.  Medicaid was authorized in 1965 </w:t>
      </w:r>
      <w:r w:rsidR="003E7629" w:rsidRPr="00105FFC">
        <w:rPr>
          <w:rFonts w:asciiTheme="minorHAnsi" w:hAnsiTheme="minorHAnsi" w:cs="Arial"/>
        </w:rPr>
        <w:t>and makes federal funds available to participant states that agree to administer their programs in accordance with title XIX of the Social Security Act. The Centers for Medicare &amp; Medicaid Services (CMS) provides federal oversight of state Medicaid programs, and ensures states’ compliance with title XIX requirements through the development, issuance, and enforcement of federal Medicaid regulations</w:t>
      </w:r>
      <w:r w:rsidRPr="00105FFC">
        <w:rPr>
          <w:rFonts w:asciiTheme="minorHAnsi" w:hAnsiTheme="minorHAnsi" w:cs="Arial"/>
        </w:rPr>
        <w:t xml:space="preserve">. </w:t>
      </w:r>
    </w:p>
    <w:p w14:paraId="6C550A1A" w14:textId="77777777" w:rsidR="00CE79E8" w:rsidRPr="00105FFC" w:rsidRDefault="00CF3FF7" w:rsidP="00CE79E8">
      <w:pPr>
        <w:spacing w:after="120" w:line="276" w:lineRule="auto"/>
        <w:rPr>
          <w:rFonts w:asciiTheme="minorHAnsi" w:hAnsiTheme="minorHAnsi"/>
        </w:rPr>
      </w:pPr>
      <w:r w:rsidRPr="00105FFC">
        <w:rPr>
          <w:rFonts w:asciiTheme="minorHAnsi" w:hAnsiTheme="minorHAnsi" w:cs="Arial"/>
        </w:rPr>
        <w:t>In what has become known as the “equal access clause,” section 1902(a)(30)(A) of the Social Security Act requires  states to have in place methods and procedures to  assure that “</w:t>
      </w:r>
      <w:r w:rsidR="00CE79E8" w:rsidRPr="00105FFC">
        <w:rPr>
          <w:rFonts w:asciiTheme="minorHAnsi" w:hAnsiTheme="minorHAnsi" w:cs="Arial"/>
        </w:rPr>
        <w:t>payments are consistent with efficiency, economy, and quality of care and are sufficient to enlist enough providers so that care and services are available under the plan at least to the extent that such care and services are available to the general population in the geographic area.”</w:t>
      </w:r>
      <w:r w:rsidR="00CE79E8" w:rsidRPr="00105FFC">
        <w:rPr>
          <w:rStyle w:val="EndnoteReference"/>
          <w:rFonts w:asciiTheme="minorHAnsi" w:eastAsiaTheme="majorEastAsia" w:hAnsiTheme="minorHAnsi" w:cs="Arial"/>
        </w:rPr>
        <w:endnoteReference w:id="1"/>
      </w:r>
      <w:r w:rsidR="00CE79E8" w:rsidRPr="00105FFC">
        <w:rPr>
          <w:rFonts w:asciiTheme="minorHAnsi" w:hAnsiTheme="minorHAnsi"/>
        </w:rPr>
        <w:t xml:space="preserve">  </w:t>
      </w:r>
    </w:p>
    <w:p w14:paraId="25465B84" w14:textId="77777777" w:rsidR="00CF3FF7" w:rsidRPr="00105FFC" w:rsidRDefault="00CF3FF7" w:rsidP="00CE79E8">
      <w:pPr>
        <w:spacing w:after="120" w:line="276" w:lineRule="auto"/>
        <w:rPr>
          <w:rFonts w:asciiTheme="minorHAnsi" w:hAnsiTheme="minorHAnsi" w:cs="Arial"/>
        </w:rPr>
      </w:pPr>
      <w:r w:rsidRPr="00105FFC">
        <w:rPr>
          <w:rFonts w:asciiTheme="minorHAnsi" w:hAnsiTheme="minorHAnsi" w:cs="Arial"/>
        </w:rPr>
        <w:t>In November of 2015, CMS finalized amendments to  Subpart B of part 447 of title 42 of the Code of Federal Regulations (42 CFR Part 447) (the “final rule”) that address states’ methods for assuring access to covered Medicaid services in Fee-for-Service (FFS) delivery systems</w:t>
      </w:r>
      <w:r w:rsidRPr="00105FFC">
        <w:rPr>
          <w:rStyle w:val="EndnoteReference"/>
          <w:rFonts w:asciiTheme="minorHAnsi" w:eastAsiaTheme="majorEastAsia" w:hAnsiTheme="minorHAnsi" w:cs="Arial"/>
        </w:rPr>
        <w:t xml:space="preserve"> </w:t>
      </w:r>
      <w:r w:rsidRPr="00105FFC">
        <w:rPr>
          <w:rStyle w:val="EndnoteReference"/>
          <w:rFonts w:asciiTheme="minorHAnsi" w:eastAsiaTheme="majorEastAsia" w:hAnsiTheme="minorHAnsi" w:cs="Arial"/>
        </w:rPr>
        <w:endnoteReference w:id="2"/>
      </w:r>
      <w:r w:rsidRPr="00105FFC">
        <w:rPr>
          <w:rFonts w:asciiTheme="minorHAnsi" w:hAnsiTheme="minorHAnsi" w:cs="Arial"/>
        </w:rPr>
        <w:t xml:space="preserve">. These regulations detail a standard process for each state to follow to document compliance with section 1902(a)(30)(A) of the Social Security Act, including the design and development of an access monitoring plan that facilitates analysis of specific health care measures and provider/service payment reviews, both on a recurring basis and under certain circumstances required by federal Medicaid regulation. </w:t>
      </w:r>
      <w:r w:rsidRPr="00105FFC">
        <w:rPr>
          <w:rStyle w:val="EndnoteReference"/>
          <w:rFonts w:asciiTheme="minorHAnsi" w:hAnsiTheme="minorHAnsi" w:cs="Arial"/>
        </w:rPr>
        <w:endnoteReference w:id="3"/>
      </w:r>
      <w:r w:rsidRPr="00105FFC">
        <w:rPr>
          <w:rFonts w:asciiTheme="minorHAnsi" w:hAnsiTheme="minorHAnsi" w:cs="Arial"/>
        </w:rPr>
        <w:t xml:space="preserve"> </w:t>
      </w:r>
    </w:p>
    <w:p w14:paraId="3B5F836A" w14:textId="77777777" w:rsidR="00CE79E8" w:rsidRPr="00105FFC" w:rsidRDefault="00CE79E8" w:rsidP="00CE79E8">
      <w:pPr>
        <w:spacing w:after="120" w:line="276" w:lineRule="auto"/>
        <w:rPr>
          <w:rFonts w:asciiTheme="minorHAnsi" w:hAnsiTheme="minorHAnsi" w:cs="Arial"/>
        </w:rPr>
      </w:pPr>
      <w:r w:rsidRPr="00105FFC">
        <w:rPr>
          <w:rFonts w:asciiTheme="minorHAnsi" w:hAnsiTheme="minorHAnsi"/>
        </w:rPr>
        <w:t xml:space="preserve">The </w:t>
      </w:r>
      <w:r w:rsidRPr="00105FFC">
        <w:rPr>
          <w:rFonts w:asciiTheme="minorHAnsi" w:hAnsiTheme="minorHAnsi" w:cs="Arial"/>
        </w:rPr>
        <w:t xml:space="preserve">California Department of Health Care Services (DHCS) is directly responsible for </w:t>
      </w:r>
      <w:r w:rsidR="00CF3FF7" w:rsidRPr="00105FFC">
        <w:rPr>
          <w:rFonts w:asciiTheme="minorHAnsi" w:hAnsiTheme="minorHAnsi" w:cs="Arial"/>
        </w:rPr>
        <w:t>overseeing</w:t>
      </w:r>
      <w:r w:rsidRPr="00105FFC">
        <w:rPr>
          <w:rFonts w:asciiTheme="minorHAnsi" w:hAnsiTheme="minorHAnsi" w:cs="Arial"/>
        </w:rPr>
        <w:t xml:space="preserve"> access to health care services for Medi-Cal beneficiaries enrolled in California’s FFS delivery system. </w:t>
      </w:r>
      <w:r w:rsidR="0085630F" w:rsidRPr="00105FFC">
        <w:rPr>
          <w:rFonts w:asciiTheme="minorHAnsi" w:hAnsiTheme="minorHAnsi" w:cs="Arial"/>
        </w:rPr>
        <w:t>DHCS developed this monitoring plan in response to the new requirements of 42 CFR Part 447, and to define the systematic and data-driven approach for the ongoing measuring and monitoring access to health care services for individuals participating in Medi-Cal’s traditional FFS delivery system.</w:t>
      </w:r>
      <w:r w:rsidRPr="00105FFC">
        <w:rPr>
          <w:rFonts w:asciiTheme="minorHAnsi" w:hAnsiTheme="minorHAnsi" w:cs="Arial"/>
        </w:rPr>
        <w:t xml:space="preserve"> </w:t>
      </w:r>
    </w:p>
    <w:p w14:paraId="5A415FDC" w14:textId="77777777" w:rsidR="00CE79E8" w:rsidRPr="00105FFC" w:rsidRDefault="00CE79E8" w:rsidP="00CE79E8">
      <w:pPr>
        <w:spacing w:after="120" w:line="276" w:lineRule="auto"/>
        <w:rPr>
          <w:rFonts w:asciiTheme="minorHAnsi" w:hAnsiTheme="minorHAnsi" w:cs="Arial"/>
        </w:rPr>
      </w:pPr>
      <w:r w:rsidRPr="00105FFC">
        <w:rPr>
          <w:rFonts w:asciiTheme="minorHAnsi" w:hAnsiTheme="minorHAnsi" w:cs="Arial"/>
        </w:rPr>
        <w:lastRenderedPageBreak/>
        <w:t>DHCS’ framework for mea</w:t>
      </w:r>
      <w:r w:rsidR="009C614B" w:rsidRPr="00105FFC">
        <w:rPr>
          <w:rFonts w:asciiTheme="minorHAnsi" w:hAnsiTheme="minorHAnsi" w:cs="Arial"/>
        </w:rPr>
        <w:t xml:space="preserve">suring and monitoring access in </w:t>
      </w:r>
      <w:r w:rsidR="007224B1" w:rsidRPr="00105FFC">
        <w:rPr>
          <w:rFonts w:asciiTheme="minorHAnsi" w:hAnsiTheme="minorHAnsi" w:cs="Arial"/>
        </w:rPr>
        <w:t xml:space="preserve">Medi-Cal’s FFS delivery system </w:t>
      </w:r>
      <w:r w:rsidRPr="00105FFC">
        <w:rPr>
          <w:rFonts w:asciiTheme="minorHAnsi" w:hAnsiTheme="minorHAnsi" w:cs="Arial"/>
        </w:rPr>
        <w:t xml:space="preserve">is adapted from a synthesis of several sources, including the </w:t>
      </w:r>
      <w:r w:rsidR="007224B1" w:rsidRPr="00105FFC">
        <w:rPr>
          <w:rFonts w:asciiTheme="minorHAnsi" w:hAnsiTheme="minorHAnsi" w:cs="Arial"/>
        </w:rPr>
        <w:t>Institute of Medicine (</w:t>
      </w:r>
      <w:r w:rsidRPr="00105FFC">
        <w:rPr>
          <w:rFonts w:asciiTheme="minorHAnsi" w:hAnsiTheme="minorHAnsi" w:cs="Arial"/>
        </w:rPr>
        <w:t>IOM</w:t>
      </w:r>
      <w:r w:rsidR="007224B1" w:rsidRPr="00105FFC">
        <w:rPr>
          <w:rFonts w:asciiTheme="minorHAnsi" w:hAnsiTheme="minorHAnsi" w:cs="Arial"/>
        </w:rPr>
        <w:t>)</w:t>
      </w:r>
      <w:r w:rsidRPr="00105FFC">
        <w:rPr>
          <w:rFonts w:asciiTheme="minorHAnsi" w:hAnsiTheme="minorHAnsi" w:cs="Arial"/>
        </w:rPr>
        <w:t>, the Agency for Healthcare Quality and Research</w:t>
      </w:r>
      <w:r w:rsidR="007224B1" w:rsidRPr="00105FFC">
        <w:rPr>
          <w:rFonts w:asciiTheme="minorHAnsi" w:hAnsiTheme="minorHAnsi" w:cs="Arial"/>
        </w:rPr>
        <w:t xml:space="preserve"> (AHRQ)</w:t>
      </w:r>
      <w:r w:rsidRPr="00105FFC">
        <w:rPr>
          <w:rFonts w:asciiTheme="minorHAnsi" w:hAnsiTheme="minorHAnsi" w:cs="Arial"/>
        </w:rPr>
        <w:t>,</w:t>
      </w:r>
      <w:r w:rsidRPr="00105FFC">
        <w:rPr>
          <w:rFonts w:asciiTheme="minorHAnsi" w:hAnsiTheme="minorHAnsi" w:cs="Tahoma"/>
          <w:iCs/>
        </w:rPr>
        <w:t xml:space="preserve"> </w:t>
      </w:r>
      <w:r w:rsidRPr="00105FFC">
        <w:rPr>
          <w:rFonts w:asciiTheme="minorHAnsi" w:hAnsiTheme="minorHAnsi" w:cs="Arial"/>
        </w:rPr>
        <w:t>Congress’ Medicaid and Children’s Health Insurance Program (CHIP) Payment and Access Commission (MACPAC), and the published works of health services researchers.  The framework incorporates the idea that access is the act of linking a population to needed and appropriate health care services.  DHCS’ framework includes the following components:</w:t>
      </w:r>
    </w:p>
    <w:p w14:paraId="19075969" w14:textId="77777777" w:rsidR="00CE79E8" w:rsidRPr="00105FFC" w:rsidRDefault="00CE79E8" w:rsidP="00CE79E8">
      <w:pPr>
        <w:pStyle w:val="ListParagraph"/>
        <w:numPr>
          <w:ilvl w:val="0"/>
          <w:numId w:val="1"/>
        </w:numPr>
        <w:spacing w:after="120" w:line="276" w:lineRule="auto"/>
        <w:rPr>
          <w:rFonts w:asciiTheme="minorHAnsi" w:hAnsiTheme="minorHAnsi" w:cs="Arial"/>
        </w:rPr>
      </w:pPr>
      <w:r w:rsidRPr="00105FFC">
        <w:rPr>
          <w:rFonts w:asciiTheme="minorHAnsi" w:hAnsiTheme="minorHAnsi" w:cs="Arial"/>
        </w:rPr>
        <w:t>Predisposing Characteristics of the Population</w:t>
      </w:r>
    </w:p>
    <w:p w14:paraId="49FDC67E" w14:textId="77777777" w:rsidR="0084562F" w:rsidRPr="00105FFC" w:rsidRDefault="00CE79E8" w:rsidP="008677A6">
      <w:pPr>
        <w:pStyle w:val="ListParagraph"/>
        <w:numPr>
          <w:ilvl w:val="1"/>
          <w:numId w:val="1"/>
        </w:numPr>
        <w:spacing w:after="200" w:line="276" w:lineRule="auto"/>
        <w:rPr>
          <w:rFonts w:asciiTheme="minorHAnsi" w:hAnsiTheme="minorHAnsi" w:cs="Arial"/>
        </w:rPr>
      </w:pPr>
      <w:r w:rsidRPr="00105FFC">
        <w:rPr>
          <w:rFonts w:asciiTheme="minorHAnsi" w:hAnsiTheme="minorHAnsi" w:cs="Arial"/>
        </w:rPr>
        <w:t>A population’s demographic and health composition are important predisposing factors to accessing health care services, and often drive the need for such services.</w:t>
      </w:r>
      <w:r w:rsidRPr="00105FFC">
        <w:rPr>
          <w:rFonts w:asciiTheme="minorHAnsi" w:hAnsiTheme="minorHAnsi" w:cs="Arial"/>
        </w:rPr>
        <w:tab/>
      </w:r>
    </w:p>
    <w:p w14:paraId="27B4B634" w14:textId="77777777" w:rsidR="00CE79E8" w:rsidRPr="00105FFC" w:rsidRDefault="00CE79E8" w:rsidP="00CE79E8">
      <w:pPr>
        <w:pStyle w:val="ListParagraph"/>
        <w:numPr>
          <w:ilvl w:val="0"/>
          <w:numId w:val="1"/>
        </w:numPr>
        <w:spacing w:after="120" w:line="276" w:lineRule="auto"/>
        <w:rPr>
          <w:rFonts w:asciiTheme="minorHAnsi" w:hAnsiTheme="minorHAnsi" w:cs="Arial"/>
        </w:rPr>
      </w:pPr>
      <w:r w:rsidRPr="00105FFC">
        <w:rPr>
          <w:rFonts w:asciiTheme="minorHAnsi" w:hAnsiTheme="minorHAnsi" w:cs="Arial"/>
        </w:rPr>
        <w:t>Enabling or Impeding Factors</w:t>
      </w:r>
    </w:p>
    <w:p w14:paraId="5ABEA7FB" w14:textId="77777777" w:rsidR="00CE79E8" w:rsidRPr="00105FFC" w:rsidRDefault="00CE79E8" w:rsidP="00CE79E8">
      <w:pPr>
        <w:pStyle w:val="ListParagraph"/>
        <w:numPr>
          <w:ilvl w:val="1"/>
          <w:numId w:val="1"/>
        </w:numPr>
        <w:spacing w:after="120" w:line="276" w:lineRule="auto"/>
        <w:rPr>
          <w:rFonts w:asciiTheme="minorHAnsi" w:hAnsiTheme="minorHAnsi" w:cs="Arial"/>
        </w:rPr>
      </w:pPr>
      <w:r w:rsidRPr="00105FFC">
        <w:rPr>
          <w:rFonts w:asciiTheme="minorHAnsi" w:hAnsiTheme="minorHAnsi" w:cs="Arial"/>
        </w:rPr>
        <w:t>Many enabling or impeding factors, including national and state economic and political influences, as well as health system factors, can impact access to FFS Medi-Cal services.</w:t>
      </w:r>
    </w:p>
    <w:p w14:paraId="5F3F1FC6" w14:textId="77777777" w:rsidR="00CE79E8" w:rsidRPr="00105FFC" w:rsidRDefault="00CE79E8" w:rsidP="00CE79E8">
      <w:pPr>
        <w:pStyle w:val="ListParagraph"/>
        <w:numPr>
          <w:ilvl w:val="0"/>
          <w:numId w:val="1"/>
        </w:numPr>
        <w:spacing w:after="120" w:line="276" w:lineRule="auto"/>
        <w:rPr>
          <w:rFonts w:asciiTheme="minorHAnsi" w:hAnsiTheme="minorHAnsi" w:cs="Arial"/>
        </w:rPr>
      </w:pPr>
      <w:r w:rsidRPr="00105FFC">
        <w:rPr>
          <w:rFonts w:asciiTheme="minorHAnsi" w:hAnsiTheme="minorHAnsi" w:cs="Arial"/>
        </w:rPr>
        <w:t>Realized Access</w:t>
      </w:r>
    </w:p>
    <w:p w14:paraId="13B2D5BC" w14:textId="77777777" w:rsidR="00CE79E8" w:rsidRPr="00105FFC" w:rsidRDefault="00CE79E8" w:rsidP="00CE79E8">
      <w:pPr>
        <w:pStyle w:val="ListParagraph"/>
        <w:numPr>
          <w:ilvl w:val="1"/>
          <w:numId w:val="1"/>
        </w:numPr>
        <w:spacing w:after="120" w:line="276" w:lineRule="auto"/>
        <w:rPr>
          <w:rFonts w:asciiTheme="minorHAnsi" w:hAnsiTheme="minorHAnsi" w:cs="Arial"/>
        </w:rPr>
      </w:pPr>
      <w:r w:rsidRPr="00105FFC">
        <w:rPr>
          <w:rFonts w:asciiTheme="minorHAnsi" w:hAnsiTheme="minorHAnsi" w:cs="Arial"/>
        </w:rPr>
        <w:t>The appropriate and timely use of health care services is included in the model as outputs or evidence that health care access was realized.</w:t>
      </w:r>
    </w:p>
    <w:p w14:paraId="4EBE48DD" w14:textId="77777777" w:rsidR="007224B1" w:rsidRPr="00105FFC" w:rsidRDefault="00CE79E8" w:rsidP="007224B1">
      <w:pPr>
        <w:spacing w:after="120" w:line="276" w:lineRule="auto"/>
        <w:rPr>
          <w:rFonts w:asciiTheme="minorHAnsi" w:hAnsiTheme="minorHAnsi" w:cs="Arial"/>
        </w:rPr>
      </w:pPr>
      <w:r w:rsidRPr="00105FFC">
        <w:rPr>
          <w:rFonts w:asciiTheme="minorHAnsi" w:hAnsiTheme="minorHAnsi"/>
        </w:rPr>
        <w:t xml:space="preserve">Based on these components, DHCS identified </w:t>
      </w:r>
      <w:r w:rsidR="007224B1" w:rsidRPr="00105FFC">
        <w:rPr>
          <w:rFonts w:asciiTheme="minorHAnsi" w:hAnsiTheme="minorHAnsi"/>
        </w:rPr>
        <w:t>evaluation domains</w:t>
      </w:r>
      <w:r w:rsidRPr="00105FFC">
        <w:rPr>
          <w:rFonts w:asciiTheme="minorHAnsi" w:hAnsiTheme="minorHAnsi"/>
        </w:rPr>
        <w:t xml:space="preserve"> focused on beneficiary participation, provider availability, and service utilization.  </w:t>
      </w:r>
      <w:r w:rsidR="007224B1" w:rsidRPr="00105FFC">
        <w:rPr>
          <w:rFonts w:asciiTheme="minorHAnsi" w:hAnsiTheme="minorHAnsi" w:cs="Arial"/>
        </w:rPr>
        <w:t>DHCS’ access monitoring process will be divided into seven domains:</w:t>
      </w:r>
    </w:p>
    <w:p w14:paraId="74FE2FA2" w14:textId="77777777" w:rsidR="007224B1" w:rsidRPr="00105FFC" w:rsidRDefault="007224B1" w:rsidP="007224B1">
      <w:pPr>
        <w:pStyle w:val="ListParagraph"/>
        <w:numPr>
          <w:ilvl w:val="0"/>
          <w:numId w:val="19"/>
        </w:numPr>
        <w:spacing w:after="120" w:line="276" w:lineRule="auto"/>
        <w:contextualSpacing/>
        <w:rPr>
          <w:rFonts w:asciiTheme="minorHAnsi" w:hAnsiTheme="minorHAnsi"/>
        </w:rPr>
      </w:pPr>
      <w:r w:rsidRPr="00105FFC">
        <w:rPr>
          <w:rFonts w:asciiTheme="minorHAnsi" w:hAnsiTheme="minorHAnsi"/>
        </w:rPr>
        <w:t>Beneficiary Participation,</w:t>
      </w:r>
    </w:p>
    <w:p w14:paraId="56764286" w14:textId="77777777" w:rsidR="007224B1" w:rsidRPr="00105FFC" w:rsidRDefault="007224B1" w:rsidP="007224B1">
      <w:pPr>
        <w:pStyle w:val="ListParagraph"/>
        <w:numPr>
          <w:ilvl w:val="0"/>
          <w:numId w:val="19"/>
        </w:numPr>
        <w:spacing w:after="120" w:line="276" w:lineRule="auto"/>
        <w:contextualSpacing/>
        <w:rPr>
          <w:rFonts w:asciiTheme="minorHAnsi" w:hAnsiTheme="minorHAnsi"/>
        </w:rPr>
      </w:pPr>
      <w:r w:rsidRPr="00105FFC">
        <w:rPr>
          <w:rFonts w:asciiTheme="minorHAnsi" w:hAnsiTheme="minorHAnsi"/>
        </w:rPr>
        <w:t>Provider Participation,</w:t>
      </w:r>
    </w:p>
    <w:p w14:paraId="11E30572" w14:textId="77777777" w:rsidR="007224B1" w:rsidRPr="00105FFC" w:rsidRDefault="007224B1" w:rsidP="007224B1">
      <w:pPr>
        <w:pStyle w:val="ListParagraph"/>
        <w:numPr>
          <w:ilvl w:val="0"/>
          <w:numId w:val="19"/>
        </w:numPr>
        <w:spacing w:after="120" w:line="276" w:lineRule="auto"/>
        <w:contextualSpacing/>
        <w:rPr>
          <w:rFonts w:asciiTheme="minorHAnsi" w:hAnsiTheme="minorHAnsi"/>
        </w:rPr>
      </w:pPr>
      <w:r w:rsidRPr="00105FFC">
        <w:rPr>
          <w:rFonts w:asciiTheme="minorHAnsi" w:hAnsiTheme="minorHAnsi"/>
        </w:rPr>
        <w:t>Realized Access (Service Utilization),</w:t>
      </w:r>
    </w:p>
    <w:p w14:paraId="4D549611" w14:textId="77777777" w:rsidR="007224B1" w:rsidRPr="00105FFC" w:rsidRDefault="007224B1" w:rsidP="007224B1">
      <w:pPr>
        <w:pStyle w:val="ListParagraph"/>
        <w:numPr>
          <w:ilvl w:val="0"/>
          <w:numId w:val="19"/>
        </w:numPr>
        <w:spacing w:after="120" w:line="276" w:lineRule="auto"/>
        <w:contextualSpacing/>
        <w:rPr>
          <w:rFonts w:asciiTheme="minorHAnsi" w:hAnsiTheme="minorHAnsi"/>
        </w:rPr>
      </w:pPr>
      <w:r w:rsidRPr="00105FFC">
        <w:rPr>
          <w:rFonts w:asciiTheme="minorHAnsi" w:hAnsiTheme="minorHAnsi"/>
        </w:rPr>
        <w:t>Obstetric Services and Births Outcomes,</w:t>
      </w:r>
    </w:p>
    <w:p w14:paraId="410DF819" w14:textId="77777777" w:rsidR="007224B1" w:rsidRPr="00105FFC" w:rsidRDefault="007224B1" w:rsidP="007224B1">
      <w:pPr>
        <w:pStyle w:val="ListParagraph"/>
        <w:numPr>
          <w:ilvl w:val="0"/>
          <w:numId w:val="19"/>
        </w:numPr>
        <w:spacing w:after="120" w:line="276" w:lineRule="auto"/>
        <w:contextualSpacing/>
        <w:rPr>
          <w:rFonts w:asciiTheme="minorHAnsi" w:hAnsiTheme="minorHAnsi"/>
        </w:rPr>
      </w:pPr>
      <w:r w:rsidRPr="00105FFC">
        <w:rPr>
          <w:rFonts w:asciiTheme="minorHAnsi" w:hAnsiTheme="minorHAnsi"/>
        </w:rPr>
        <w:t>Feedback,</w:t>
      </w:r>
    </w:p>
    <w:p w14:paraId="4FF39C77" w14:textId="77777777" w:rsidR="007224B1" w:rsidRPr="00105FFC" w:rsidRDefault="007224B1" w:rsidP="007224B1">
      <w:pPr>
        <w:pStyle w:val="ListParagraph"/>
        <w:numPr>
          <w:ilvl w:val="0"/>
          <w:numId w:val="19"/>
        </w:numPr>
        <w:spacing w:after="120" w:line="276" w:lineRule="auto"/>
        <w:contextualSpacing/>
        <w:rPr>
          <w:rFonts w:asciiTheme="minorHAnsi" w:hAnsiTheme="minorHAnsi"/>
        </w:rPr>
      </w:pPr>
      <w:r w:rsidRPr="00105FFC">
        <w:rPr>
          <w:rFonts w:asciiTheme="minorHAnsi" w:hAnsiTheme="minorHAnsi"/>
        </w:rPr>
        <w:t>Dental, and</w:t>
      </w:r>
    </w:p>
    <w:p w14:paraId="4FC662B6" w14:textId="77777777" w:rsidR="007224B1" w:rsidRPr="00105FFC" w:rsidRDefault="007224B1" w:rsidP="007224B1">
      <w:pPr>
        <w:pStyle w:val="ListParagraph"/>
        <w:numPr>
          <w:ilvl w:val="0"/>
          <w:numId w:val="19"/>
        </w:numPr>
        <w:spacing w:after="120" w:line="276" w:lineRule="auto"/>
        <w:contextualSpacing/>
        <w:rPr>
          <w:rFonts w:asciiTheme="minorHAnsi" w:hAnsiTheme="minorHAnsi"/>
        </w:rPr>
      </w:pPr>
      <w:r w:rsidRPr="00105FFC">
        <w:rPr>
          <w:rFonts w:asciiTheme="minorHAnsi" w:hAnsiTheme="minorHAnsi"/>
        </w:rPr>
        <w:t>Provider Reimbursement Rates.</w:t>
      </w:r>
    </w:p>
    <w:p w14:paraId="08C5C606" w14:textId="77777777" w:rsidR="00CE79E8" w:rsidRPr="00105FFC" w:rsidRDefault="007224B1" w:rsidP="00CE79E8">
      <w:pPr>
        <w:spacing w:after="120" w:line="276" w:lineRule="auto"/>
        <w:rPr>
          <w:rFonts w:asciiTheme="minorHAnsi" w:hAnsiTheme="minorHAnsi" w:cs="Arial"/>
        </w:rPr>
      </w:pPr>
      <w:r w:rsidRPr="00105FFC">
        <w:rPr>
          <w:rFonts w:asciiTheme="minorHAnsi" w:hAnsiTheme="minorHAnsi"/>
        </w:rPr>
        <w:lastRenderedPageBreak/>
        <w:t>T</w:t>
      </w:r>
      <w:r w:rsidR="00CE79E8" w:rsidRPr="00105FFC">
        <w:rPr>
          <w:rFonts w:asciiTheme="minorHAnsi" w:hAnsiTheme="minorHAnsi"/>
        </w:rPr>
        <w:t xml:space="preserve">hese core </w:t>
      </w:r>
      <w:r w:rsidRPr="00105FFC">
        <w:rPr>
          <w:rFonts w:asciiTheme="minorHAnsi" w:hAnsiTheme="minorHAnsi"/>
        </w:rPr>
        <w:t>domains</w:t>
      </w:r>
      <w:r w:rsidR="00CE79E8" w:rsidRPr="00105FFC">
        <w:rPr>
          <w:rFonts w:asciiTheme="minorHAnsi" w:hAnsiTheme="minorHAnsi"/>
        </w:rPr>
        <w:t xml:space="preserve"> were selected to provide a </w:t>
      </w:r>
      <w:r w:rsidR="00D45FC7" w:rsidRPr="00105FFC">
        <w:rPr>
          <w:rFonts w:asciiTheme="minorHAnsi" w:hAnsiTheme="minorHAnsi"/>
        </w:rPr>
        <w:t xml:space="preserve">broad </w:t>
      </w:r>
      <w:r w:rsidR="00CE79E8" w:rsidRPr="00105FFC">
        <w:rPr>
          <w:rFonts w:asciiTheme="minorHAnsi" w:hAnsiTheme="minorHAnsi"/>
        </w:rPr>
        <w:t xml:space="preserve">picture of health care access in Medi-Cal’s FFS delivery system, while taking into account the limitations of readily available data sources, the time required for reporting, and the unique administrative characteristics of the FFS Medi-Cal population. </w:t>
      </w:r>
      <w:r w:rsidR="00CE79E8" w:rsidRPr="00105FFC">
        <w:rPr>
          <w:rFonts w:asciiTheme="minorHAnsi" w:hAnsiTheme="minorHAnsi" w:cs="Arial"/>
        </w:rPr>
        <w:t xml:space="preserve">The set of </w:t>
      </w:r>
      <w:r w:rsidRPr="00105FFC">
        <w:rPr>
          <w:rFonts w:asciiTheme="minorHAnsi" w:hAnsiTheme="minorHAnsi" w:cs="Arial"/>
        </w:rPr>
        <w:t>domains and analyses</w:t>
      </w:r>
      <w:r w:rsidR="00CE79E8" w:rsidRPr="00105FFC">
        <w:rPr>
          <w:rFonts w:asciiTheme="minorHAnsi" w:hAnsiTheme="minorHAnsi" w:cs="Arial"/>
        </w:rPr>
        <w:t xml:space="preserve"> identified in this document will be used to track trends and identify any access deficiencies in FFS</w:t>
      </w:r>
      <w:bookmarkStart w:id="14" w:name="_Toc305586781"/>
      <w:r w:rsidR="00CE79E8" w:rsidRPr="00105FFC">
        <w:rPr>
          <w:rFonts w:asciiTheme="minorHAnsi" w:hAnsiTheme="minorHAnsi" w:cs="Arial"/>
        </w:rPr>
        <w:t xml:space="preserve"> Medi-Cal moving forward.</w:t>
      </w:r>
    </w:p>
    <w:p w14:paraId="264A88DB" w14:textId="77777777" w:rsidR="00B43BB5" w:rsidRDefault="00B43BB5">
      <w:pPr>
        <w:spacing w:after="200" w:line="276" w:lineRule="auto"/>
        <w:rPr>
          <w:rFonts w:asciiTheme="minorHAnsi" w:eastAsiaTheme="majorEastAsia" w:hAnsiTheme="minorHAnsi" w:cstheme="majorBidi"/>
          <w:b/>
          <w:bCs/>
          <w:sz w:val="36"/>
          <w:szCs w:val="28"/>
        </w:rPr>
      </w:pPr>
      <w:r>
        <w:br w:type="page"/>
      </w:r>
    </w:p>
    <w:p w14:paraId="147107A3" w14:textId="77777777" w:rsidR="00CE79E8" w:rsidRPr="00105FFC" w:rsidRDefault="00CE79E8" w:rsidP="00CE79E8">
      <w:pPr>
        <w:pStyle w:val="Heading1"/>
        <w:spacing w:before="0" w:after="120" w:line="276" w:lineRule="auto"/>
        <w:rPr>
          <w:color w:val="auto"/>
        </w:rPr>
      </w:pPr>
      <w:bookmarkStart w:id="15" w:name="_Toc459287700"/>
      <w:r w:rsidRPr="00105FFC">
        <w:rPr>
          <w:color w:val="auto"/>
        </w:rPr>
        <w:lastRenderedPageBreak/>
        <w:t>Background</w:t>
      </w:r>
      <w:bookmarkEnd w:id="15"/>
    </w:p>
    <w:p w14:paraId="4F3EB608" w14:textId="77777777" w:rsidR="00CE79E8" w:rsidRPr="00105FFC" w:rsidRDefault="00CE79E8" w:rsidP="00407F20">
      <w:pPr>
        <w:pStyle w:val="Heading2"/>
        <w:spacing w:before="0" w:line="276" w:lineRule="auto"/>
        <w:rPr>
          <w:rFonts w:asciiTheme="minorHAnsi" w:hAnsiTheme="minorHAnsi"/>
          <w:color w:val="auto"/>
        </w:rPr>
      </w:pPr>
      <w:bookmarkStart w:id="16" w:name="_Toc459287701"/>
      <w:r w:rsidRPr="00105FFC">
        <w:rPr>
          <w:rFonts w:asciiTheme="minorHAnsi" w:hAnsiTheme="minorHAnsi"/>
          <w:color w:val="auto"/>
        </w:rPr>
        <w:t xml:space="preserve">Access </w:t>
      </w:r>
      <w:r w:rsidR="003F7154" w:rsidRPr="00105FFC">
        <w:rPr>
          <w:rFonts w:asciiTheme="minorHAnsi" w:hAnsiTheme="minorHAnsi"/>
          <w:color w:val="auto"/>
        </w:rPr>
        <w:t>Monitoring and Documentation</w:t>
      </w:r>
      <w:r w:rsidRPr="00105FFC">
        <w:rPr>
          <w:rFonts w:asciiTheme="minorHAnsi" w:hAnsiTheme="minorHAnsi"/>
          <w:color w:val="auto"/>
        </w:rPr>
        <w:t xml:space="preserve"> Requirements</w:t>
      </w:r>
      <w:bookmarkEnd w:id="16"/>
    </w:p>
    <w:p w14:paraId="33DA2520" w14:textId="77777777" w:rsidR="00407F20" w:rsidRPr="00105FFC" w:rsidRDefault="00407F20" w:rsidP="00407F20">
      <w:pPr>
        <w:spacing w:line="276" w:lineRule="auto"/>
        <w:ind w:left="720" w:hanging="720"/>
        <w:rPr>
          <w:rFonts w:asciiTheme="minorHAnsi" w:hAnsiTheme="minorHAnsi"/>
        </w:rPr>
      </w:pPr>
    </w:p>
    <w:p w14:paraId="52CF1CC2" w14:textId="77777777" w:rsidR="00CE79E8" w:rsidRPr="00105FFC" w:rsidRDefault="00CE79E8" w:rsidP="00407F20">
      <w:pPr>
        <w:spacing w:after="120" w:line="276" w:lineRule="auto"/>
        <w:rPr>
          <w:rFonts w:asciiTheme="minorHAnsi" w:hAnsiTheme="minorHAnsi"/>
        </w:rPr>
      </w:pPr>
      <w:r w:rsidRPr="00105FFC">
        <w:rPr>
          <w:rFonts w:asciiTheme="minorHAnsi" w:hAnsiTheme="minorHAnsi"/>
        </w:rPr>
        <w:t>DHCS developed this monitoring plan in response to CMS’ new</w:t>
      </w:r>
      <w:r w:rsidR="00407F20" w:rsidRPr="00105FFC">
        <w:rPr>
          <w:rFonts w:asciiTheme="minorHAnsi" w:hAnsiTheme="minorHAnsi"/>
        </w:rPr>
        <w:t xml:space="preserve"> requirements for states’ d</w:t>
      </w:r>
      <w:r w:rsidRPr="00105FFC">
        <w:rPr>
          <w:rFonts w:asciiTheme="minorHAnsi" w:hAnsiTheme="minorHAnsi"/>
        </w:rPr>
        <w:t xml:space="preserve">ocumentation of access to care and service payment rates. </w:t>
      </w:r>
      <w:r w:rsidR="003F7154" w:rsidRPr="00105FFC">
        <w:rPr>
          <w:rFonts w:asciiTheme="minorHAnsi" w:hAnsiTheme="minorHAnsi"/>
        </w:rPr>
        <w:t xml:space="preserve">In November 2015, CMS released its final rule with a comment period along with a related request for information (RFI) on access to care under Medicaid FFS.  The final rule primarily focuses on what states must do to document and report their approach to monitoring access to care in FFS delivery.  </w:t>
      </w:r>
      <w:r w:rsidRPr="00105FFC">
        <w:rPr>
          <w:rFonts w:asciiTheme="minorHAnsi" w:hAnsiTheme="minorHAnsi"/>
        </w:rPr>
        <w:t xml:space="preserve"> These new requirements necessitate the design and development of an</w:t>
      </w:r>
      <w:r w:rsidR="00407F20" w:rsidRPr="00105FFC">
        <w:rPr>
          <w:rFonts w:asciiTheme="minorHAnsi" w:hAnsiTheme="minorHAnsi"/>
        </w:rPr>
        <w:t xml:space="preserve"> </w:t>
      </w:r>
      <w:r w:rsidRPr="00105FFC">
        <w:rPr>
          <w:rFonts w:asciiTheme="minorHAnsi" w:hAnsiTheme="minorHAnsi"/>
        </w:rPr>
        <w:t xml:space="preserve">access </w:t>
      </w:r>
      <w:r w:rsidR="00E30C36" w:rsidRPr="00105FFC">
        <w:rPr>
          <w:rFonts w:asciiTheme="minorHAnsi" w:hAnsiTheme="minorHAnsi"/>
        </w:rPr>
        <w:t>monitoring</w:t>
      </w:r>
      <w:r w:rsidRPr="00105FFC">
        <w:rPr>
          <w:rFonts w:asciiTheme="minorHAnsi" w:hAnsiTheme="minorHAnsi"/>
        </w:rPr>
        <w:t xml:space="preserve"> plan</w:t>
      </w:r>
      <w:r w:rsidR="00E30C36" w:rsidRPr="00105FFC">
        <w:rPr>
          <w:rFonts w:asciiTheme="minorHAnsi" w:hAnsiTheme="minorHAnsi"/>
        </w:rPr>
        <w:t>, in addition the final rule requires states to establish procedures to review the effects on beneficiary access of proposed rate reductions and payment restructuring</w:t>
      </w:r>
      <w:r w:rsidRPr="00105FFC">
        <w:rPr>
          <w:rFonts w:asciiTheme="minorHAnsi" w:hAnsiTheme="minorHAnsi"/>
        </w:rPr>
        <w:t>.</w:t>
      </w:r>
    </w:p>
    <w:p w14:paraId="6E8F1A09" w14:textId="77777777" w:rsidR="00CE79E8" w:rsidRPr="00105FFC" w:rsidRDefault="00CE79E8" w:rsidP="00CE79E8">
      <w:pPr>
        <w:pStyle w:val="Heading3"/>
        <w:spacing w:before="0" w:after="120" w:line="276" w:lineRule="auto"/>
      </w:pPr>
      <w:bookmarkStart w:id="17" w:name="_Toc459287702"/>
      <w:r w:rsidRPr="00105FFC">
        <w:rPr>
          <w:rStyle w:val="Heading3Char"/>
          <w:color w:val="auto"/>
        </w:rPr>
        <w:t>Summary of Access Monitoring Plan Requirement</w:t>
      </w:r>
      <w:r w:rsidRPr="00105FFC">
        <w:rPr>
          <w:color w:val="auto"/>
        </w:rPr>
        <w:t>s</w:t>
      </w:r>
      <w:bookmarkEnd w:id="17"/>
    </w:p>
    <w:p w14:paraId="02E6CA21" w14:textId="77777777" w:rsidR="00CE79E8" w:rsidRPr="00105FFC" w:rsidRDefault="00CE79E8" w:rsidP="00CE79E8">
      <w:pPr>
        <w:spacing w:after="120" w:line="276" w:lineRule="auto"/>
        <w:rPr>
          <w:rFonts w:asciiTheme="minorHAnsi" w:hAnsiTheme="minorHAnsi" w:cs="Tahoma"/>
          <w:iCs/>
        </w:rPr>
      </w:pPr>
      <w:r w:rsidRPr="00105FFC">
        <w:rPr>
          <w:rFonts w:asciiTheme="minorHAnsi" w:hAnsiTheme="minorHAnsi" w:cs="Tahoma"/>
          <w:iCs/>
        </w:rPr>
        <w:t xml:space="preserve">CMS requires </w:t>
      </w:r>
      <w:r w:rsidR="00E30C36" w:rsidRPr="00105FFC">
        <w:rPr>
          <w:rFonts w:asciiTheme="minorHAnsi" w:hAnsiTheme="minorHAnsi" w:cs="Tahoma"/>
          <w:iCs/>
        </w:rPr>
        <w:t xml:space="preserve">that the access monitoring plan </w:t>
      </w:r>
      <w:r w:rsidRPr="00105FFC">
        <w:rPr>
          <w:rFonts w:asciiTheme="minorHAnsi" w:hAnsiTheme="minorHAnsi" w:cs="Tahoma"/>
          <w:iCs/>
        </w:rPr>
        <w:t>address</w:t>
      </w:r>
      <w:r w:rsidR="00E30C36" w:rsidRPr="00105FFC">
        <w:rPr>
          <w:rFonts w:asciiTheme="minorHAnsi" w:hAnsiTheme="minorHAnsi" w:cs="Tahoma"/>
          <w:iCs/>
        </w:rPr>
        <w:t xml:space="preserve"> and consider</w:t>
      </w:r>
      <w:r w:rsidRPr="00105FFC">
        <w:rPr>
          <w:rFonts w:asciiTheme="minorHAnsi" w:hAnsiTheme="minorHAnsi" w:cs="Tahoma"/>
          <w:iCs/>
        </w:rPr>
        <w:t xml:space="preserve"> the following elements: </w:t>
      </w:r>
    </w:p>
    <w:p w14:paraId="6AE4F508" w14:textId="77777777" w:rsidR="00CE79E8" w:rsidRPr="00105FFC" w:rsidRDefault="00CE79E8" w:rsidP="00CE79E8">
      <w:pPr>
        <w:numPr>
          <w:ilvl w:val="0"/>
          <w:numId w:val="6"/>
        </w:numPr>
        <w:spacing w:after="120" w:line="276" w:lineRule="auto"/>
        <w:contextualSpacing/>
        <w:rPr>
          <w:rFonts w:asciiTheme="minorHAnsi" w:hAnsiTheme="minorHAnsi" w:cs="Tahoma"/>
          <w:iCs/>
        </w:rPr>
      </w:pPr>
      <w:r w:rsidRPr="00105FFC">
        <w:rPr>
          <w:rFonts w:asciiTheme="minorHAnsi" w:hAnsiTheme="minorHAnsi" w:cs="Tahoma"/>
          <w:iCs/>
        </w:rPr>
        <w:t>Needs of the enrollees,</w:t>
      </w:r>
    </w:p>
    <w:p w14:paraId="6C9911B7" w14:textId="77777777" w:rsidR="00CE79E8" w:rsidRPr="00105FFC" w:rsidRDefault="00CC3D97" w:rsidP="00CE79E8">
      <w:pPr>
        <w:numPr>
          <w:ilvl w:val="0"/>
          <w:numId w:val="6"/>
        </w:numPr>
        <w:spacing w:after="120" w:line="276" w:lineRule="auto"/>
        <w:contextualSpacing/>
        <w:rPr>
          <w:rFonts w:asciiTheme="minorHAnsi" w:hAnsiTheme="minorHAnsi" w:cs="Tahoma"/>
          <w:iCs/>
        </w:rPr>
      </w:pPr>
      <w:r w:rsidRPr="00105FFC">
        <w:rPr>
          <w:rFonts w:asciiTheme="minorHAnsi" w:hAnsiTheme="minorHAnsi" w:cs="Tahoma"/>
          <w:iCs/>
        </w:rPr>
        <w:t>Availability of providers,</w:t>
      </w:r>
    </w:p>
    <w:p w14:paraId="47499A48" w14:textId="77777777" w:rsidR="00CE79E8" w:rsidRPr="00105FFC" w:rsidRDefault="00CE79E8" w:rsidP="0084562F">
      <w:pPr>
        <w:numPr>
          <w:ilvl w:val="0"/>
          <w:numId w:val="6"/>
        </w:numPr>
        <w:spacing w:line="276" w:lineRule="auto"/>
        <w:contextualSpacing/>
        <w:rPr>
          <w:rFonts w:asciiTheme="minorHAnsi" w:hAnsiTheme="minorHAnsi" w:cs="Tahoma"/>
          <w:iCs/>
        </w:rPr>
      </w:pPr>
      <w:r w:rsidRPr="00105FFC">
        <w:rPr>
          <w:rFonts w:asciiTheme="minorHAnsi" w:hAnsiTheme="minorHAnsi" w:cs="Tahoma"/>
          <w:iCs/>
        </w:rPr>
        <w:t>Changes in beneficiary utilization of covered servi</w:t>
      </w:r>
      <w:r w:rsidR="00CC3D97" w:rsidRPr="00105FFC">
        <w:rPr>
          <w:rFonts w:asciiTheme="minorHAnsi" w:hAnsiTheme="minorHAnsi" w:cs="Tahoma"/>
          <w:iCs/>
        </w:rPr>
        <w:t>ces,</w:t>
      </w:r>
    </w:p>
    <w:p w14:paraId="6DB09F49" w14:textId="77777777" w:rsidR="00E30C36" w:rsidRPr="00105FFC" w:rsidRDefault="00E30C36" w:rsidP="00E30C36">
      <w:pPr>
        <w:numPr>
          <w:ilvl w:val="0"/>
          <w:numId w:val="6"/>
        </w:numPr>
        <w:spacing w:after="120" w:line="276" w:lineRule="auto"/>
        <w:contextualSpacing/>
        <w:rPr>
          <w:rFonts w:asciiTheme="minorHAnsi" w:hAnsiTheme="minorHAnsi" w:cs="Tahoma"/>
          <w:iCs/>
        </w:rPr>
      </w:pPr>
      <w:r w:rsidRPr="00105FFC">
        <w:rPr>
          <w:rFonts w:asciiTheme="minorHAnsi" w:hAnsiTheme="minorHAnsi" w:cs="Tahoma"/>
          <w:iCs/>
        </w:rPr>
        <w:t>Characteristics of the Medi-Cal beneficiary population; and</w:t>
      </w:r>
    </w:p>
    <w:p w14:paraId="2BDB9946" w14:textId="77777777" w:rsidR="00E30C36" w:rsidRPr="00105FFC" w:rsidRDefault="00E30C36" w:rsidP="00E30C36">
      <w:pPr>
        <w:numPr>
          <w:ilvl w:val="0"/>
          <w:numId w:val="6"/>
        </w:numPr>
        <w:spacing w:after="120" w:line="276" w:lineRule="auto"/>
        <w:contextualSpacing/>
        <w:rPr>
          <w:rFonts w:asciiTheme="minorHAnsi" w:hAnsiTheme="minorHAnsi" w:cs="Tahoma"/>
          <w:iCs/>
        </w:rPr>
      </w:pPr>
      <w:r w:rsidRPr="00105FFC">
        <w:rPr>
          <w:rFonts w:asciiTheme="minorHAnsi" w:hAnsiTheme="minorHAnsi" w:cs="Tahoma"/>
          <w:iCs/>
        </w:rPr>
        <w:t>Service payment information.</w:t>
      </w:r>
    </w:p>
    <w:p w14:paraId="2293DFAF" w14:textId="77777777" w:rsidR="00174757" w:rsidRPr="00105FFC" w:rsidRDefault="00174757" w:rsidP="0084562F">
      <w:pPr>
        <w:spacing w:line="276" w:lineRule="auto"/>
        <w:rPr>
          <w:rFonts w:asciiTheme="minorHAnsi" w:hAnsiTheme="minorHAnsi" w:cs="Tahoma"/>
          <w:iCs/>
        </w:rPr>
      </w:pPr>
    </w:p>
    <w:p w14:paraId="1DF8FA78" w14:textId="77777777" w:rsidR="00CE79E8" w:rsidRPr="00105FFC" w:rsidRDefault="00CE79E8" w:rsidP="00CE79E8">
      <w:pPr>
        <w:spacing w:after="120" w:line="276" w:lineRule="auto"/>
        <w:rPr>
          <w:rFonts w:asciiTheme="minorHAnsi" w:hAnsiTheme="minorHAnsi" w:cs="Tahoma"/>
          <w:iCs/>
        </w:rPr>
      </w:pPr>
      <w:r w:rsidRPr="00105FFC">
        <w:rPr>
          <w:rFonts w:asciiTheme="minorHAnsi" w:hAnsiTheme="minorHAnsi" w:cs="Tahoma"/>
          <w:iCs/>
        </w:rPr>
        <w:t xml:space="preserve">CMS </w:t>
      </w:r>
      <w:r w:rsidR="00CC3D97" w:rsidRPr="00105FFC">
        <w:rPr>
          <w:rFonts w:asciiTheme="minorHAnsi" w:hAnsiTheme="minorHAnsi" w:cs="Tahoma"/>
          <w:iCs/>
        </w:rPr>
        <w:t>requires that</w:t>
      </w:r>
      <w:r w:rsidRPr="00105FFC">
        <w:rPr>
          <w:rFonts w:asciiTheme="minorHAnsi" w:hAnsiTheme="minorHAnsi" w:cs="Tahoma"/>
          <w:iCs/>
        </w:rPr>
        <w:t xml:space="preserve"> the following providers and services </w:t>
      </w:r>
      <w:r w:rsidR="00CC3D97" w:rsidRPr="00105FFC">
        <w:rPr>
          <w:rFonts w:asciiTheme="minorHAnsi" w:hAnsiTheme="minorHAnsi" w:cs="Tahoma"/>
          <w:iCs/>
        </w:rPr>
        <w:t>types be periodically analyzed in pursuant to its access monitoring plan at least once every three years</w:t>
      </w:r>
      <w:r w:rsidRPr="00105FFC">
        <w:rPr>
          <w:rFonts w:asciiTheme="minorHAnsi" w:hAnsiTheme="minorHAnsi" w:cs="Tahoma"/>
          <w:iCs/>
        </w:rPr>
        <w:t>:</w:t>
      </w:r>
    </w:p>
    <w:p w14:paraId="73AD826A" w14:textId="77777777" w:rsidR="00CE79E8" w:rsidRPr="00105FFC" w:rsidRDefault="00CE79E8" w:rsidP="00CE79E8">
      <w:pPr>
        <w:numPr>
          <w:ilvl w:val="0"/>
          <w:numId w:val="7"/>
        </w:numPr>
        <w:spacing w:after="120" w:line="276" w:lineRule="auto"/>
        <w:contextualSpacing/>
        <w:rPr>
          <w:rFonts w:asciiTheme="minorHAnsi" w:hAnsiTheme="minorHAnsi" w:cs="Tahoma"/>
          <w:iCs/>
        </w:rPr>
      </w:pPr>
      <w:r w:rsidRPr="00105FFC">
        <w:rPr>
          <w:rFonts w:asciiTheme="minorHAnsi" w:hAnsiTheme="minorHAnsi" w:cs="Tahoma"/>
          <w:iCs/>
        </w:rPr>
        <w:t>Primary Care providers/services,</w:t>
      </w:r>
    </w:p>
    <w:p w14:paraId="62711EE2" w14:textId="77777777" w:rsidR="00CE79E8" w:rsidRPr="00105FFC" w:rsidRDefault="00CE79E8" w:rsidP="00CE79E8">
      <w:pPr>
        <w:numPr>
          <w:ilvl w:val="0"/>
          <w:numId w:val="7"/>
        </w:numPr>
        <w:spacing w:after="120" w:line="276" w:lineRule="auto"/>
        <w:contextualSpacing/>
        <w:rPr>
          <w:rFonts w:asciiTheme="minorHAnsi" w:hAnsiTheme="minorHAnsi" w:cs="Tahoma"/>
          <w:iCs/>
        </w:rPr>
      </w:pPr>
      <w:r w:rsidRPr="00105FFC">
        <w:rPr>
          <w:rFonts w:asciiTheme="minorHAnsi" w:hAnsiTheme="minorHAnsi" w:cs="Tahoma"/>
          <w:iCs/>
        </w:rPr>
        <w:t>Physician Specialists/services,</w:t>
      </w:r>
    </w:p>
    <w:p w14:paraId="28BAA00A" w14:textId="77777777" w:rsidR="00CE79E8" w:rsidRPr="00105FFC" w:rsidRDefault="00CE79E8" w:rsidP="00CE79E8">
      <w:pPr>
        <w:numPr>
          <w:ilvl w:val="0"/>
          <w:numId w:val="7"/>
        </w:numPr>
        <w:spacing w:after="120" w:line="276" w:lineRule="auto"/>
        <w:contextualSpacing/>
        <w:rPr>
          <w:rFonts w:asciiTheme="minorHAnsi" w:hAnsiTheme="minorHAnsi" w:cs="Tahoma"/>
          <w:iCs/>
        </w:rPr>
      </w:pPr>
      <w:r w:rsidRPr="00105FFC">
        <w:rPr>
          <w:rFonts w:asciiTheme="minorHAnsi" w:hAnsiTheme="minorHAnsi" w:cs="Tahoma"/>
          <w:iCs/>
        </w:rPr>
        <w:t>Behavioral Health providers/services,</w:t>
      </w:r>
    </w:p>
    <w:p w14:paraId="1A9A749B" w14:textId="77777777" w:rsidR="00CE79E8" w:rsidRPr="00105FFC" w:rsidRDefault="00CE79E8" w:rsidP="00CE79E8">
      <w:pPr>
        <w:numPr>
          <w:ilvl w:val="0"/>
          <w:numId w:val="7"/>
        </w:numPr>
        <w:spacing w:after="120" w:line="276" w:lineRule="auto"/>
        <w:contextualSpacing/>
        <w:rPr>
          <w:rFonts w:asciiTheme="minorHAnsi" w:hAnsiTheme="minorHAnsi" w:cs="Tahoma"/>
          <w:iCs/>
        </w:rPr>
      </w:pPr>
      <w:r w:rsidRPr="00105FFC">
        <w:rPr>
          <w:rFonts w:asciiTheme="minorHAnsi" w:hAnsiTheme="minorHAnsi" w:cs="Tahoma"/>
          <w:iCs/>
        </w:rPr>
        <w:t>Pre- and Post-Natal Obstetric providers/services, and</w:t>
      </w:r>
    </w:p>
    <w:p w14:paraId="32781109" w14:textId="77777777" w:rsidR="00CE79E8" w:rsidRPr="00105FFC" w:rsidRDefault="00CE79E8" w:rsidP="00CE79E8">
      <w:pPr>
        <w:numPr>
          <w:ilvl w:val="0"/>
          <w:numId w:val="7"/>
        </w:numPr>
        <w:spacing w:after="120" w:line="276" w:lineRule="auto"/>
        <w:rPr>
          <w:rFonts w:asciiTheme="minorHAnsi" w:hAnsiTheme="minorHAnsi" w:cs="Tahoma"/>
          <w:iCs/>
        </w:rPr>
      </w:pPr>
      <w:r w:rsidRPr="00105FFC">
        <w:rPr>
          <w:rFonts w:asciiTheme="minorHAnsi" w:hAnsiTheme="minorHAnsi" w:cs="Tahoma"/>
          <w:iCs/>
        </w:rPr>
        <w:lastRenderedPageBreak/>
        <w:t>Home Health providers/services.</w:t>
      </w:r>
    </w:p>
    <w:p w14:paraId="43325EFC" w14:textId="77777777" w:rsidR="00CE79E8" w:rsidRPr="00105FFC" w:rsidRDefault="00CC3D97" w:rsidP="00CE79E8">
      <w:pPr>
        <w:spacing w:after="120" w:line="276" w:lineRule="auto"/>
        <w:rPr>
          <w:rFonts w:asciiTheme="minorHAnsi" w:hAnsiTheme="minorHAnsi" w:cs="Tahoma"/>
          <w:iCs/>
          <w:sz w:val="16"/>
          <w:szCs w:val="16"/>
        </w:rPr>
      </w:pPr>
      <w:r w:rsidRPr="00105FFC">
        <w:rPr>
          <w:rFonts w:asciiTheme="minorHAnsi" w:hAnsiTheme="minorHAnsi" w:cs="Tahoma"/>
          <w:iCs/>
        </w:rPr>
        <w:t>CMS also requires that California’s access monitoring plan include a description of the data elements California will use to inform access monitoring and analysis, including data sources, methodologies, baselines, assumptions, trends and factors, and thresholds;</w:t>
      </w:r>
      <w:r w:rsidRPr="00105FFC">
        <w:rPr>
          <w:rStyle w:val="EndnoteReference"/>
          <w:rFonts w:asciiTheme="minorHAnsi" w:hAnsiTheme="minorHAnsi" w:cs="Tahoma"/>
          <w:iCs/>
        </w:rPr>
        <w:endnoteReference w:id="4"/>
      </w:r>
      <w:r w:rsidRPr="00105FFC">
        <w:rPr>
          <w:rFonts w:asciiTheme="minorHAnsi" w:hAnsiTheme="minorHAnsi" w:cs="Tahoma"/>
          <w:iCs/>
        </w:rPr>
        <w:t xml:space="preserve"> and mechanisms for facilitating beneficiary, provider, and other stakeholder input on access to care</w:t>
      </w:r>
      <w:r w:rsidRPr="00105FFC">
        <w:rPr>
          <w:rStyle w:val="EndnoteReference"/>
          <w:rFonts w:asciiTheme="minorHAnsi" w:hAnsiTheme="minorHAnsi" w:cs="Tahoma"/>
          <w:iCs/>
        </w:rPr>
        <w:endnoteReference w:id="5"/>
      </w:r>
      <w:r w:rsidR="00CE79E8" w:rsidRPr="00105FFC">
        <w:rPr>
          <w:rFonts w:asciiTheme="minorHAnsi" w:hAnsiTheme="minorHAnsi" w:cs="Tahoma"/>
          <w:iCs/>
        </w:rPr>
        <w:t>.</w:t>
      </w:r>
    </w:p>
    <w:p w14:paraId="56DA4941" w14:textId="77777777" w:rsidR="00CE79E8" w:rsidRPr="00105FFC" w:rsidRDefault="00CE79E8" w:rsidP="00CE79E8">
      <w:pPr>
        <w:pStyle w:val="Heading2"/>
        <w:spacing w:before="0" w:after="120" w:line="276" w:lineRule="auto"/>
        <w:rPr>
          <w:rFonts w:asciiTheme="minorHAnsi" w:hAnsiTheme="minorHAnsi"/>
        </w:rPr>
      </w:pPr>
      <w:bookmarkStart w:id="18" w:name="_Toc459287703"/>
      <w:r w:rsidRPr="00105FFC">
        <w:rPr>
          <w:rFonts w:asciiTheme="minorHAnsi" w:hAnsiTheme="minorHAnsi"/>
          <w:color w:val="auto"/>
        </w:rPr>
        <w:t>Medi-Cal Overview</w:t>
      </w:r>
      <w:bookmarkEnd w:id="14"/>
      <w:bookmarkEnd w:id="18"/>
    </w:p>
    <w:p w14:paraId="0F392AC4" w14:textId="77777777" w:rsidR="00CE79E8" w:rsidRPr="00105FFC" w:rsidRDefault="00CE79E8" w:rsidP="00CE79E8">
      <w:pPr>
        <w:spacing w:after="120" w:line="276" w:lineRule="auto"/>
        <w:rPr>
          <w:rFonts w:asciiTheme="minorHAnsi" w:hAnsiTheme="minorHAnsi" w:cs="Arial"/>
        </w:rPr>
      </w:pPr>
      <w:r w:rsidRPr="00105FFC">
        <w:rPr>
          <w:rFonts w:asciiTheme="minorHAnsi" w:hAnsiTheme="minorHAnsi" w:cs="Arial"/>
        </w:rPr>
        <w:t>Implemented in 1966, Medi-Cal is a public health insurance program that provides comprehensive health care services for low-income individuals including families with children, seniors, persons with disabilities, foster care, pregnant women, and low income people with specific diseases such breast cancer or HIV/AIDS. Medi-Cal is financed equally by the State and federal government</w:t>
      </w:r>
      <w:r w:rsidRPr="00105FFC">
        <w:rPr>
          <w:rStyle w:val="EndnoteReference"/>
          <w:rFonts w:asciiTheme="minorHAnsi" w:eastAsiaTheme="majorEastAsia" w:hAnsiTheme="minorHAnsi" w:cs="Arial"/>
        </w:rPr>
        <w:endnoteReference w:id="6"/>
      </w:r>
      <w:r w:rsidRPr="00105FFC">
        <w:rPr>
          <w:rFonts w:asciiTheme="minorHAnsi" w:hAnsiTheme="minorHAnsi" w:cs="Arial"/>
        </w:rPr>
        <w:t xml:space="preserve">. Medi-Cal also forms California’s largest safety-net program whose providers are defined by their willingness to serve patients regardless of the patients’ ability to pay for services rendered, and by the proportion of vulnerable populations included in their case mix. </w:t>
      </w:r>
      <w:r w:rsidR="00647D38" w:rsidRPr="00105FFC">
        <w:rPr>
          <w:rFonts w:asciiTheme="minorHAnsi" w:hAnsiTheme="minorHAnsi" w:cs="Arial"/>
        </w:rPr>
        <w:t xml:space="preserve"> Medi-Cal funding is a vitally important factor in sustaining California’s health care safety-net.</w:t>
      </w:r>
    </w:p>
    <w:p w14:paraId="38C28912" w14:textId="77777777" w:rsidR="001A412E" w:rsidRPr="00105FFC" w:rsidRDefault="00CE79E8" w:rsidP="00CE79E8">
      <w:pPr>
        <w:spacing w:after="120" w:line="276" w:lineRule="auto"/>
        <w:rPr>
          <w:rFonts w:asciiTheme="minorHAnsi" w:hAnsiTheme="minorHAnsi" w:cs="Arial"/>
        </w:rPr>
      </w:pPr>
      <w:r w:rsidRPr="00105FFC">
        <w:rPr>
          <w:rFonts w:asciiTheme="minorHAnsi" w:hAnsiTheme="minorHAnsi" w:cs="Arial"/>
        </w:rPr>
        <w:t>Medi‐Cal plays a significant role in providing health care coverage to California’s overall population. In February 2016, Medi-Cal provided health care coverage for more than 13 million people, or roughly 33% of the state’s population.</w:t>
      </w:r>
      <w:r w:rsidRPr="00105FFC">
        <w:rPr>
          <w:rStyle w:val="EndnoteReference"/>
          <w:rFonts w:asciiTheme="minorHAnsi" w:eastAsiaTheme="majorEastAsia" w:hAnsiTheme="minorHAnsi" w:cs="Arial"/>
        </w:rPr>
        <w:endnoteReference w:id="7"/>
      </w:r>
      <w:r w:rsidRPr="00105FFC">
        <w:rPr>
          <w:rFonts w:asciiTheme="minorHAnsi" w:hAnsiTheme="minorHAnsi" w:cs="Arial"/>
        </w:rPr>
        <w:t xml:space="preserve"> </w:t>
      </w:r>
      <w:r w:rsidR="00174757" w:rsidRPr="00105FFC">
        <w:rPr>
          <w:rFonts w:asciiTheme="minorHAnsi" w:hAnsiTheme="minorHAnsi" w:cs="Arial"/>
        </w:rPr>
        <w:t>Medi-Cal also financed 50% of the State’</w:t>
      </w:r>
      <w:r w:rsidR="00647D38" w:rsidRPr="00105FFC">
        <w:rPr>
          <w:rFonts w:asciiTheme="minorHAnsi" w:hAnsiTheme="minorHAnsi" w:cs="Arial"/>
        </w:rPr>
        <w:t>s births, and provided</w:t>
      </w:r>
      <w:r w:rsidR="00174757" w:rsidRPr="00105FFC">
        <w:rPr>
          <w:rFonts w:asciiTheme="minorHAnsi" w:hAnsiTheme="minorHAnsi" w:cs="Arial"/>
        </w:rPr>
        <w:t xml:space="preserve"> health care coverage for 50% of California’s children.</w:t>
      </w:r>
      <w:r w:rsidR="00CE3128" w:rsidRPr="00105FFC">
        <w:rPr>
          <w:rStyle w:val="EndnoteReference"/>
          <w:rFonts w:asciiTheme="minorHAnsi" w:hAnsiTheme="minorHAnsi" w:cs="Arial"/>
        </w:rPr>
        <w:endnoteReference w:id="8"/>
      </w:r>
      <w:r w:rsidR="00CE3128" w:rsidRPr="00105FFC">
        <w:rPr>
          <w:rFonts w:asciiTheme="minorHAnsi" w:hAnsiTheme="minorHAnsi" w:cs="Arial"/>
          <w:vertAlign w:val="superscript"/>
        </w:rPr>
        <w:t>,</w:t>
      </w:r>
      <w:r w:rsidR="00CE3128" w:rsidRPr="00105FFC">
        <w:rPr>
          <w:rStyle w:val="EndnoteReference"/>
          <w:rFonts w:asciiTheme="minorHAnsi" w:hAnsiTheme="minorHAnsi" w:cs="Arial"/>
        </w:rPr>
        <w:endnoteReference w:id="9"/>
      </w:r>
      <w:r w:rsidR="00174757" w:rsidRPr="00105FFC">
        <w:rPr>
          <w:rFonts w:asciiTheme="minorHAnsi" w:hAnsiTheme="minorHAnsi" w:cs="Arial"/>
        </w:rPr>
        <w:t xml:space="preserve">  </w:t>
      </w:r>
    </w:p>
    <w:p w14:paraId="1C446D14" w14:textId="77777777" w:rsidR="00CE79E8" w:rsidRPr="00105FFC" w:rsidRDefault="00CE79E8" w:rsidP="00CE79E8">
      <w:pPr>
        <w:spacing w:after="120" w:line="276" w:lineRule="auto"/>
        <w:rPr>
          <w:rFonts w:asciiTheme="minorHAnsi" w:hAnsiTheme="minorHAnsi" w:cs="Arial"/>
        </w:rPr>
      </w:pPr>
      <w:r w:rsidRPr="00105FFC">
        <w:rPr>
          <w:rFonts w:asciiTheme="minorHAnsi" w:hAnsiTheme="minorHAnsi" w:cs="Arial"/>
        </w:rPr>
        <w:t>The role that Medi‐Cal plays in providing health care coverage to the population varies by county. For instance, in counties such as Tulare and Merced, Medi‐Cal provided coverage to roughly 50% of the population in September 2015. In other counties such as Placer, Marin, San Mateo, and El Dorado, approximately 20% of residents were enrolled in Medi‐Cal during the same time period. Of particular note, within Los Angeles County, where more than one‐quarter of the state population resides, close to 40% of the county’s population was enrolled in Medi‐Cal in September 2015.</w:t>
      </w:r>
      <w:r w:rsidRPr="00105FFC">
        <w:rPr>
          <w:rStyle w:val="EndnoteReference"/>
          <w:rFonts w:asciiTheme="minorHAnsi" w:eastAsiaTheme="majorEastAsia" w:hAnsiTheme="minorHAnsi" w:cs="Arial"/>
        </w:rPr>
        <w:endnoteReference w:id="10"/>
      </w:r>
    </w:p>
    <w:p w14:paraId="4E9AFCC3" w14:textId="77777777" w:rsidR="00CE79E8" w:rsidRPr="00105FFC" w:rsidRDefault="00CE79E8" w:rsidP="00CE79E8">
      <w:pPr>
        <w:pStyle w:val="Heading3"/>
        <w:spacing w:before="0" w:after="120" w:line="276" w:lineRule="auto"/>
        <w:rPr>
          <w:color w:val="auto"/>
        </w:rPr>
      </w:pPr>
      <w:bookmarkStart w:id="19" w:name="_Toc459287704"/>
      <w:r w:rsidRPr="00105FFC">
        <w:rPr>
          <w:color w:val="auto"/>
        </w:rPr>
        <w:t>Eligibility</w:t>
      </w:r>
      <w:bookmarkEnd w:id="19"/>
      <w:r w:rsidRPr="00105FFC">
        <w:rPr>
          <w:color w:val="auto"/>
        </w:rPr>
        <w:t xml:space="preserve"> </w:t>
      </w:r>
    </w:p>
    <w:p w14:paraId="2ADFA81F" w14:textId="77777777" w:rsidR="00CE79E8" w:rsidRPr="00105FFC" w:rsidRDefault="00CE79E8" w:rsidP="00CE79E8">
      <w:pPr>
        <w:spacing w:after="120" w:line="276" w:lineRule="auto"/>
        <w:rPr>
          <w:rFonts w:asciiTheme="minorHAnsi" w:hAnsiTheme="minorHAnsi" w:cs="Arial"/>
        </w:rPr>
      </w:pPr>
      <w:r w:rsidRPr="00105FFC">
        <w:rPr>
          <w:rFonts w:asciiTheme="minorHAnsi" w:hAnsiTheme="minorHAnsi" w:cs="Arial"/>
        </w:rPr>
        <w:t xml:space="preserve">Individuals often become eligible for Medi-Cal based on economic challenges, but may also qualify on the basis of being diagnosed with a specific disease, medical condition, or through disability status.  Particular eligibility </w:t>
      </w:r>
      <w:r w:rsidR="00A704BD" w:rsidRPr="00105FFC">
        <w:rPr>
          <w:rFonts w:asciiTheme="minorHAnsi" w:hAnsiTheme="minorHAnsi" w:cs="Arial"/>
        </w:rPr>
        <w:t xml:space="preserve">groups include adults </w:t>
      </w:r>
      <w:r w:rsidR="00A704BD" w:rsidRPr="00105FFC">
        <w:rPr>
          <w:rFonts w:asciiTheme="minorHAnsi" w:hAnsiTheme="minorHAnsi" w:cs="Arial"/>
        </w:rPr>
        <w:lastRenderedPageBreak/>
        <w:t>ages under 65</w:t>
      </w:r>
      <w:r w:rsidRPr="00105FFC">
        <w:rPr>
          <w:rFonts w:asciiTheme="minorHAnsi" w:hAnsiTheme="minorHAnsi" w:cs="Arial"/>
        </w:rPr>
        <w:t xml:space="preserve"> whose income is at or below 138% of FPL, indigent seniors 65 or older, people with disabilities, individuals who are bli</w:t>
      </w:r>
      <w:r w:rsidR="00A704BD" w:rsidRPr="00105FFC">
        <w:rPr>
          <w:rFonts w:asciiTheme="minorHAnsi" w:hAnsiTheme="minorHAnsi" w:cs="Arial"/>
        </w:rPr>
        <w:t>nd, children</w:t>
      </w:r>
      <w:r w:rsidRPr="00105FFC">
        <w:rPr>
          <w:rFonts w:asciiTheme="minorHAnsi" w:hAnsiTheme="minorHAnsi" w:cs="Arial"/>
        </w:rPr>
        <w:t xml:space="preserve">, pregnant women, children in foster care programs, people without satisfactory immigration status, individuals diagnosed with breast or cervical cancer, HIV/AIDS, and others.  </w:t>
      </w:r>
    </w:p>
    <w:p w14:paraId="61417A96" w14:textId="77777777" w:rsidR="00CE79E8" w:rsidRPr="00105FFC" w:rsidRDefault="00CE79E8" w:rsidP="00CE79E8">
      <w:pPr>
        <w:spacing w:after="120" w:line="276" w:lineRule="auto"/>
        <w:rPr>
          <w:rFonts w:asciiTheme="minorHAnsi" w:hAnsiTheme="minorHAnsi" w:cs="Arial"/>
        </w:rPr>
      </w:pPr>
      <w:r w:rsidRPr="00105FFC">
        <w:rPr>
          <w:rFonts w:asciiTheme="minorHAnsi" w:hAnsiTheme="minorHAnsi" w:cs="Arial"/>
        </w:rPr>
        <w:t>Some subpopulations may gain access to Medi-Cal-administered health care services only after experiencing an acute care hospital admission.  In these cases, such individuals are not eligible for Medi-Cal at the time of admission, but gain Medi-Cal eligibility retroactively.</w:t>
      </w:r>
      <w:r w:rsidRPr="00105FFC">
        <w:rPr>
          <w:rStyle w:val="EndnoteReference"/>
          <w:rFonts w:asciiTheme="minorHAnsi" w:eastAsiaTheme="majorEastAsia" w:hAnsiTheme="minorHAnsi" w:cs="Arial"/>
        </w:rPr>
        <w:endnoteReference w:id="11"/>
      </w:r>
      <w:r w:rsidRPr="00105FFC">
        <w:rPr>
          <w:rFonts w:asciiTheme="minorHAnsi" w:hAnsiTheme="minorHAnsi" w:cs="Arial"/>
        </w:rPr>
        <w:t xml:space="preserve"> Other people become eligible because they cannot pay all of their medical expenses. These individuals must generally pay a portion of their medical expenses, known as a “share of cost,” before Medi-Cal pays for services. Similarly, individuals that require institutional long term care become eligible for Medi-Cal covered services once they contribute a certain share of cost towards the monthly nursing home expenses (sometimes referred to “income spend down”).</w:t>
      </w:r>
      <w:r w:rsidRPr="00105FFC">
        <w:rPr>
          <w:rStyle w:val="EndnoteReference"/>
          <w:rFonts w:asciiTheme="minorHAnsi" w:eastAsiaTheme="majorEastAsia" w:hAnsiTheme="minorHAnsi" w:cs="Arial"/>
        </w:rPr>
        <w:endnoteReference w:id="12"/>
      </w:r>
      <w:r w:rsidRPr="00105FFC">
        <w:rPr>
          <w:rFonts w:asciiTheme="minorHAnsi" w:hAnsiTheme="minorHAnsi" w:cs="Arial"/>
        </w:rPr>
        <w:t xml:space="preserve"> </w:t>
      </w:r>
    </w:p>
    <w:p w14:paraId="59A6DD3F" w14:textId="77777777" w:rsidR="00CE79E8" w:rsidRPr="00105FFC" w:rsidRDefault="00CE79E8" w:rsidP="00CE79E8">
      <w:pPr>
        <w:pStyle w:val="Heading3"/>
        <w:spacing w:before="0" w:after="120" w:line="276" w:lineRule="auto"/>
      </w:pPr>
      <w:bookmarkStart w:id="20" w:name="_Toc459287705"/>
      <w:r w:rsidRPr="00105FFC">
        <w:rPr>
          <w:color w:val="auto"/>
        </w:rPr>
        <w:t>Benefits</w:t>
      </w:r>
      <w:bookmarkEnd w:id="20"/>
      <w:r w:rsidRPr="00105FFC">
        <w:rPr>
          <w:color w:val="auto"/>
        </w:rPr>
        <w:t xml:space="preserve"> </w:t>
      </w:r>
    </w:p>
    <w:p w14:paraId="71829260" w14:textId="77777777" w:rsidR="00CE79E8" w:rsidRPr="00105FFC" w:rsidRDefault="00CE79E8" w:rsidP="00CE79E8">
      <w:pPr>
        <w:spacing w:after="120" w:line="276" w:lineRule="auto"/>
        <w:rPr>
          <w:rFonts w:asciiTheme="minorHAnsi" w:hAnsiTheme="minorHAnsi" w:cs="Arial"/>
        </w:rPr>
      </w:pPr>
      <w:r w:rsidRPr="00105FFC">
        <w:rPr>
          <w:rFonts w:asciiTheme="minorHAnsi" w:hAnsiTheme="minorHAnsi" w:cs="Arial"/>
        </w:rPr>
        <w:t>The federal government mandates a minimum set of benefits be available to beneficiaries who are eligible for full-scope Medi-Cal services. These full scope state plan benefits include but are not limited to:  outpatient (ambulatory) services; emergency services; hospital inpatient and outpatient services; maternity and newborn care; mental health and substance use disorder services; prescription drugs; laboratory; preventive and wellness services, and children’s services.  In addition to these mandatory services, California also provides optional benefits such as dental, home- and community-based waiver services, acupuncture, and medical equipment.</w:t>
      </w:r>
      <w:r w:rsidRPr="00105FFC">
        <w:rPr>
          <w:rStyle w:val="EndnoteReference"/>
          <w:rFonts w:asciiTheme="minorHAnsi" w:eastAsiaTheme="majorEastAsia" w:hAnsiTheme="minorHAnsi" w:cs="Arial"/>
        </w:rPr>
        <w:endnoteReference w:id="13"/>
      </w:r>
      <w:r w:rsidRPr="00105FFC">
        <w:rPr>
          <w:rFonts w:asciiTheme="minorHAnsi" w:hAnsiTheme="minorHAnsi" w:cs="Arial"/>
        </w:rPr>
        <w:t xml:space="preserve"> </w:t>
      </w:r>
    </w:p>
    <w:p w14:paraId="753D69E1" w14:textId="77777777" w:rsidR="00CE79E8" w:rsidRPr="00105FFC" w:rsidRDefault="00CE79E8" w:rsidP="00CE79E8">
      <w:pPr>
        <w:spacing w:after="120" w:line="276" w:lineRule="auto"/>
        <w:rPr>
          <w:rFonts w:asciiTheme="minorHAnsi" w:hAnsiTheme="minorHAnsi" w:cs="Arial"/>
        </w:rPr>
      </w:pPr>
      <w:r w:rsidRPr="00105FFC">
        <w:rPr>
          <w:rFonts w:asciiTheme="minorHAnsi" w:hAnsiTheme="minorHAnsi" w:cs="Arial"/>
        </w:rPr>
        <w:t xml:space="preserve">Additionally, </w:t>
      </w:r>
      <w:r w:rsidR="00111087" w:rsidRPr="00105FFC">
        <w:rPr>
          <w:rFonts w:asciiTheme="minorHAnsi" w:hAnsiTheme="minorHAnsi" w:cs="Arial"/>
        </w:rPr>
        <w:t xml:space="preserve">certain groups may only be eligible for a limited scope of coverage and not Medi-Cal’s full scope.  For example, </w:t>
      </w:r>
      <w:r w:rsidR="00A704BD" w:rsidRPr="00105FFC">
        <w:rPr>
          <w:rFonts w:asciiTheme="minorHAnsi" w:hAnsiTheme="minorHAnsi" w:cs="Arial"/>
        </w:rPr>
        <w:t xml:space="preserve">certain </w:t>
      </w:r>
      <w:r w:rsidRPr="00105FFC">
        <w:rPr>
          <w:rFonts w:asciiTheme="minorHAnsi" w:hAnsiTheme="minorHAnsi" w:cs="Arial"/>
        </w:rPr>
        <w:t>individuals without Satisfactory Immigration Status (SIS) are only eligible for state-covered pregnancy services and federally required emergency medical care.</w:t>
      </w:r>
      <w:r w:rsidR="00111087" w:rsidRPr="00105FFC">
        <w:rPr>
          <w:rFonts w:asciiTheme="minorHAnsi" w:hAnsiTheme="minorHAnsi" w:cs="Arial"/>
        </w:rPr>
        <w:t xml:space="preserve">  Similarly, individuals whose eligibility pathway included the breast and cervical cancer treatment program may receive services limited their specific condition or disease.</w:t>
      </w:r>
    </w:p>
    <w:p w14:paraId="5013CA95" w14:textId="77777777" w:rsidR="00CE79E8" w:rsidRPr="00105FFC" w:rsidRDefault="00CE79E8" w:rsidP="00CE79E8">
      <w:pPr>
        <w:pStyle w:val="Heading3"/>
        <w:spacing w:before="0" w:after="120" w:line="276" w:lineRule="auto"/>
        <w:rPr>
          <w:color w:val="auto"/>
        </w:rPr>
      </w:pPr>
      <w:bookmarkStart w:id="21" w:name="_Toc459287706"/>
      <w:r w:rsidRPr="00105FFC">
        <w:rPr>
          <w:color w:val="auto"/>
        </w:rPr>
        <w:t>Health Care Delivery System</w:t>
      </w:r>
      <w:bookmarkEnd w:id="21"/>
    </w:p>
    <w:p w14:paraId="224F9B0F" w14:textId="77777777" w:rsidR="00A704BD" w:rsidRPr="00105FFC" w:rsidRDefault="00CE79E8" w:rsidP="00CE79E8">
      <w:pPr>
        <w:spacing w:after="120" w:line="276" w:lineRule="auto"/>
        <w:rPr>
          <w:rFonts w:asciiTheme="minorHAnsi" w:hAnsiTheme="minorHAnsi" w:cs="Arial"/>
        </w:rPr>
      </w:pPr>
      <w:r w:rsidRPr="00105FFC">
        <w:rPr>
          <w:rFonts w:asciiTheme="minorHAnsi" w:hAnsiTheme="minorHAnsi" w:cs="Arial"/>
        </w:rPr>
        <w:t xml:space="preserve">There are two primary health care delivery systems in the Medi-Cal program: FFS and managed care.  </w:t>
      </w:r>
      <w:r w:rsidR="00A704BD" w:rsidRPr="00105FFC">
        <w:rPr>
          <w:rFonts w:asciiTheme="minorHAnsi" w:hAnsiTheme="minorHAnsi" w:cs="Arial"/>
        </w:rPr>
        <w:t xml:space="preserve">Following recent initiatives to expand coordinated care and organized delivery, described in further detail herein, managed care is now the </w:t>
      </w:r>
      <w:r w:rsidR="00A704BD" w:rsidRPr="00105FFC">
        <w:rPr>
          <w:rFonts w:asciiTheme="minorHAnsi" w:hAnsiTheme="minorHAnsi" w:cs="Arial"/>
        </w:rPr>
        <w:lastRenderedPageBreak/>
        <w:t xml:space="preserve">predominant system employed in Medi-Cal.  In 2015, </w:t>
      </w:r>
      <w:r w:rsidR="001D6E99" w:rsidRPr="00105FFC">
        <w:rPr>
          <w:rFonts w:asciiTheme="minorHAnsi" w:hAnsiTheme="minorHAnsi" w:cs="Arial"/>
        </w:rPr>
        <w:t>nearly</w:t>
      </w:r>
      <w:r w:rsidR="00A704BD" w:rsidRPr="00105FFC">
        <w:rPr>
          <w:rFonts w:asciiTheme="minorHAnsi" w:hAnsiTheme="minorHAnsi" w:cs="Arial"/>
        </w:rPr>
        <w:t xml:space="preserve"> 80% of all Medi-Cal beneficiaries received services through the managed care delivery system, and when accounting for full-scope Medi-Cal populations, managed care enrollment is at approximately 90%.</w:t>
      </w:r>
    </w:p>
    <w:p w14:paraId="62FC5BA0" w14:textId="77777777" w:rsidR="00CE79E8" w:rsidRPr="00105FFC" w:rsidRDefault="00654AF1" w:rsidP="00CE79E8">
      <w:pPr>
        <w:spacing w:after="120" w:line="276" w:lineRule="auto"/>
        <w:rPr>
          <w:rFonts w:asciiTheme="minorHAnsi" w:hAnsiTheme="minorHAnsi" w:cs="Arial"/>
        </w:rPr>
      </w:pPr>
      <w:r w:rsidRPr="00105FFC">
        <w:rPr>
          <w:rFonts w:asciiTheme="minorHAnsi" w:hAnsiTheme="minorHAnsi" w:cs="Arial"/>
        </w:rPr>
        <w:t>In the FFS delivery model, the S</w:t>
      </w:r>
      <w:r w:rsidR="00CE79E8" w:rsidRPr="00105FFC">
        <w:rPr>
          <w:rFonts w:asciiTheme="minorHAnsi" w:hAnsiTheme="minorHAnsi" w:cs="Arial"/>
        </w:rPr>
        <w:t>tate pays the health care provider for each administered</w:t>
      </w:r>
      <w:r w:rsidRPr="00105FFC">
        <w:rPr>
          <w:rFonts w:asciiTheme="minorHAnsi" w:hAnsiTheme="minorHAnsi" w:cs="Arial"/>
        </w:rPr>
        <w:t xml:space="preserve"> State plan</w:t>
      </w:r>
      <w:r w:rsidR="00CE79E8" w:rsidRPr="00105FFC">
        <w:rPr>
          <w:rFonts w:asciiTheme="minorHAnsi" w:hAnsiTheme="minorHAnsi" w:cs="Arial"/>
        </w:rPr>
        <w:t xml:space="preserve"> service. In contrast, in the managed care delivery system, </w:t>
      </w:r>
      <w:r w:rsidR="00FF7643" w:rsidRPr="00105FFC">
        <w:rPr>
          <w:rFonts w:asciiTheme="minorHAnsi" w:hAnsiTheme="minorHAnsi" w:cs="Arial"/>
        </w:rPr>
        <w:t xml:space="preserve">typically </w:t>
      </w:r>
      <w:r w:rsidR="00CE79E8" w:rsidRPr="00105FFC">
        <w:rPr>
          <w:rFonts w:asciiTheme="minorHAnsi" w:hAnsiTheme="minorHAnsi" w:cs="Arial"/>
        </w:rPr>
        <w:t xml:space="preserve">the state pays a contracted health plan a fixed </w:t>
      </w:r>
      <w:r w:rsidR="00FF7643" w:rsidRPr="00105FFC">
        <w:rPr>
          <w:rFonts w:asciiTheme="minorHAnsi" w:hAnsiTheme="minorHAnsi" w:cs="Arial"/>
        </w:rPr>
        <w:t>capitated payment amount</w:t>
      </w:r>
      <w:r w:rsidR="00CE79E8" w:rsidRPr="00105FFC">
        <w:rPr>
          <w:rFonts w:asciiTheme="minorHAnsi" w:hAnsiTheme="minorHAnsi" w:cs="Arial"/>
        </w:rPr>
        <w:t xml:space="preserve"> for each enrolled beneficiary. Managed care plans are then responsible for providing all delegated services.</w:t>
      </w:r>
    </w:p>
    <w:p w14:paraId="0653E66A" w14:textId="77777777" w:rsidR="00661A9D" w:rsidRPr="00105FFC" w:rsidRDefault="00661A9D" w:rsidP="00661A9D">
      <w:pPr>
        <w:spacing w:after="120" w:line="276" w:lineRule="auto"/>
        <w:rPr>
          <w:rFonts w:asciiTheme="minorHAnsi" w:hAnsiTheme="minorHAnsi" w:cs="Arial"/>
        </w:rPr>
      </w:pPr>
      <w:r w:rsidRPr="00105FFC">
        <w:rPr>
          <w:rFonts w:asciiTheme="minorHAnsi" w:hAnsiTheme="minorHAnsi" w:cs="Arial"/>
        </w:rPr>
        <w:t>Certain categories of service, or specialized types of services within a particular category, are not delegated to the primary Medi-Cal managed care plan.  These “carve-outs” are either administered pursuant to standalone delivery arrangements (which can take either a FFS or managed care form, or both), or remain the responsibility of the State to reimburse through the FFS system.</w:t>
      </w:r>
    </w:p>
    <w:p w14:paraId="5BBB2974" w14:textId="77777777" w:rsidR="00661A9D" w:rsidRPr="00105FFC" w:rsidRDefault="00661A9D" w:rsidP="00661A9D">
      <w:pPr>
        <w:spacing w:after="120" w:line="276" w:lineRule="auto"/>
        <w:rPr>
          <w:rFonts w:asciiTheme="minorHAnsi" w:hAnsiTheme="minorHAnsi" w:cs="Arial"/>
        </w:rPr>
      </w:pPr>
      <w:r w:rsidRPr="00105FFC">
        <w:rPr>
          <w:rFonts w:asciiTheme="minorHAnsi" w:hAnsiTheme="minorHAnsi" w:cs="Arial"/>
        </w:rPr>
        <w:t xml:space="preserve">For standalone delivery arrangements, the key examples in Medi-Cal are:  (1) Specialty Mental Health Services delivered/reimbursed exclusively via County Mental Health Plans (MHPs) </w:t>
      </w:r>
      <w:r w:rsidR="00CB07BE" w:rsidRPr="00105FFC">
        <w:rPr>
          <w:rFonts w:asciiTheme="minorHAnsi" w:hAnsiTheme="minorHAnsi" w:cs="Arial"/>
        </w:rPr>
        <w:t>pursuant to the State’s 1915(b</w:t>
      </w:r>
      <w:r w:rsidRPr="00105FFC">
        <w:rPr>
          <w:rFonts w:asciiTheme="minorHAnsi" w:hAnsiTheme="minorHAnsi" w:cs="Arial"/>
        </w:rPr>
        <w:t xml:space="preserve">) waiver; (2) Substance Use Disorder Services delivered/reimbursed via the FFS Drug Medi-Cal program, or in the future pursuant to approved county-based Drug Medi-Cal Organized Delivery System (DMC-ODS) pilots authorized by the “Medi-Cal 2020” Section 1115 demonstration project; and (3) Dental Services delivered/reimbursed via either FFS Denti-Cal  or via standalone dental managed care plans in Sacramento and Los Angeles counties.      </w:t>
      </w:r>
    </w:p>
    <w:p w14:paraId="363222C7" w14:textId="77777777" w:rsidR="00661A9D" w:rsidRPr="00105FFC" w:rsidRDefault="00661A9D" w:rsidP="00661A9D">
      <w:pPr>
        <w:spacing w:after="120" w:line="276" w:lineRule="auto"/>
        <w:rPr>
          <w:rFonts w:asciiTheme="minorHAnsi" w:hAnsiTheme="minorHAnsi" w:cs="Arial"/>
        </w:rPr>
      </w:pPr>
      <w:r w:rsidRPr="00105FFC">
        <w:rPr>
          <w:rFonts w:asciiTheme="minorHAnsi" w:hAnsiTheme="minorHAnsi" w:cs="Arial"/>
        </w:rPr>
        <w:t>As reiterated by CMS in the preamble to the access final rule, section 1902(a)(30)(A) of the Social Security Act governs fee-for-service delivery, meaning State payments made directly to providers for services and not payments made to managed care entities.</w:t>
      </w:r>
      <w:r w:rsidRPr="00105FFC">
        <w:rPr>
          <w:rStyle w:val="EndnoteReference"/>
          <w:rFonts w:asciiTheme="minorHAnsi" w:hAnsiTheme="minorHAnsi" w:cs="Arial"/>
        </w:rPr>
        <w:endnoteReference w:id="14"/>
      </w:r>
      <w:r w:rsidRPr="00105FFC">
        <w:rPr>
          <w:rFonts w:asciiTheme="minorHAnsi" w:hAnsiTheme="minorHAnsi" w:cs="Arial"/>
        </w:rPr>
        <w:t xml:space="preserve">  As a result, this monitoring plan is tailored to account for the above described complexities in Medi-Cal delivery, and will facilitate analysis and review of access to care for the FFS populations that are not enrolled in a Medi-Cal managed care plan.  </w:t>
      </w:r>
    </w:p>
    <w:p w14:paraId="3E68AE53" w14:textId="77777777" w:rsidR="00661A9D" w:rsidRPr="00105FFC" w:rsidRDefault="00661A9D" w:rsidP="00661A9D">
      <w:pPr>
        <w:spacing w:after="120" w:line="276" w:lineRule="auto"/>
        <w:rPr>
          <w:rFonts w:asciiTheme="minorHAnsi" w:hAnsiTheme="minorHAnsi" w:cs="Arial"/>
        </w:rPr>
      </w:pPr>
      <w:r w:rsidRPr="00105FFC">
        <w:rPr>
          <w:rFonts w:asciiTheme="minorHAnsi" w:hAnsiTheme="minorHAnsi" w:cs="Arial"/>
        </w:rPr>
        <w:t xml:space="preserve">Access for services delivered through a Medi-Cal managed care plan, or for particular service categories delivered via standalone managed care arrangements such as MHPs, DMC-ODS pilots, or dental managed care plans, are subject to the separate requirements of 42 CFR Part 438 (e.g., network adequacy and quality reviews), and thus beyond the scope of this </w:t>
      </w:r>
      <w:r w:rsidRPr="00105FFC">
        <w:rPr>
          <w:rFonts w:asciiTheme="minorHAnsi" w:hAnsiTheme="minorHAnsi" w:cs="Arial"/>
        </w:rPr>
        <w:lastRenderedPageBreak/>
        <w:t xml:space="preserve">monitoring plan.  However, for managed care enrollees accessing carve-out services through standalone FFS delivery arrangements (i.e., FFS Drug Medi-Cal and FFS Denti-Cal), their service utilization and access to care within these categories will be accounted for in this monitoring plan.                </w:t>
      </w:r>
    </w:p>
    <w:p w14:paraId="50F47D5E" w14:textId="77777777" w:rsidR="00661A9D" w:rsidRPr="00105FFC" w:rsidRDefault="00661A9D" w:rsidP="00661A9D">
      <w:pPr>
        <w:spacing w:after="120" w:line="276" w:lineRule="auto"/>
        <w:rPr>
          <w:rFonts w:asciiTheme="minorHAnsi" w:hAnsiTheme="minorHAnsi" w:cs="Arial"/>
        </w:rPr>
      </w:pPr>
      <w:r w:rsidRPr="00105FFC">
        <w:rPr>
          <w:rFonts w:asciiTheme="minorHAnsi" w:hAnsiTheme="minorHAnsi" w:cs="Arial"/>
        </w:rPr>
        <w:t xml:space="preserve">Aside from these standalone arrangements, there are also specialized types of services within a category, or a level of service utilization beyond an enumerated threshold, that are not delegated to contracted Medi-Cal managed care plans.  For example, this type of carve-out includes certain prescription drugs.  In the case of a managed care enrollee receiving a small portion of care within a particular service category by way of FFS, their utilization is still driven and coordinated by the primary Medi-Cal managed care plan.  Because of the smaller magnitude, and concerns over the potential for skewed and inaccurate data or resultant analysis, this type of utilization by managed care enrolled beneficiaries is not incorporated into this monitoring plan.                 </w:t>
      </w:r>
    </w:p>
    <w:p w14:paraId="4E7A6979" w14:textId="77777777" w:rsidR="00661A9D" w:rsidRPr="00105FFC" w:rsidRDefault="00661A9D" w:rsidP="00CE79E8">
      <w:pPr>
        <w:spacing w:after="120" w:line="276" w:lineRule="auto"/>
        <w:rPr>
          <w:rFonts w:asciiTheme="minorHAnsi" w:hAnsiTheme="minorHAnsi" w:cs="Arial"/>
        </w:rPr>
      </w:pPr>
    </w:p>
    <w:p w14:paraId="492D1721" w14:textId="77777777" w:rsidR="00661A9D" w:rsidRPr="00105FFC" w:rsidRDefault="00661A9D" w:rsidP="00CE79E8">
      <w:pPr>
        <w:spacing w:after="120" w:line="276" w:lineRule="auto"/>
        <w:rPr>
          <w:rFonts w:asciiTheme="minorHAnsi" w:hAnsiTheme="minorHAnsi" w:cs="Arial"/>
        </w:rPr>
      </w:pPr>
    </w:p>
    <w:p w14:paraId="61DD3476" w14:textId="77777777" w:rsidR="00CE79E8" w:rsidRPr="00105FFC" w:rsidRDefault="00CE79E8" w:rsidP="00CE79E8">
      <w:pPr>
        <w:pStyle w:val="Heading2"/>
        <w:spacing w:before="0" w:after="120" w:line="276" w:lineRule="auto"/>
        <w:rPr>
          <w:rFonts w:asciiTheme="minorHAnsi" w:hAnsiTheme="minorHAnsi"/>
          <w:color w:val="auto"/>
        </w:rPr>
      </w:pPr>
      <w:bookmarkStart w:id="22" w:name="_Toc459287707"/>
      <w:r w:rsidRPr="00105FFC">
        <w:rPr>
          <w:rFonts w:asciiTheme="minorHAnsi" w:hAnsiTheme="minorHAnsi"/>
          <w:color w:val="auto"/>
        </w:rPr>
        <w:t>Medi-Cal Population Characteristics</w:t>
      </w:r>
      <w:bookmarkEnd w:id="22"/>
    </w:p>
    <w:p w14:paraId="7E328D26" w14:textId="77777777" w:rsidR="00CE79E8" w:rsidRPr="00105FFC" w:rsidRDefault="00CE79E8" w:rsidP="00B25D7D">
      <w:pPr>
        <w:spacing w:line="276" w:lineRule="auto"/>
        <w:rPr>
          <w:rFonts w:asciiTheme="minorHAnsi" w:hAnsiTheme="minorHAnsi" w:cs="Arial"/>
        </w:rPr>
      </w:pPr>
      <w:r w:rsidRPr="00105FFC">
        <w:rPr>
          <w:rFonts w:asciiTheme="minorHAnsi" w:hAnsiTheme="minorHAnsi"/>
        </w:rPr>
        <w:t xml:space="preserve">The unique characteristics of Medi-Cal beneficiaries pose particular challenges to policy makers seeking to </w:t>
      </w:r>
      <w:r w:rsidR="00643197" w:rsidRPr="00105FFC">
        <w:rPr>
          <w:rFonts w:asciiTheme="minorHAnsi" w:hAnsiTheme="minorHAnsi"/>
        </w:rPr>
        <w:t>provide</w:t>
      </w:r>
      <w:r w:rsidRPr="00105FFC">
        <w:rPr>
          <w:rFonts w:asciiTheme="minorHAnsi" w:hAnsiTheme="minorHAnsi"/>
        </w:rPr>
        <w:t xml:space="preserve"> access to care. </w:t>
      </w:r>
      <w:r w:rsidRPr="00105FFC">
        <w:rPr>
          <w:rFonts w:asciiTheme="minorHAnsi" w:hAnsiTheme="minorHAnsi" w:cs="Arial"/>
        </w:rPr>
        <w:t xml:space="preserve">Knowledge of the Medi-Cal population’s unique demographic and clinical characteristics provides administrators with a better understanding of how to </w:t>
      </w:r>
      <w:r w:rsidR="00643197" w:rsidRPr="00105FFC">
        <w:rPr>
          <w:rFonts w:asciiTheme="minorHAnsi" w:hAnsiTheme="minorHAnsi" w:cs="Arial"/>
        </w:rPr>
        <w:t xml:space="preserve">shape policies and processes so </w:t>
      </w:r>
      <w:r w:rsidRPr="00105FFC">
        <w:rPr>
          <w:rFonts w:asciiTheme="minorHAnsi" w:hAnsiTheme="minorHAnsi" w:cs="Arial"/>
        </w:rPr>
        <w:t>that all beneficiaries are able to successfully obtain needed health care services. The California Health Interview Survey (CHIS), a population-based telephone survey</w:t>
      </w:r>
      <w:r w:rsidRPr="00105FFC">
        <w:rPr>
          <w:rFonts w:asciiTheme="minorHAnsi" w:hAnsiTheme="minorHAnsi"/>
        </w:rPr>
        <w:t xml:space="preserve"> </w:t>
      </w:r>
      <w:r w:rsidRPr="00105FFC">
        <w:rPr>
          <w:rFonts w:asciiTheme="minorHAnsi" w:hAnsiTheme="minorHAnsi" w:cs="Arial"/>
        </w:rPr>
        <w:t>representing California’s noninstitutionalized population living in households, provides a source for examining the characteristics of the Medi-Cal population. Although the data does not allow DHCS to specifically isolate the experiences of FFS respondents, it remains a valuable source of information about the Medi-Cal population in general. The CHIS presents information on socio-demographic determinants of health and health behaviors that are not available in administrative data, and allows for comparisons between the Medi-Cal population and individuals with private insurance.</w:t>
      </w:r>
    </w:p>
    <w:p w14:paraId="745DD56D" w14:textId="77777777" w:rsidR="00B25D7D" w:rsidRPr="00105FFC" w:rsidRDefault="00B25D7D" w:rsidP="00B25D7D">
      <w:pPr>
        <w:spacing w:line="276" w:lineRule="auto"/>
        <w:rPr>
          <w:rFonts w:asciiTheme="minorHAnsi" w:hAnsiTheme="minorHAnsi" w:cs="Arial"/>
        </w:rPr>
      </w:pPr>
    </w:p>
    <w:p w14:paraId="4ED1A2B8" w14:textId="77777777" w:rsidR="00CE79E8" w:rsidRPr="00105FFC" w:rsidRDefault="00CE79E8" w:rsidP="00B25D7D">
      <w:pPr>
        <w:spacing w:line="276" w:lineRule="auto"/>
        <w:rPr>
          <w:rFonts w:asciiTheme="minorHAnsi" w:hAnsiTheme="minorHAnsi" w:cs="Arial"/>
        </w:rPr>
      </w:pPr>
      <w:r w:rsidRPr="00105FFC">
        <w:rPr>
          <w:rFonts w:asciiTheme="minorHAnsi" w:hAnsiTheme="minorHAnsi" w:cs="Arial"/>
        </w:rPr>
        <w:lastRenderedPageBreak/>
        <w:t xml:space="preserve">According to the 2013-14 CHIS, Medi-Cal beneficiaries tend to be of lower socioeconomic status. Most Medi-Cal beneficiaries (80.5%) had an income below 200% of the Federal Poverty Level (FPL) while less than a fifth (17.6%) of individuals with private insurance had an income below 200% FPL. Additionally, food insecurity was prevalent among the Medi-Cal population:  Nonelderly adults enrolled in Medi-Cal were more than eight times as likely to experience food insecurity as individuals with private insurance (42.2% and 5.0%, respectively) (Figure 1). </w:t>
      </w:r>
    </w:p>
    <w:p w14:paraId="5B5C4AE1" w14:textId="77777777" w:rsidR="00B25D7D" w:rsidRPr="00105FFC" w:rsidRDefault="00B25D7D" w:rsidP="00B25D7D">
      <w:pPr>
        <w:spacing w:line="276" w:lineRule="auto"/>
        <w:rPr>
          <w:rFonts w:asciiTheme="minorHAnsi" w:hAnsiTheme="minorHAnsi" w:cs="Arial"/>
        </w:rPr>
      </w:pPr>
    </w:p>
    <w:p w14:paraId="7EB17200" w14:textId="77777777" w:rsidR="0084562F" w:rsidRPr="00105FFC" w:rsidRDefault="00CE79E8" w:rsidP="00A1544F">
      <w:pPr>
        <w:spacing w:after="120" w:line="276" w:lineRule="auto"/>
        <w:rPr>
          <w:rFonts w:asciiTheme="minorHAnsi" w:hAnsiTheme="minorHAnsi" w:cs="Arial"/>
        </w:rPr>
      </w:pPr>
      <w:r w:rsidRPr="00105FFC">
        <w:rPr>
          <w:rFonts w:asciiTheme="minorHAnsi" w:hAnsiTheme="minorHAnsi" w:cs="Arial"/>
        </w:rPr>
        <w:t>In addition, nonelderly adults with Medi-Cal coverage generally have lower educational attainment, and were more than four times as likely as individuals with private insurance to not have a high school diploma (28.1% and 6.9%, respectively). In 2013-14, more than half of nonelderly adults enrolled in Medi-Cal were unemployed (54.2%), nearly three times the proportion among nonelderly adults with private insurance (18.3%). Additionally, nonelderly adults enrolled in Medi-Cal are less likely to live in safe and trusting neighborhoods. When compared to individuals with private insurance, nonelderly Medi-Cal adults were less likely to report feeling safe in their neighborhood (42.4% and 50.6%, respectively) and more likely to feel that they couldn’t trust people in their neighborhood (33.7% and 14.4%) (Figure 1).</w:t>
      </w:r>
    </w:p>
    <w:p w14:paraId="786F6926" w14:textId="77777777" w:rsidR="00CE79E8" w:rsidRPr="00105FFC" w:rsidRDefault="00CE79E8" w:rsidP="0084562F">
      <w:pPr>
        <w:pStyle w:val="Caption"/>
        <w:spacing w:after="0" w:line="276" w:lineRule="auto"/>
        <w:rPr>
          <w:rFonts w:asciiTheme="minorHAnsi" w:hAnsiTheme="minorHAnsi" w:cs="Arial"/>
          <w:color w:val="auto"/>
          <w:sz w:val="20"/>
          <w:szCs w:val="20"/>
        </w:rPr>
      </w:pPr>
      <w:bookmarkStart w:id="23" w:name="_Toc458782939"/>
      <w:bookmarkStart w:id="24" w:name="_Toc459285050"/>
      <w:bookmarkStart w:id="25" w:name="_Toc459285241"/>
      <w:bookmarkStart w:id="26" w:name="_Toc459286682"/>
      <w:r w:rsidRPr="00105FFC">
        <w:rPr>
          <w:rFonts w:asciiTheme="minorHAnsi" w:hAnsiTheme="minorHAnsi"/>
          <w:color w:val="auto"/>
        </w:rPr>
        <w:t xml:space="preserve">Figure </w:t>
      </w:r>
      <w:r w:rsidRPr="00105FFC">
        <w:rPr>
          <w:rFonts w:asciiTheme="minorHAnsi" w:hAnsiTheme="minorHAnsi"/>
          <w:color w:val="auto"/>
        </w:rPr>
        <w:fldChar w:fldCharType="begin"/>
      </w:r>
      <w:r w:rsidRPr="00105FFC">
        <w:rPr>
          <w:rFonts w:asciiTheme="minorHAnsi" w:hAnsiTheme="minorHAnsi"/>
          <w:color w:val="auto"/>
        </w:rPr>
        <w:instrText xml:space="preserve"> SEQ Figure \* ARABIC </w:instrText>
      </w:r>
      <w:r w:rsidRPr="00105FFC">
        <w:rPr>
          <w:rFonts w:asciiTheme="minorHAnsi" w:hAnsiTheme="minorHAnsi"/>
          <w:color w:val="auto"/>
        </w:rPr>
        <w:fldChar w:fldCharType="separate"/>
      </w:r>
      <w:r w:rsidR="000E1B8E">
        <w:rPr>
          <w:rFonts w:asciiTheme="minorHAnsi" w:hAnsiTheme="minorHAnsi"/>
          <w:noProof/>
          <w:color w:val="auto"/>
        </w:rPr>
        <w:t>1</w:t>
      </w:r>
      <w:r w:rsidRPr="00105FFC">
        <w:rPr>
          <w:rFonts w:asciiTheme="minorHAnsi" w:hAnsiTheme="minorHAnsi"/>
          <w:color w:val="auto"/>
        </w:rPr>
        <w:fldChar w:fldCharType="end"/>
      </w:r>
      <w:r w:rsidRPr="00105FFC">
        <w:rPr>
          <w:rFonts w:asciiTheme="minorHAnsi" w:hAnsiTheme="minorHAnsi" w:cs="Arial"/>
          <w:color w:val="auto"/>
          <w:sz w:val="20"/>
          <w:szCs w:val="20"/>
        </w:rPr>
        <w:t xml:space="preserve">: </w:t>
      </w:r>
      <w:r w:rsidRPr="00105FFC">
        <w:rPr>
          <w:rFonts w:asciiTheme="minorHAnsi" w:hAnsiTheme="minorHAnsi" w:cs="Arial"/>
          <w:b w:val="0"/>
          <w:color w:val="auto"/>
          <w:sz w:val="20"/>
          <w:szCs w:val="20"/>
        </w:rPr>
        <w:t>Socioeconomic Characteristics of California's Nonelderly Adult Population by Insurance Coverage, 2013-14 CHIS</w:t>
      </w:r>
      <w:bookmarkEnd w:id="23"/>
      <w:bookmarkEnd w:id="24"/>
      <w:bookmarkEnd w:id="25"/>
      <w:bookmarkEnd w:id="26"/>
    </w:p>
    <w:p w14:paraId="6521E072" w14:textId="77777777" w:rsidR="00CE79E8" w:rsidRPr="00105FFC" w:rsidRDefault="00CE79E8" w:rsidP="0084562F">
      <w:pPr>
        <w:spacing w:line="276" w:lineRule="auto"/>
        <w:rPr>
          <w:rFonts w:asciiTheme="minorHAnsi" w:hAnsiTheme="minorHAnsi" w:cs="Arial"/>
        </w:rPr>
      </w:pPr>
      <w:r w:rsidRPr="00105FFC">
        <w:rPr>
          <w:rFonts w:asciiTheme="minorHAnsi" w:hAnsiTheme="minorHAnsi"/>
          <w:noProof/>
          <w:shd w:val="clear" w:color="auto" w:fill="D9D9D9" w:themeFill="background1" w:themeFillShade="D9"/>
        </w:rPr>
        <w:drawing>
          <wp:inline distT="0" distB="0" distL="0" distR="0" wp14:anchorId="3F979CBF" wp14:editId="36653077">
            <wp:extent cx="5943600" cy="2468880"/>
            <wp:effectExtent l="0" t="0" r="0" b="7620"/>
            <wp:docPr id="1" name="Chart 1" descr="Below 200% of the Federal Poverty Level: Medi-Cal 80.5% Private 17.6%&#10;Food Insecurity: Medi-Cal 42.2%Private 5.0%&#10;Less Than a High School Education:  Medi-Cal 28.1% Private 6.9%&#10;Unemployed:  Medi-Cal 54.2% Private 18.3%&#10;Do not feel safe in neighborhood: Medi-Cal 25.2% Private 9.2%&#10;Can't trust neighbors:  Medi-Cal 33.7% Private 14.4%&#10;" title="Socioeconomic Characteristics of California's Nonelderly Adult Population by Insurance Coverage, 2013-14 CHI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05FFC">
        <w:rPr>
          <w:rFonts w:asciiTheme="minorHAnsi" w:hAnsiTheme="minorHAnsi"/>
          <w:b/>
          <w:sz w:val="16"/>
          <w:szCs w:val="16"/>
        </w:rPr>
        <w:t>Source:</w:t>
      </w:r>
      <w:r w:rsidRPr="00105FFC">
        <w:rPr>
          <w:rFonts w:asciiTheme="minorHAnsi" w:hAnsiTheme="minorHAnsi"/>
          <w:sz w:val="16"/>
          <w:szCs w:val="16"/>
        </w:rPr>
        <w:t xml:space="preserve"> Created by DHCS Research and Analytic Studies Division using 2013–14 California Health Interview Survey data obtained by the University of California at Los Angeles.</w:t>
      </w:r>
    </w:p>
    <w:p w14:paraId="5FAC692D" w14:textId="77777777" w:rsidR="0084562F" w:rsidRPr="00105FFC" w:rsidRDefault="0084562F" w:rsidP="0084562F">
      <w:pPr>
        <w:spacing w:line="276" w:lineRule="auto"/>
        <w:rPr>
          <w:rFonts w:asciiTheme="minorHAnsi" w:hAnsiTheme="minorHAnsi" w:cs="Arial"/>
        </w:rPr>
      </w:pPr>
    </w:p>
    <w:p w14:paraId="744BD589" w14:textId="77777777" w:rsidR="0084562F" w:rsidRPr="00105FFC" w:rsidRDefault="00CE79E8" w:rsidP="00B43BB5">
      <w:pPr>
        <w:spacing w:after="120" w:line="276" w:lineRule="auto"/>
        <w:rPr>
          <w:rFonts w:asciiTheme="minorHAnsi" w:hAnsiTheme="minorHAnsi" w:cs="Arial"/>
        </w:rPr>
      </w:pPr>
      <w:r w:rsidRPr="00105FFC">
        <w:rPr>
          <w:rFonts w:asciiTheme="minorHAnsi" w:hAnsiTheme="minorHAnsi" w:cs="Arial"/>
        </w:rPr>
        <w:lastRenderedPageBreak/>
        <w:t>Medi-Cal beneficiaries tend to have more physical and mental health problems than other populations. Nonelderly adults enrolled in Medi-Cal were more than three times as likely as individuals with private insurance to have a fair or poor health status (34.9% and 11.2%, respectively). Medi-Cal beneficiaries were also more likely to have one or more chronic conditions than individuals with private insurance (44.9% and 33.2%, respectively).  More than a third of nonelderly adults enrolled in Medi-Cal were obese (34.5%), which was more than a third higher than among nonelderly adults with private insurance (23.8%). Additionally, nonelderly Medi-Cal adults were more likely to have serious psychological distress than individuals with private insurance (15.9% and 6.3%, respectively) (Figure 2).</w:t>
      </w:r>
    </w:p>
    <w:p w14:paraId="1C4BE215" w14:textId="77777777" w:rsidR="00CE79E8" w:rsidRPr="00105FFC" w:rsidRDefault="00CE79E8" w:rsidP="0084562F">
      <w:pPr>
        <w:spacing w:line="276" w:lineRule="auto"/>
        <w:rPr>
          <w:rFonts w:asciiTheme="minorHAnsi" w:hAnsiTheme="minorHAnsi" w:cs="Arial"/>
        </w:rPr>
      </w:pPr>
      <w:bookmarkStart w:id="27" w:name="_Toc458782940"/>
      <w:bookmarkStart w:id="28" w:name="_Toc459285051"/>
      <w:bookmarkStart w:id="29" w:name="_Toc459285242"/>
      <w:bookmarkStart w:id="30" w:name="_Toc459286683"/>
      <w:r w:rsidRPr="00105FFC">
        <w:rPr>
          <w:rFonts w:asciiTheme="minorHAnsi" w:hAnsiTheme="minorHAnsi" w:cs="Arial"/>
          <w:b/>
          <w:bCs/>
          <w:sz w:val="20"/>
          <w:szCs w:val="20"/>
        </w:rPr>
        <w:t xml:space="preserve">Figure </w:t>
      </w:r>
      <w:r w:rsidRPr="00105FFC">
        <w:rPr>
          <w:rFonts w:asciiTheme="minorHAnsi" w:hAnsiTheme="minorHAnsi" w:cs="Arial"/>
          <w:b/>
          <w:bCs/>
          <w:sz w:val="20"/>
          <w:szCs w:val="20"/>
        </w:rPr>
        <w:fldChar w:fldCharType="begin"/>
      </w:r>
      <w:r w:rsidRPr="00105FFC">
        <w:rPr>
          <w:rFonts w:asciiTheme="minorHAnsi" w:hAnsiTheme="minorHAnsi" w:cs="Arial"/>
          <w:b/>
          <w:bCs/>
          <w:sz w:val="20"/>
          <w:szCs w:val="20"/>
        </w:rPr>
        <w:instrText xml:space="preserve"> SEQ Figure \* ARABIC </w:instrText>
      </w:r>
      <w:r w:rsidRPr="00105FFC">
        <w:rPr>
          <w:rFonts w:asciiTheme="minorHAnsi" w:hAnsiTheme="minorHAnsi" w:cs="Arial"/>
          <w:b/>
          <w:bCs/>
          <w:sz w:val="20"/>
          <w:szCs w:val="20"/>
        </w:rPr>
        <w:fldChar w:fldCharType="separate"/>
      </w:r>
      <w:r w:rsidR="000E1B8E">
        <w:rPr>
          <w:rFonts w:asciiTheme="minorHAnsi" w:hAnsiTheme="minorHAnsi" w:cs="Arial"/>
          <w:b/>
          <w:bCs/>
          <w:noProof/>
          <w:sz w:val="20"/>
          <w:szCs w:val="20"/>
        </w:rPr>
        <w:t>2</w:t>
      </w:r>
      <w:r w:rsidRPr="00105FFC">
        <w:rPr>
          <w:rFonts w:asciiTheme="minorHAnsi" w:hAnsiTheme="minorHAnsi" w:cs="Arial"/>
          <w:b/>
          <w:bCs/>
          <w:sz w:val="20"/>
          <w:szCs w:val="20"/>
        </w:rPr>
        <w:fldChar w:fldCharType="end"/>
      </w:r>
      <w:r w:rsidRPr="00105FFC">
        <w:rPr>
          <w:rFonts w:asciiTheme="minorHAnsi" w:hAnsiTheme="minorHAnsi" w:cs="Arial"/>
          <w:b/>
          <w:bCs/>
          <w:sz w:val="20"/>
          <w:szCs w:val="20"/>
        </w:rPr>
        <w:t>:</w:t>
      </w:r>
      <w:r w:rsidRPr="00105FFC">
        <w:rPr>
          <w:rFonts w:asciiTheme="minorHAnsi" w:hAnsiTheme="minorHAnsi" w:cs="Arial"/>
          <w:bCs/>
          <w:sz w:val="20"/>
          <w:szCs w:val="20"/>
        </w:rPr>
        <w:t xml:space="preserve"> Health Characteristics of California's Nonelderly Adult Population by Insurance Coverage, 2013-2014 CHIS</w:t>
      </w:r>
      <w:bookmarkEnd w:id="27"/>
      <w:bookmarkEnd w:id="28"/>
      <w:bookmarkEnd w:id="29"/>
      <w:bookmarkEnd w:id="30"/>
    </w:p>
    <w:p w14:paraId="262CF61B" w14:textId="77777777" w:rsidR="00CE79E8" w:rsidRPr="00105FFC" w:rsidRDefault="00CE79E8" w:rsidP="00CE79E8">
      <w:pPr>
        <w:spacing w:line="276" w:lineRule="auto"/>
        <w:rPr>
          <w:rFonts w:asciiTheme="minorHAnsi" w:hAnsiTheme="minorHAnsi" w:cs="Arial"/>
        </w:rPr>
      </w:pPr>
      <w:r w:rsidRPr="00105FFC">
        <w:rPr>
          <w:rFonts w:asciiTheme="minorHAnsi" w:hAnsiTheme="minorHAnsi"/>
          <w:noProof/>
        </w:rPr>
        <w:drawing>
          <wp:inline distT="0" distB="0" distL="0" distR="0" wp14:anchorId="63012057" wp14:editId="3D42A503">
            <wp:extent cx="5943600" cy="2468880"/>
            <wp:effectExtent l="0" t="0" r="0" b="7620"/>
            <wp:docPr id="5" name="Chart 5" descr="Fair or Poor Health: Medi-Cal 34.9% Private 11.2%&#10;One or More Chronic Conditions: Medi-Cal 44.9% Private 33.2%&#10;Obese: Medi-Cal 34.5% Private 23.8%&#10;Disabled: Medi-Cal 43.5% Private 17.9%&#10;Serious Psychological Distress: Medi-Cal 15.9% Private 6.3%&#10;Daily Smokers: Medi-Cal 13.0% Private 5.7%&#10;" title="Health Characteristics of California's Nonelderly Adult Population by Insurance Coverage, 2013-2014 CHIS"/>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EA1F4F" w14:textId="77777777" w:rsidR="00CE79E8" w:rsidRPr="00105FFC" w:rsidRDefault="00CE79E8" w:rsidP="00B25D7D">
      <w:pPr>
        <w:pStyle w:val="Source"/>
        <w:spacing w:after="0"/>
        <w:rPr>
          <w:rFonts w:asciiTheme="minorHAnsi" w:hAnsiTheme="minorHAnsi"/>
          <w:szCs w:val="16"/>
        </w:rPr>
      </w:pPr>
      <w:r w:rsidRPr="00105FFC">
        <w:rPr>
          <w:rFonts w:asciiTheme="minorHAnsi" w:hAnsiTheme="minorHAnsi"/>
          <w:b/>
          <w:szCs w:val="16"/>
        </w:rPr>
        <w:t>Source:</w:t>
      </w:r>
      <w:r w:rsidRPr="00105FFC">
        <w:rPr>
          <w:rFonts w:asciiTheme="minorHAnsi" w:hAnsiTheme="minorHAnsi"/>
          <w:szCs w:val="16"/>
        </w:rPr>
        <w:t xml:space="preserve"> Created by DHCS Research and Analytic Studies Division using 2013–14 California Health Interview Survey data obtained by the University of California at Los Angeles.</w:t>
      </w:r>
    </w:p>
    <w:p w14:paraId="21BFE7B4" w14:textId="77777777" w:rsidR="00B25D7D" w:rsidRPr="00105FFC" w:rsidRDefault="00B25D7D" w:rsidP="00B25D7D">
      <w:pPr>
        <w:spacing w:line="276" w:lineRule="auto"/>
        <w:rPr>
          <w:rFonts w:asciiTheme="minorHAnsi" w:hAnsiTheme="minorHAnsi"/>
        </w:rPr>
      </w:pPr>
    </w:p>
    <w:p w14:paraId="5A289B3D" w14:textId="77777777" w:rsidR="00CE79E8" w:rsidRPr="00105FFC" w:rsidRDefault="00CE79E8" w:rsidP="00CE79E8">
      <w:pPr>
        <w:spacing w:after="120" w:line="276" w:lineRule="auto"/>
        <w:rPr>
          <w:rFonts w:asciiTheme="minorHAnsi" w:hAnsiTheme="minorHAnsi"/>
        </w:rPr>
      </w:pPr>
      <w:r w:rsidRPr="00105FFC">
        <w:rPr>
          <w:rFonts w:asciiTheme="minorHAnsi" w:hAnsiTheme="minorHAnsi"/>
        </w:rPr>
        <w:t xml:space="preserve">Unlike the more homogenous populations covered by commercial and employer-based private insurance, Medi-Cal provides medical coverage to a variety of disadvantaged sub-populations. The Medi-Cal population is comprised of a diverse set of sub-populations with unique demographic traits, clinical characteristics, benefit packages, and Medi-Cal administrative complexities. Understanding the general characteristics of the Medi-Cal population is the first step in a multi-dimensional process for understanding access to needed health care services. An assessment of access to health care services requires an examination of the relationships between human behavior, organizational structures, environmental influences, public policy, and economic </w:t>
      </w:r>
      <w:r w:rsidR="00944F29" w:rsidRPr="00105FFC">
        <w:rPr>
          <w:rFonts w:asciiTheme="minorHAnsi" w:hAnsiTheme="minorHAnsi"/>
        </w:rPr>
        <w:t>factors</w:t>
      </w:r>
      <w:r w:rsidRPr="00105FFC">
        <w:rPr>
          <w:rFonts w:asciiTheme="minorHAnsi" w:hAnsiTheme="minorHAnsi"/>
        </w:rPr>
        <w:t>.</w:t>
      </w:r>
    </w:p>
    <w:p w14:paraId="62D84B80" w14:textId="77777777" w:rsidR="00CE79E8" w:rsidRPr="00105FFC" w:rsidRDefault="00CE79E8" w:rsidP="00CE79E8">
      <w:pPr>
        <w:pStyle w:val="Heading2"/>
        <w:spacing w:before="0" w:after="120" w:line="276" w:lineRule="auto"/>
        <w:rPr>
          <w:rFonts w:asciiTheme="minorHAnsi" w:eastAsiaTheme="minorHAnsi" w:hAnsiTheme="minorHAnsi"/>
          <w:color w:val="auto"/>
        </w:rPr>
      </w:pPr>
      <w:bookmarkStart w:id="31" w:name="_Toc459287708"/>
      <w:r w:rsidRPr="00105FFC">
        <w:rPr>
          <w:rFonts w:asciiTheme="minorHAnsi" w:eastAsiaTheme="minorHAnsi" w:hAnsiTheme="minorHAnsi"/>
          <w:color w:val="auto"/>
        </w:rPr>
        <w:lastRenderedPageBreak/>
        <w:t>Medi-Cal Program Changes</w:t>
      </w:r>
      <w:bookmarkEnd w:id="31"/>
    </w:p>
    <w:p w14:paraId="1ED54D43" w14:textId="77777777" w:rsidR="00CE79E8" w:rsidRPr="00105FFC" w:rsidRDefault="00CE79E8" w:rsidP="00CE79E8">
      <w:pPr>
        <w:spacing w:after="120" w:line="276" w:lineRule="auto"/>
        <w:rPr>
          <w:rFonts w:asciiTheme="minorHAnsi" w:eastAsiaTheme="minorHAnsi" w:hAnsiTheme="minorHAnsi" w:cs="Arial"/>
        </w:rPr>
      </w:pPr>
      <w:r w:rsidRPr="00105FFC">
        <w:rPr>
          <w:rFonts w:asciiTheme="minorHAnsi" w:eastAsiaTheme="minorHAnsi" w:hAnsiTheme="minorHAnsi" w:cs="Arial"/>
        </w:rPr>
        <w:t>Along with a general understanding of how the overall Medi-Cal population differs from individuals with private health insurance, it is also important to understand how the FFS delivery system has come to serve only a fraction of the 13.5 million Medi-Cal beneficiaries, and how this fact impacts analyses of access to care.</w:t>
      </w:r>
    </w:p>
    <w:p w14:paraId="7801BC0F" w14:textId="77777777" w:rsidR="00DF6438" w:rsidRPr="00105FFC" w:rsidRDefault="00CE79E8" w:rsidP="002D04DA">
      <w:pPr>
        <w:spacing w:after="120" w:line="276" w:lineRule="auto"/>
        <w:rPr>
          <w:rFonts w:asciiTheme="minorHAnsi" w:eastAsiaTheme="minorHAnsi" w:hAnsiTheme="minorHAnsi" w:cs="Arial"/>
        </w:rPr>
      </w:pPr>
      <w:r w:rsidRPr="00105FFC">
        <w:rPr>
          <w:rFonts w:asciiTheme="minorHAnsi" w:eastAsiaTheme="minorHAnsi" w:hAnsiTheme="minorHAnsi" w:cs="Arial"/>
        </w:rPr>
        <w:t xml:space="preserve">In general, </w:t>
      </w:r>
      <w:r w:rsidR="00A1544F" w:rsidRPr="00105FFC">
        <w:rPr>
          <w:rFonts w:asciiTheme="minorHAnsi" w:eastAsiaTheme="minorHAnsi" w:hAnsiTheme="minorHAnsi" w:cs="Arial"/>
        </w:rPr>
        <w:t xml:space="preserve">as noted above </w:t>
      </w:r>
      <w:r w:rsidRPr="00105FFC">
        <w:rPr>
          <w:rFonts w:asciiTheme="minorHAnsi" w:eastAsiaTheme="minorHAnsi" w:hAnsiTheme="minorHAnsi" w:cs="Arial"/>
        </w:rPr>
        <w:t>Medi-Cal beneficiaries receive care through one of two service delivery systems: FFS and managed care. Under the FFS delivery system, beneficiaries seek medical services from a Medi-Cal provider and the provider bills the Medi-Cal program for each service administered. Under the FFS system, beneficiaries are responsible for locating their own providers. In the second delivery system, Medi-Cal managed care, DHCS contracts with health care plans to administer health care services to Medi-Cal plan members. The contracting health plans are paid a monthly payment for each Medi-Cal member and assume the financial risk for all delegated health care services. Health plans arrange and coordinate care for each</w:t>
      </w:r>
      <w:r w:rsidR="00B43BB5">
        <w:rPr>
          <w:rFonts w:asciiTheme="minorHAnsi" w:eastAsiaTheme="minorHAnsi" w:hAnsiTheme="minorHAnsi" w:cs="Arial"/>
        </w:rPr>
        <w:t xml:space="preserve"> </w:t>
      </w:r>
      <w:r w:rsidR="00DF6438" w:rsidRPr="00105FFC">
        <w:rPr>
          <w:rFonts w:asciiTheme="minorHAnsi" w:eastAsiaTheme="minorHAnsi" w:hAnsiTheme="minorHAnsi" w:cs="Arial"/>
        </w:rPr>
        <w:t>member through a defined network of providers. Both FFS and managed care delivery systems serve beneficiaries who are eligible</w:t>
      </w:r>
      <w:r w:rsidR="003B2B86" w:rsidRPr="00105FFC">
        <w:rPr>
          <w:rFonts w:asciiTheme="minorHAnsi" w:eastAsiaTheme="minorHAnsi" w:hAnsiTheme="minorHAnsi" w:cs="Arial"/>
        </w:rPr>
        <w:t xml:space="preserve"> only</w:t>
      </w:r>
      <w:r w:rsidR="00DF6438" w:rsidRPr="00105FFC">
        <w:rPr>
          <w:rFonts w:asciiTheme="minorHAnsi" w:eastAsiaTheme="minorHAnsi" w:hAnsiTheme="minorHAnsi" w:cs="Arial"/>
        </w:rPr>
        <w:t xml:space="preserve"> for Medi-Cal benefits (Medi-Cal Only), as well as those dually eligible for Medi-Cal and Medic</w:t>
      </w:r>
      <w:r w:rsidR="003B2B86" w:rsidRPr="00105FFC">
        <w:rPr>
          <w:rFonts w:asciiTheme="minorHAnsi" w:eastAsiaTheme="minorHAnsi" w:hAnsiTheme="minorHAnsi" w:cs="Arial"/>
        </w:rPr>
        <w:t>are benefits (Dual E</w:t>
      </w:r>
      <w:r w:rsidR="00AE53DB" w:rsidRPr="00105FFC">
        <w:rPr>
          <w:rFonts w:asciiTheme="minorHAnsi" w:eastAsiaTheme="minorHAnsi" w:hAnsiTheme="minorHAnsi" w:cs="Arial"/>
        </w:rPr>
        <w:t xml:space="preserve">ligibles). </w:t>
      </w:r>
    </w:p>
    <w:p w14:paraId="7598788B" w14:textId="77777777" w:rsidR="00DF6438" w:rsidRPr="00105FFC" w:rsidRDefault="00DF6438" w:rsidP="00B25D7D">
      <w:pPr>
        <w:spacing w:line="276" w:lineRule="auto"/>
        <w:rPr>
          <w:rFonts w:asciiTheme="minorHAnsi" w:eastAsiaTheme="minorHAnsi" w:hAnsiTheme="minorHAnsi" w:cs="Arial"/>
        </w:rPr>
      </w:pPr>
      <w:r w:rsidRPr="00105FFC">
        <w:rPr>
          <w:rFonts w:asciiTheme="minorHAnsi" w:eastAsiaTheme="minorHAnsi" w:hAnsiTheme="minorHAnsi" w:cs="Arial"/>
        </w:rPr>
        <w:t xml:space="preserve">Since 2008, California has progressively expanded the Medi-Cal managed care delivery system throughout the </w:t>
      </w:r>
      <w:r w:rsidR="003B2B86" w:rsidRPr="00105FFC">
        <w:rPr>
          <w:rFonts w:asciiTheme="minorHAnsi" w:eastAsiaTheme="minorHAnsi" w:hAnsiTheme="minorHAnsi" w:cs="Arial"/>
        </w:rPr>
        <w:t>state. Counties once served exclusively</w:t>
      </w:r>
      <w:r w:rsidRPr="00105FFC">
        <w:rPr>
          <w:rFonts w:asciiTheme="minorHAnsi" w:eastAsiaTheme="minorHAnsi" w:hAnsiTheme="minorHAnsi" w:cs="Arial"/>
        </w:rPr>
        <w:t xml:space="preserve"> by the FFS delivery system saw a majority of their Medi-Cal population shift into </w:t>
      </w:r>
      <w:r w:rsidR="009A0E86" w:rsidRPr="00105FFC">
        <w:rPr>
          <w:rFonts w:asciiTheme="minorHAnsi" w:eastAsiaTheme="minorHAnsi" w:hAnsiTheme="minorHAnsi" w:cs="Arial"/>
        </w:rPr>
        <w:t>contracting</w:t>
      </w:r>
      <w:r w:rsidRPr="00105FFC">
        <w:rPr>
          <w:rFonts w:asciiTheme="minorHAnsi" w:eastAsiaTheme="minorHAnsi" w:hAnsiTheme="minorHAnsi" w:cs="Arial"/>
        </w:rPr>
        <w:t xml:space="preserve"> managed care health plans. In addition, as the Medi-Cal program expanded to cover millions of new individuals, including those part of the Patient Protection and Affordable Care Act (ACA), California required most of them to enroll in</w:t>
      </w:r>
      <w:r w:rsidR="009A0E86" w:rsidRPr="00105FFC">
        <w:rPr>
          <w:rFonts w:asciiTheme="minorHAnsi" w:eastAsiaTheme="minorHAnsi" w:hAnsiTheme="minorHAnsi" w:cs="Arial"/>
        </w:rPr>
        <w:t>to</w:t>
      </w:r>
      <w:r w:rsidRPr="00105FFC">
        <w:rPr>
          <w:rFonts w:asciiTheme="minorHAnsi" w:eastAsiaTheme="minorHAnsi" w:hAnsiTheme="minorHAnsi" w:cs="Arial"/>
        </w:rPr>
        <w:t xml:space="preserve"> managed care. The end result was a massive shift in individuals, away from FFS and into Medi-Cal managed care. </w:t>
      </w:r>
    </w:p>
    <w:p w14:paraId="75555851" w14:textId="77777777" w:rsidR="00B25D7D" w:rsidRPr="00105FFC" w:rsidRDefault="00B25D7D" w:rsidP="00B25D7D">
      <w:pPr>
        <w:spacing w:line="276" w:lineRule="auto"/>
        <w:rPr>
          <w:rFonts w:asciiTheme="minorHAnsi" w:eastAsiaTheme="minorHAnsi" w:hAnsiTheme="minorHAnsi" w:cs="Arial"/>
        </w:rPr>
      </w:pPr>
    </w:p>
    <w:p w14:paraId="662A03F3" w14:textId="77777777" w:rsidR="00053011" w:rsidRPr="00105FFC" w:rsidRDefault="00053011" w:rsidP="00B25D7D">
      <w:pPr>
        <w:pStyle w:val="Caption"/>
        <w:spacing w:after="0" w:line="276" w:lineRule="auto"/>
        <w:rPr>
          <w:rFonts w:asciiTheme="minorHAnsi" w:eastAsiaTheme="minorHAnsi" w:hAnsiTheme="minorHAnsi" w:cs="Arial"/>
          <w:sz w:val="20"/>
          <w:szCs w:val="20"/>
        </w:rPr>
      </w:pPr>
      <w:bookmarkStart w:id="32" w:name="_Toc458782941"/>
      <w:bookmarkStart w:id="33" w:name="_Toc459285052"/>
      <w:bookmarkStart w:id="34" w:name="_Toc459285243"/>
      <w:bookmarkStart w:id="35" w:name="_Toc459286684"/>
      <w:r w:rsidRPr="00105FFC">
        <w:rPr>
          <w:rFonts w:asciiTheme="minorHAnsi" w:hAnsiTheme="minorHAnsi"/>
          <w:color w:val="auto"/>
        </w:rPr>
        <w:t xml:space="preserve">Figure </w:t>
      </w:r>
      <w:r w:rsidRPr="00105FFC">
        <w:rPr>
          <w:rFonts w:asciiTheme="minorHAnsi" w:hAnsiTheme="minorHAnsi"/>
          <w:color w:val="auto"/>
        </w:rPr>
        <w:fldChar w:fldCharType="begin"/>
      </w:r>
      <w:r w:rsidRPr="00105FFC">
        <w:rPr>
          <w:rFonts w:asciiTheme="minorHAnsi" w:hAnsiTheme="minorHAnsi"/>
          <w:color w:val="auto"/>
        </w:rPr>
        <w:instrText xml:space="preserve"> SEQ Figure \* ARABIC </w:instrText>
      </w:r>
      <w:r w:rsidRPr="00105FFC">
        <w:rPr>
          <w:rFonts w:asciiTheme="minorHAnsi" w:hAnsiTheme="minorHAnsi"/>
          <w:color w:val="auto"/>
        </w:rPr>
        <w:fldChar w:fldCharType="separate"/>
      </w:r>
      <w:r w:rsidR="000E1B8E">
        <w:rPr>
          <w:rFonts w:asciiTheme="minorHAnsi" w:hAnsiTheme="minorHAnsi"/>
          <w:noProof/>
          <w:color w:val="auto"/>
        </w:rPr>
        <w:t>3</w:t>
      </w:r>
      <w:r w:rsidRPr="00105FFC">
        <w:rPr>
          <w:rFonts w:asciiTheme="minorHAnsi" w:hAnsiTheme="minorHAnsi"/>
          <w:color w:val="auto"/>
        </w:rPr>
        <w:fldChar w:fldCharType="end"/>
      </w:r>
      <w:r w:rsidRPr="00105FFC">
        <w:rPr>
          <w:rFonts w:asciiTheme="minorHAnsi" w:hAnsiTheme="minorHAnsi"/>
          <w:color w:val="auto"/>
        </w:rPr>
        <w:t xml:space="preserve">: </w:t>
      </w:r>
      <w:r w:rsidRPr="00105FFC">
        <w:rPr>
          <w:rFonts w:asciiTheme="minorHAnsi" w:eastAsiaTheme="minorHAnsi" w:hAnsiTheme="minorHAnsi" w:cs="Arial"/>
          <w:b w:val="0"/>
          <w:color w:val="auto"/>
          <w:sz w:val="20"/>
          <w:szCs w:val="20"/>
        </w:rPr>
        <w:t>Biannual Trend in Medi-Cal FFS</w:t>
      </w:r>
      <w:r w:rsidR="00ED5F7E" w:rsidRPr="00105FFC">
        <w:rPr>
          <w:rFonts w:asciiTheme="minorHAnsi" w:eastAsiaTheme="minorHAnsi" w:hAnsiTheme="minorHAnsi" w:cs="Arial"/>
          <w:b w:val="0"/>
          <w:color w:val="auto"/>
          <w:sz w:val="20"/>
          <w:szCs w:val="20"/>
        </w:rPr>
        <w:t xml:space="preserve"> and Managed Care Participation from</w:t>
      </w:r>
      <w:r w:rsidRPr="00105FFC">
        <w:rPr>
          <w:rFonts w:asciiTheme="minorHAnsi" w:eastAsiaTheme="minorHAnsi" w:hAnsiTheme="minorHAnsi" w:cs="Arial"/>
          <w:b w:val="0"/>
          <w:color w:val="auto"/>
          <w:sz w:val="20"/>
          <w:szCs w:val="20"/>
        </w:rPr>
        <w:t xml:space="preserve"> January 2008-January 2016</w:t>
      </w:r>
      <w:bookmarkEnd w:id="32"/>
      <w:bookmarkEnd w:id="33"/>
      <w:bookmarkEnd w:id="34"/>
      <w:bookmarkEnd w:id="35"/>
    </w:p>
    <w:p w14:paraId="74E66A19" w14:textId="77777777" w:rsidR="00053011" w:rsidRPr="00105FFC" w:rsidRDefault="00053011" w:rsidP="00B25D7D">
      <w:pPr>
        <w:spacing w:line="276" w:lineRule="auto"/>
        <w:rPr>
          <w:rFonts w:asciiTheme="minorHAnsi" w:eastAsiaTheme="minorHAnsi" w:hAnsiTheme="minorHAnsi" w:cs="Arial"/>
          <w:sz w:val="20"/>
          <w:szCs w:val="20"/>
        </w:rPr>
      </w:pPr>
      <w:r w:rsidRPr="00105FFC">
        <w:rPr>
          <w:rFonts w:asciiTheme="minorHAnsi" w:eastAsiaTheme="minorHAnsi" w:hAnsiTheme="minorHAnsi" w:cs="Arial"/>
          <w:noProof/>
        </w:rPr>
        <w:lastRenderedPageBreak/>
        <w:drawing>
          <wp:inline distT="0" distB="0" distL="0" distR="0" wp14:anchorId="40C14426" wp14:editId="51603A66">
            <wp:extent cx="5943600" cy="2468880"/>
            <wp:effectExtent l="0" t="0" r="0" b="7620"/>
            <wp:docPr id="2" name="Chart 2" descr="2008-01: FFS 3,303,011 Managed Care 3,299,030 &#10;2008-07: FFS 3,320,759 Managed Care 3,400,244 &#10;2009-01: FFS 3,375,203 Managed Care 3,481,998 &#10;2009-07: FFS 3,446,779 Managed Care 3,642,408 &#10;2010-01: FFS 3,368,757 Managed Care 3,875,201 &#10;2010-07: FFS 3,384,479 Managed Care 4,008,010 &#10;2011-01: FFS 3,333,493 Managed Care 4,167,274 &#10;2011-07: FFS 3,063,844 Managed Care 4,526,737 &#10;2012-01: FFS 2,849,974 Managed Care 4,745,533 &#10;2012-07: FFS 2,773,312 Managed Care 4,852,642 &#10;2013-01: FFS 2,801,272 Managed Care 5,063,693 &#10;2013-07: FFS 2,780,023 Managed Care 5,688,965 &#10;2014-01: FFS 3,177,683 Managed Care 6,730,074 &#10;2014-07: FFS 3,670,453 Managed Care 7,852,247 &#10;2015-01 FFS 3,138,954 Managed Care 9,230,472 &#10;2015-07 FFS 2,985,211 Managed Care 9,842,847 &#10;2016-01 FFS 3,108,117 Managed Care 10,376,650 &#10;" title="Biannual Trend in Medi-Cal FFS and Managed Care Participation from January 2008-January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05FFC">
        <w:rPr>
          <w:rFonts w:asciiTheme="minorHAnsi" w:eastAsiaTheme="minorHAnsi" w:hAnsiTheme="minorHAnsi" w:cs="Arial"/>
          <w:b/>
          <w:sz w:val="16"/>
          <w:szCs w:val="16"/>
        </w:rPr>
        <w:t>Source:</w:t>
      </w:r>
      <w:r w:rsidRPr="00105FFC">
        <w:rPr>
          <w:rFonts w:asciiTheme="minorHAnsi" w:eastAsiaTheme="minorHAnsi" w:hAnsiTheme="minorHAnsi" w:cs="Arial"/>
          <w:sz w:val="16"/>
          <w:szCs w:val="16"/>
        </w:rPr>
        <w:t xml:space="preserve"> Created by DHCS Research and Analytic Studies Division</w:t>
      </w:r>
      <w:r w:rsidR="00AE53DB" w:rsidRPr="00105FFC">
        <w:rPr>
          <w:rFonts w:asciiTheme="minorHAnsi" w:eastAsiaTheme="minorHAnsi" w:hAnsiTheme="minorHAnsi" w:cs="Arial"/>
          <w:sz w:val="16"/>
          <w:szCs w:val="16"/>
        </w:rPr>
        <w:t>.</w:t>
      </w:r>
    </w:p>
    <w:p w14:paraId="468145B4" w14:textId="77777777" w:rsidR="00B25D7D" w:rsidRPr="00105FFC" w:rsidRDefault="00B25D7D" w:rsidP="00B25D7D">
      <w:pPr>
        <w:spacing w:line="276" w:lineRule="auto"/>
        <w:rPr>
          <w:rFonts w:asciiTheme="minorHAnsi" w:eastAsiaTheme="minorHAnsi" w:hAnsiTheme="minorHAnsi" w:cs="Arial"/>
        </w:rPr>
      </w:pPr>
    </w:p>
    <w:p w14:paraId="685BF7B5" w14:textId="77777777" w:rsidR="00DF6438" w:rsidRDefault="00DF6438" w:rsidP="002D04DA">
      <w:pPr>
        <w:spacing w:after="120" w:line="276" w:lineRule="auto"/>
        <w:rPr>
          <w:rFonts w:asciiTheme="minorHAnsi" w:eastAsiaTheme="minorHAnsi" w:hAnsiTheme="minorHAnsi" w:cs="Arial"/>
        </w:rPr>
      </w:pPr>
      <w:r w:rsidRPr="00105FFC">
        <w:rPr>
          <w:rFonts w:asciiTheme="minorHAnsi" w:eastAsiaTheme="minorHAnsi" w:hAnsiTheme="minorHAnsi" w:cs="Arial"/>
        </w:rPr>
        <w:t xml:space="preserve">In January 2008, </w:t>
      </w:r>
      <w:r w:rsidR="00ED5F7E" w:rsidRPr="00105FFC">
        <w:rPr>
          <w:rFonts w:asciiTheme="minorHAnsi" w:eastAsiaTheme="minorHAnsi" w:hAnsiTheme="minorHAnsi" w:cs="Arial"/>
        </w:rPr>
        <w:t>Medi-Cal’s 6.6 million certified eligible</w:t>
      </w:r>
      <w:r w:rsidR="00ED5F7E" w:rsidRPr="00105FFC">
        <w:rPr>
          <w:rStyle w:val="FootnoteReference"/>
          <w:rFonts w:asciiTheme="minorHAnsi" w:eastAsiaTheme="minorHAnsi" w:hAnsiTheme="minorHAnsi" w:cs="Arial"/>
        </w:rPr>
        <w:footnoteReference w:id="1"/>
      </w:r>
      <w:r w:rsidR="00ED5F7E" w:rsidRPr="00105FFC">
        <w:rPr>
          <w:rFonts w:asciiTheme="minorHAnsi" w:eastAsiaTheme="minorHAnsi" w:hAnsiTheme="minorHAnsi" w:cs="Arial"/>
        </w:rPr>
        <w:t xml:space="preserve"> beneficiaries</w:t>
      </w:r>
      <w:r w:rsidRPr="00105FFC">
        <w:rPr>
          <w:rFonts w:asciiTheme="minorHAnsi" w:eastAsiaTheme="minorHAnsi" w:hAnsiTheme="minorHAnsi" w:cs="Arial"/>
        </w:rPr>
        <w:t xml:space="preserve"> </w:t>
      </w:r>
      <w:r w:rsidR="00ED5F7E" w:rsidRPr="00105FFC">
        <w:rPr>
          <w:rFonts w:asciiTheme="minorHAnsi" w:eastAsiaTheme="minorHAnsi" w:hAnsiTheme="minorHAnsi" w:cs="Arial"/>
        </w:rPr>
        <w:t>were evenly split between the two</w:t>
      </w:r>
      <w:r w:rsidRPr="00105FFC">
        <w:rPr>
          <w:rFonts w:asciiTheme="minorHAnsi" w:eastAsiaTheme="minorHAnsi" w:hAnsiTheme="minorHAnsi" w:cs="Arial"/>
        </w:rPr>
        <w:t xml:space="preserve"> delivery systems, </w:t>
      </w:r>
      <w:r w:rsidR="00ED5F7E" w:rsidRPr="00105FFC">
        <w:rPr>
          <w:rFonts w:asciiTheme="minorHAnsi" w:eastAsiaTheme="minorHAnsi" w:hAnsiTheme="minorHAnsi" w:cs="Arial"/>
        </w:rPr>
        <w:t>with</w:t>
      </w:r>
      <w:r w:rsidRPr="00105FFC">
        <w:rPr>
          <w:rFonts w:asciiTheme="minorHAnsi" w:eastAsiaTheme="minorHAnsi" w:hAnsiTheme="minorHAnsi" w:cs="Arial"/>
        </w:rPr>
        <w:t xml:space="preserve"> managed care and FFS </w:t>
      </w:r>
      <w:r w:rsidR="00ED5F7E" w:rsidRPr="00105FFC">
        <w:rPr>
          <w:rFonts w:asciiTheme="minorHAnsi" w:eastAsiaTheme="minorHAnsi" w:hAnsiTheme="minorHAnsi" w:cs="Arial"/>
        </w:rPr>
        <w:t>serving</w:t>
      </w:r>
      <w:r w:rsidRPr="00105FFC">
        <w:rPr>
          <w:rFonts w:asciiTheme="minorHAnsi" w:eastAsiaTheme="minorHAnsi" w:hAnsiTheme="minorHAnsi" w:cs="Arial"/>
        </w:rPr>
        <w:t xml:space="preserve"> approximately 3.3 million </w:t>
      </w:r>
      <w:r w:rsidR="00ED5F7E" w:rsidRPr="00105FFC">
        <w:rPr>
          <w:rFonts w:asciiTheme="minorHAnsi" w:eastAsiaTheme="minorHAnsi" w:hAnsiTheme="minorHAnsi" w:cs="Arial"/>
        </w:rPr>
        <w:t>beneficiaries each</w:t>
      </w:r>
      <w:r w:rsidRPr="00105FFC">
        <w:rPr>
          <w:rFonts w:asciiTheme="minorHAnsi" w:eastAsiaTheme="minorHAnsi" w:hAnsiTheme="minorHAnsi" w:cs="Arial"/>
        </w:rPr>
        <w:t>. But by January 2016, even as the overall Medi-Cal program had soared to cover roughly 13.5 million Californians, o</w:t>
      </w:r>
      <w:r w:rsidR="009A0E86" w:rsidRPr="00105FFC">
        <w:rPr>
          <w:rFonts w:asciiTheme="minorHAnsi" w:eastAsiaTheme="minorHAnsi" w:hAnsiTheme="minorHAnsi" w:cs="Arial"/>
        </w:rPr>
        <w:t>nly 3.1 million individuals participated</w:t>
      </w:r>
      <w:r w:rsidRPr="00105FFC">
        <w:rPr>
          <w:rFonts w:asciiTheme="minorHAnsi" w:eastAsiaTheme="minorHAnsi" w:hAnsiTheme="minorHAnsi" w:cs="Arial"/>
        </w:rPr>
        <w:t xml:space="preserve"> in the FFS system. Of all Medi-Cal beneficiaries, 77% were enrolled in managed care</w:t>
      </w:r>
      <w:r w:rsidR="002A3F45" w:rsidRPr="00105FFC">
        <w:rPr>
          <w:rFonts w:asciiTheme="minorHAnsi" w:eastAsiaTheme="minorHAnsi" w:hAnsiTheme="minorHAnsi" w:cs="Arial"/>
        </w:rPr>
        <w:t>,</w:t>
      </w:r>
      <w:r w:rsidRPr="00105FFC">
        <w:rPr>
          <w:rFonts w:asciiTheme="minorHAnsi" w:eastAsiaTheme="minorHAnsi" w:hAnsiTheme="minorHAnsi" w:cs="Arial"/>
        </w:rPr>
        <w:t xml:space="preserve"> while </w:t>
      </w:r>
      <w:r w:rsidR="001D6E99" w:rsidRPr="00105FFC">
        <w:rPr>
          <w:rFonts w:asciiTheme="minorHAnsi" w:eastAsiaTheme="minorHAnsi" w:hAnsiTheme="minorHAnsi" w:cs="Arial"/>
        </w:rPr>
        <w:t xml:space="preserve">only </w:t>
      </w:r>
      <w:r w:rsidRPr="00105FFC">
        <w:rPr>
          <w:rFonts w:asciiTheme="minorHAnsi" w:eastAsiaTheme="minorHAnsi" w:hAnsiTheme="minorHAnsi" w:cs="Arial"/>
        </w:rPr>
        <w:t>23% were enrolled in FFS (Figure 3).</w:t>
      </w:r>
    </w:p>
    <w:p w14:paraId="64693D78" w14:textId="77777777" w:rsidR="00B43BB5" w:rsidRPr="00105FFC" w:rsidRDefault="00B43BB5" w:rsidP="002D04DA">
      <w:pPr>
        <w:spacing w:after="120" w:line="276" w:lineRule="auto"/>
        <w:rPr>
          <w:rFonts w:asciiTheme="minorHAnsi" w:eastAsiaTheme="minorHAnsi" w:hAnsiTheme="minorHAnsi" w:cs="Arial"/>
        </w:rPr>
      </w:pPr>
    </w:p>
    <w:p w14:paraId="34681BCE" w14:textId="77777777" w:rsidR="00DF6438" w:rsidRPr="00105FFC" w:rsidRDefault="00DF6438" w:rsidP="002D04DA">
      <w:pPr>
        <w:pStyle w:val="Heading3"/>
        <w:spacing w:before="0" w:after="120" w:line="276" w:lineRule="auto"/>
        <w:rPr>
          <w:rFonts w:eastAsiaTheme="minorHAnsi"/>
        </w:rPr>
      </w:pPr>
      <w:bookmarkStart w:id="36" w:name="_Toc459287709"/>
      <w:r w:rsidRPr="00105FFC">
        <w:rPr>
          <w:rFonts w:eastAsiaTheme="minorHAnsi"/>
          <w:color w:val="auto"/>
        </w:rPr>
        <w:t>Shifts to Managed Care</w:t>
      </w:r>
      <w:bookmarkEnd w:id="36"/>
    </w:p>
    <w:p w14:paraId="18FF874E" w14:textId="77777777" w:rsidR="008A0DA6" w:rsidRPr="00105FFC" w:rsidRDefault="00053011" w:rsidP="00DE5E3B">
      <w:pPr>
        <w:pStyle w:val="Heading4"/>
        <w:spacing w:before="0" w:after="120" w:line="276" w:lineRule="auto"/>
        <w:rPr>
          <w:rFonts w:eastAsiaTheme="minorHAnsi"/>
        </w:rPr>
      </w:pPr>
      <w:r w:rsidRPr="00105FFC">
        <w:rPr>
          <w:rFonts w:eastAsiaTheme="minorHAnsi"/>
          <w:color w:val="auto"/>
        </w:rPr>
        <w:t>Geographic Expansions</w:t>
      </w:r>
    </w:p>
    <w:p w14:paraId="1DF66A2B" w14:textId="77777777" w:rsidR="0016789F" w:rsidRPr="00105FFC" w:rsidRDefault="0016789F" w:rsidP="00DE5E3B">
      <w:pPr>
        <w:spacing w:after="120" w:line="276" w:lineRule="auto"/>
        <w:rPr>
          <w:rFonts w:asciiTheme="minorHAnsi" w:eastAsiaTheme="minorHAnsi" w:hAnsiTheme="minorHAnsi" w:cs="Arial"/>
          <w:b/>
          <w:sz w:val="20"/>
          <w:szCs w:val="20"/>
        </w:rPr>
      </w:pPr>
      <w:r w:rsidRPr="00105FFC">
        <w:rPr>
          <w:rFonts w:asciiTheme="minorHAnsi" w:eastAsiaTheme="minorHAnsi" w:hAnsiTheme="minorHAnsi" w:cstheme="minorBidi"/>
        </w:rPr>
        <w:t>Over the past decade, DHCS has focused on transforming the delivery of Medi-Cal services by expanding managed care into all 58 counties through Health Maintenance Organizations (HMO) and locally organized health plans. DHCS initiated the first major geographic expansion of Medi-Cal managed care delivery models in 1993. DHCS shifted a large proportion of FFS beneficiaries in 13 counties into managed care, doubling the number of managed care beneficiaries from 600,000 to 1.2 million. Since 1993, DHCS has continued geographic and eligibility-based expansions of Medi-Cal managed care.</w:t>
      </w:r>
    </w:p>
    <w:p w14:paraId="1153BB41" w14:textId="77777777" w:rsidR="00053011" w:rsidRPr="00105FFC" w:rsidRDefault="008A0DA6" w:rsidP="00DE5E3B">
      <w:pPr>
        <w:pStyle w:val="Caption"/>
        <w:spacing w:after="120"/>
        <w:rPr>
          <w:rFonts w:asciiTheme="minorHAnsi" w:eastAsiaTheme="minorHAnsi" w:hAnsiTheme="minorHAnsi" w:cs="Arial"/>
          <w:b w:val="0"/>
          <w:color w:val="auto"/>
          <w:sz w:val="20"/>
          <w:szCs w:val="20"/>
        </w:rPr>
      </w:pPr>
      <w:bookmarkStart w:id="37" w:name="_Toc458783076"/>
      <w:bookmarkStart w:id="38" w:name="_Toc459285146"/>
      <w:r w:rsidRPr="00105FFC">
        <w:rPr>
          <w:rFonts w:asciiTheme="minorHAnsi" w:hAnsiTheme="minorHAnsi"/>
          <w:color w:val="auto"/>
        </w:rPr>
        <w:t xml:space="preserve">Table </w:t>
      </w:r>
      <w:r w:rsidRPr="00105FFC">
        <w:rPr>
          <w:rFonts w:asciiTheme="minorHAnsi" w:hAnsiTheme="minorHAnsi"/>
          <w:color w:val="auto"/>
        </w:rPr>
        <w:fldChar w:fldCharType="begin"/>
      </w:r>
      <w:r w:rsidRPr="00105FFC">
        <w:rPr>
          <w:rFonts w:asciiTheme="minorHAnsi" w:hAnsiTheme="minorHAnsi"/>
          <w:color w:val="auto"/>
        </w:rPr>
        <w:instrText xml:space="preserve"> SEQ Table \* ARABIC </w:instrText>
      </w:r>
      <w:r w:rsidRPr="00105FFC">
        <w:rPr>
          <w:rFonts w:asciiTheme="minorHAnsi" w:hAnsiTheme="minorHAnsi"/>
          <w:color w:val="auto"/>
        </w:rPr>
        <w:fldChar w:fldCharType="separate"/>
      </w:r>
      <w:r w:rsidR="00B04F0F">
        <w:rPr>
          <w:rFonts w:asciiTheme="minorHAnsi" w:hAnsiTheme="minorHAnsi"/>
          <w:noProof/>
          <w:color w:val="auto"/>
        </w:rPr>
        <w:t>1</w:t>
      </w:r>
      <w:r w:rsidRPr="00105FFC">
        <w:rPr>
          <w:rFonts w:asciiTheme="minorHAnsi" w:hAnsiTheme="minorHAnsi"/>
          <w:color w:val="auto"/>
        </w:rPr>
        <w:fldChar w:fldCharType="end"/>
      </w:r>
      <w:r w:rsidR="00053011" w:rsidRPr="00105FFC">
        <w:rPr>
          <w:rFonts w:asciiTheme="minorHAnsi" w:eastAsiaTheme="minorHAnsi" w:hAnsiTheme="minorHAnsi" w:cs="Arial"/>
          <w:color w:val="auto"/>
          <w:sz w:val="20"/>
          <w:szCs w:val="20"/>
        </w:rPr>
        <w:t>:</w:t>
      </w:r>
      <w:r w:rsidR="00053011" w:rsidRPr="00105FFC">
        <w:rPr>
          <w:rFonts w:asciiTheme="minorHAnsi" w:eastAsiaTheme="minorHAnsi" w:hAnsiTheme="minorHAnsi" w:cs="Arial"/>
          <w:b w:val="0"/>
          <w:color w:val="auto"/>
          <w:sz w:val="20"/>
          <w:szCs w:val="20"/>
        </w:rPr>
        <w:t xml:space="preserve"> Medi-Cal FFS Beneficiaries Shifting to Medi-Cal Managed Care, 2008-2016</w:t>
      </w:r>
      <w:bookmarkEnd w:id="37"/>
      <w:bookmarkEnd w:id="38"/>
    </w:p>
    <w:tbl>
      <w:tblPr>
        <w:tblStyle w:val="LightShading-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3479"/>
        <w:gridCol w:w="1573"/>
        <w:gridCol w:w="2777"/>
      </w:tblGrid>
      <w:tr w:rsidR="0016789F" w:rsidRPr="00105FFC" w14:paraId="658D933C" w14:textId="77777777" w:rsidTr="00D804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44378F7" w14:textId="77777777" w:rsidR="0016789F" w:rsidRPr="00105FFC" w:rsidRDefault="0016789F" w:rsidP="00D80425">
            <w:pPr>
              <w:spacing w:line="276" w:lineRule="auto"/>
              <w:jc w:val="center"/>
              <w:rPr>
                <w:rFonts w:asciiTheme="minorHAnsi" w:hAnsiTheme="minorHAnsi"/>
                <w:color w:val="auto"/>
                <w:sz w:val="20"/>
                <w:szCs w:val="20"/>
              </w:rPr>
            </w:pPr>
            <w:r w:rsidRPr="00105FFC">
              <w:rPr>
                <w:rFonts w:asciiTheme="minorHAnsi" w:hAnsiTheme="minorHAnsi"/>
                <w:color w:val="auto"/>
                <w:sz w:val="20"/>
                <w:szCs w:val="20"/>
              </w:rPr>
              <w:lastRenderedPageBreak/>
              <w:t>Managed Care Plan Model</w:t>
            </w:r>
            <w:r w:rsidR="00EC2753" w:rsidRPr="00105FFC">
              <w:rPr>
                <w:rFonts w:asciiTheme="minorHAnsi" w:hAnsiTheme="minorHAnsi"/>
                <w:color w:val="auto"/>
                <w:sz w:val="20"/>
                <w:szCs w:val="20"/>
                <w:vertAlign w:val="superscript"/>
              </w:rPr>
              <w:footnoteReference w:id="2"/>
            </w:r>
          </w:p>
        </w:tc>
        <w:tc>
          <w:tcPr>
            <w:tcW w:w="3479" w:type="dxa"/>
            <w:tcBorders>
              <w:top w:val="none" w:sz="0" w:space="0" w:color="auto"/>
              <w:left w:val="none" w:sz="0" w:space="0" w:color="auto"/>
              <w:bottom w:val="none" w:sz="0" w:space="0" w:color="auto"/>
              <w:right w:val="none" w:sz="0" w:space="0" w:color="auto"/>
            </w:tcBorders>
            <w:vAlign w:val="center"/>
          </w:tcPr>
          <w:p w14:paraId="64264DA1" w14:textId="77777777" w:rsidR="0016789F" w:rsidRPr="00105FFC" w:rsidRDefault="0016789F" w:rsidP="00D8042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Transition Counties</w:t>
            </w:r>
          </w:p>
        </w:tc>
        <w:tc>
          <w:tcPr>
            <w:tcW w:w="1573" w:type="dxa"/>
            <w:tcBorders>
              <w:top w:val="none" w:sz="0" w:space="0" w:color="auto"/>
              <w:left w:val="none" w:sz="0" w:space="0" w:color="auto"/>
              <w:bottom w:val="none" w:sz="0" w:space="0" w:color="auto"/>
              <w:right w:val="none" w:sz="0" w:space="0" w:color="auto"/>
            </w:tcBorders>
            <w:vAlign w:val="center"/>
          </w:tcPr>
          <w:p w14:paraId="2C7D175F" w14:textId="77777777" w:rsidR="0016789F" w:rsidRPr="00105FFC" w:rsidRDefault="0016789F" w:rsidP="00D8042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Transition Year</w:t>
            </w:r>
          </w:p>
        </w:tc>
        <w:tc>
          <w:tcPr>
            <w:tcW w:w="0" w:type="auto"/>
            <w:tcBorders>
              <w:top w:val="none" w:sz="0" w:space="0" w:color="auto"/>
              <w:left w:val="none" w:sz="0" w:space="0" w:color="auto"/>
              <w:bottom w:val="none" w:sz="0" w:space="0" w:color="auto"/>
              <w:right w:val="none" w:sz="0" w:space="0" w:color="auto"/>
            </w:tcBorders>
            <w:vAlign w:val="center"/>
          </w:tcPr>
          <w:p w14:paraId="55F650FB" w14:textId="77777777" w:rsidR="0016789F" w:rsidRPr="00105FFC" w:rsidRDefault="0016789F" w:rsidP="00D8042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Approximate Number of Transition Beneficiaries</w:t>
            </w:r>
          </w:p>
        </w:tc>
      </w:tr>
      <w:tr w:rsidR="0016789F" w:rsidRPr="00105FFC" w14:paraId="35BAF74F" w14:textId="77777777" w:rsidTr="00D804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03564DC7" w14:textId="77777777" w:rsidR="0016789F" w:rsidRPr="00105FFC" w:rsidRDefault="0016789F" w:rsidP="00D80425">
            <w:pPr>
              <w:spacing w:line="276" w:lineRule="auto"/>
              <w:jc w:val="center"/>
              <w:rPr>
                <w:rFonts w:asciiTheme="minorHAnsi" w:hAnsiTheme="minorHAnsi"/>
                <w:b w:val="0"/>
                <w:color w:val="auto"/>
                <w:sz w:val="20"/>
                <w:szCs w:val="20"/>
              </w:rPr>
            </w:pPr>
            <w:r w:rsidRPr="00105FFC">
              <w:rPr>
                <w:rFonts w:asciiTheme="minorHAnsi" w:hAnsiTheme="minorHAnsi"/>
                <w:b w:val="0"/>
                <w:color w:val="auto"/>
                <w:sz w:val="20"/>
                <w:szCs w:val="20"/>
              </w:rPr>
              <w:t>COHS</w:t>
            </w:r>
          </w:p>
        </w:tc>
        <w:tc>
          <w:tcPr>
            <w:tcW w:w="3479" w:type="dxa"/>
            <w:tcBorders>
              <w:left w:val="none" w:sz="0" w:space="0" w:color="auto"/>
              <w:right w:val="none" w:sz="0" w:space="0" w:color="auto"/>
            </w:tcBorders>
            <w:vAlign w:val="center"/>
          </w:tcPr>
          <w:p w14:paraId="20F26AC4"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San Luis Obispo</w:t>
            </w:r>
          </w:p>
        </w:tc>
        <w:tc>
          <w:tcPr>
            <w:tcW w:w="1573" w:type="dxa"/>
            <w:tcBorders>
              <w:left w:val="none" w:sz="0" w:space="0" w:color="auto"/>
              <w:right w:val="none" w:sz="0" w:space="0" w:color="auto"/>
            </w:tcBorders>
            <w:vAlign w:val="center"/>
          </w:tcPr>
          <w:p w14:paraId="0EF69FC6"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2008</w:t>
            </w:r>
          </w:p>
        </w:tc>
        <w:tc>
          <w:tcPr>
            <w:tcW w:w="0" w:type="auto"/>
            <w:tcBorders>
              <w:left w:val="none" w:sz="0" w:space="0" w:color="auto"/>
              <w:right w:val="none" w:sz="0" w:space="0" w:color="auto"/>
            </w:tcBorders>
            <w:vAlign w:val="center"/>
          </w:tcPr>
          <w:p w14:paraId="265C15BF"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25,000</w:t>
            </w:r>
          </w:p>
        </w:tc>
      </w:tr>
      <w:tr w:rsidR="0016789F" w:rsidRPr="00105FFC" w14:paraId="461C0A4C" w14:textId="77777777" w:rsidTr="00D80425">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AE7102" w14:textId="77777777" w:rsidR="0016789F" w:rsidRPr="00105FFC" w:rsidRDefault="0016789F" w:rsidP="00D80425">
            <w:pPr>
              <w:spacing w:line="276" w:lineRule="auto"/>
              <w:jc w:val="center"/>
              <w:rPr>
                <w:rFonts w:asciiTheme="minorHAnsi" w:hAnsiTheme="minorHAnsi"/>
                <w:b w:val="0"/>
                <w:color w:val="auto"/>
                <w:sz w:val="20"/>
                <w:szCs w:val="20"/>
              </w:rPr>
            </w:pPr>
            <w:r w:rsidRPr="00105FFC">
              <w:rPr>
                <w:rFonts w:asciiTheme="minorHAnsi" w:hAnsiTheme="minorHAnsi"/>
                <w:b w:val="0"/>
                <w:color w:val="auto"/>
                <w:sz w:val="20"/>
                <w:szCs w:val="20"/>
              </w:rPr>
              <w:t>COHS</w:t>
            </w:r>
          </w:p>
        </w:tc>
        <w:tc>
          <w:tcPr>
            <w:tcW w:w="3479" w:type="dxa"/>
            <w:vAlign w:val="center"/>
          </w:tcPr>
          <w:p w14:paraId="1F32355E"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Sonoma, Merced</w:t>
            </w:r>
          </w:p>
        </w:tc>
        <w:tc>
          <w:tcPr>
            <w:tcW w:w="1573" w:type="dxa"/>
            <w:vAlign w:val="center"/>
          </w:tcPr>
          <w:p w14:paraId="6436103E"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2009</w:t>
            </w:r>
          </w:p>
        </w:tc>
        <w:tc>
          <w:tcPr>
            <w:tcW w:w="0" w:type="auto"/>
            <w:vAlign w:val="center"/>
          </w:tcPr>
          <w:p w14:paraId="091A041A"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117,000</w:t>
            </w:r>
          </w:p>
        </w:tc>
      </w:tr>
      <w:tr w:rsidR="0016789F" w:rsidRPr="00105FFC" w14:paraId="2D3E15C4" w14:textId="77777777" w:rsidTr="00D804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3CC3EFEF" w14:textId="77777777" w:rsidR="0016789F" w:rsidRPr="00105FFC" w:rsidRDefault="00EC2753" w:rsidP="00D80425">
            <w:pPr>
              <w:spacing w:line="276" w:lineRule="auto"/>
              <w:jc w:val="center"/>
              <w:rPr>
                <w:rFonts w:asciiTheme="minorHAnsi" w:hAnsiTheme="minorHAnsi"/>
                <w:b w:val="0"/>
                <w:color w:val="auto"/>
                <w:sz w:val="20"/>
                <w:szCs w:val="20"/>
              </w:rPr>
            </w:pPr>
            <w:r w:rsidRPr="00105FFC">
              <w:rPr>
                <w:rFonts w:asciiTheme="minorHAnsi" w:hAnsiTheme="minorHAnsi"/>
                <w:b w:val="0"/>
                <w:color w:val="auto"/>
                <w:sz w:val="20"/>
                <w:szCs w:val="20"/>
              </w:rPr>
              <w:t>Mixed</w:t>
            </w:r>
          </w:p>
        </w:tc>
        <w:tc>
          <w:tcPr>
            <w:tcW w:w="3479" w:type="dxa"/>
            <w:tcBorders>
              <w:left w:val="none" w:sz="0" w:space="0" w:color="auto"/>
              <w:right w:val="none" w:sz="0" w:space="0" w:color="auto"/>
            </w:tcBorders>
            <w:vAlign w:val="center"/>
          </w:tcPr>
          <w:p w14:paraId="43D873FF" w14:textId="77777777" w:rsidR="0016789F" w:rsidRPr="00105FFC" w:rsidRDefault="00EC2753"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Working Disabled</w:t>
            </w:r>
          </w:p>
        </w:tc>
        <w:tc>
          <w:tcPr>
            <w:tcW w:w="1573" w:type="dxa"/>
            <w:tcBorders>
              <w:left w:val="none" w:sz="0" w:space="0" w:color="auto"/>
              <w:right w:val="none" w:sz="0" w:space="0" w:color="auto"/>
            </w:tcBorders>
            <w:vAlign w:val="center"/>
          </w:tcPr>
          <w:p w14:paraId="61E6E51C"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2009</w:t>
            </w:r>
          </w:p>
        </w:tc>
        <w:tc>
          <w:tcPr>
            <w:tcW w:w="0" w:type="auto"/>
            <w:tcBorders>
              <w:left w:val="none" w:sz="0" w:space="0" w:color="auto"/>
              <w:right w:val="none" w:sz="0" w:space="0" w:color="auto"/>
            </w:tcBorders>
            <w:vAlign w:val="center"/>
          </w:tcPr>
          <w:p w14:paraId="71F05D74" w14:textId="77777777" w:rsidR="0016789F" w:rsidRPr="00105FFC" w:rsidRDefault="00EC2753"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11,400</w:t>
            </w:r>
          </w:p>
        </w:tc>
      </w:tr>
      <w:tr w:rsidR="0016789F" w:rsidRPr="00105FFC" w14:paraId="492447CA" w14:textId="77777777" w:rsidTr="00D80425">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D5C5F6" w14:textId="77777777" w:rsidR="0016789F" w:rsidRPr="00105FFC" w:rsidRDefault="0016789F" w:rsidP="00D80425">
            <w:pPr>
              <w:spacing w:line="276" w:lineRule="auto"/>
              <w:jc w:val="center"/>
              <w:rPr>
                <w:rFonts w:asciiTheme="minorHAnsi" w:hAnsiTheme="minorHAnsi"/>
                <w:b w:val="0"/>
                <w:color w:val="auto"/>
                <w:sz w:val="20"/>
                <w:szCs w:val="20"/>
              </w:rPr>
            </w:pPr>
            <w:r w:rsidRPr="00105FFC">
              <w:rPr>
                <w:rFonts w:asciiTheme="minorHAnsi" w:hAnsiTheme="minorHAnsi"/>
                <w:b w:val="0"/>
                <w:color w:val="auto"/>
                <w:sz w:val="20"/>
                <w:szCs w:val="20"/>
              </w:rPr>
              <w:t>Two-Plan</w:t>
            </w:r>
          </w:p>
        </w:tc>
        <w:tc>
          <w:tcPr>
            <w:tcW w:w="3479" w:type="dxa"/>
            <w:vAlign w:val="center"/>
          </w:tcPr>
          <w:p w14:paraId="41184C54"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Kings, Madera</w:t>
            </w:r>
          </w:p>
        </w:tc>
        <w:tc>
          <w:tcPr>
            <w:tcW w:w="1573" w:type="dxa"/>
            <w:vAlign w:val="center"/>
          </w:tcPr>
          <w:p w14:paraId="5C3503D0"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2011</w:t>
            </w:r>
          </w:p>
        </w:tc>
        <w:tc>
          <w:tcPr>
            <w:tcW w:w="0" w:type="auto"/>
            <w:vAlign w:val="center"/>
          </w:tcPr>
          <w:p w14:paraId="78E01F78"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49,000</w:t>
            </w:r>
          </w:p>
        </w:tc>
      </w:tr>
      <w:tr w:rsidR="0016789F" w:rsidRPr="00105FFC" w14:paraId="23401C02" w14:textId="77777777" w:rsidTr="00D804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0FE2DA57" w14:textId="77777777" w:rsidR="0016789F" w:rsidRPr="00105FFC" w:rsidRDefault="0016789F" w:rsidP="00D80425">
            <w:pPr>
              <w:spacing w:line="276" w:lineRule="auto"/>
              <w:jc w:val="center"/>
              <w:rPr>
                <w:rFonts w:asciiTheme="minorHAnsi" w:hAnsiTheme="minorHAnsi"/>
                <w:b w:val="0"/>
                <w:color w:val="auto"/>
                <w:sz w:val="20"/>
                <w:szCs w:val="20"/>
              </w:rPr>
            </w:pPr>
            <w:r w:rsidRPr="00105FFC">
              <w:rPr>
                <w:rFonts w:asciiTheme="minorHAnsi" w:hAnsiTheme="minorHAnsi"/>
                <w:b w:val="0"/>
                <w:color w:val="auto"/>
                <w:sz w:val="20"/>
                <w:szCs w:val="20"/>
              </w:rPr>
              <w:t>COHS</w:t>
            </w:r>
          </w:p>
        </w:tc>
        <w:tc>
          <w:tcPr>
            <w:tcW w:w="3479" w:type="dxa"/>
            <w:tcBorders>
              <w:left w:val="none" w:sz="0" w:space="0" w:color="auto"/>
              <w:right w:val="none" w:sz="0" w:space="0" w:color="auto"/>
            </w:tcBorders>
            <w:vAlign w:val="center"/>
          </w:tcPr>
          <w:p w14:paraId="0CDEF9CD"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Mendocino, Marin, Ventura</w:t>
            </w:r>
          </w:p>
        </w:tc>
        <w:tc>
          <w:tcPr>
            <w:tcW w:w="1573" w:type="dxa"/>
            <w:tcBorders>
              <w:left w:val="none" w:sz="0" w:space="0" w:color="auto"/>
              <w:right w:val="none" w:sz="0" w:space="0" w:color="auto"/>
            </w:tcBorders>
            <w:vAlign w:val="center"/>
          </w:tcPr>
          <w:p w14:paraId="6121D7CE"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2011</w:t>
            </w:r>
          </w:p>
        </w:tc>
        <w:tc>
          <w:tcPr>
            <w:tcW w:w="0" w:type="auto"/>
            <w:tcBorders>
              <w:left w:val="none" w:sz="0" w:space="0" w:color="auto"/>
              <w:right w:val="none" w:sz="0" w:space="0" w:color="auto"/>
            </w:tcBorders>
            <w:vAlign w:val="center"/>
          </w:tcPr>
          <w:p w14:paraId="6A60EBBA"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142,000</w:t>
            </w:r>
          </w:p>
        </w:tc>
      </w:tr>
      <w:tr w:rsidR="0016789F" w:rsidRPr="00105FFC" w14:paraId="53709F9C" w14:textId="77777777" w:rsidTr="00D80425">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7F3F9B" w14:textId="77777777" w:rsidR="0016789F" w:rsidRPr="00105FFC" w:rsidRDefault="0016789F" w:rsidP="00D80425">
            <w:pPr>
              <w:spacing w:line="276" w:lineRule="auto"/>
              <w:jc w:val="center"/>
              <w:rPr>
                <w:rFonts w:asciiTheme="minorHAnsi" w:hAnsiTheme="minorHAnsi"/>
                <w:b w:val="0"/>
                <w:color w:val="auto"/>
                <w:sz w:val="20"/>
                <w:szCs w:val="20"/>
              </w:rPr>
            </w:pPr>
            <w:r w:rsidRPr="00105FFC">
              <w:rPr>
                <w:rFonts w:asciiTheme="minorHAnsi" w:hAnsiTheme="minorHAnsi"/>
                <w:b w:val="0"/>
                <w:color w:val="auto"/>
                <w:sz w:val="20"/>
                <w:szCs w:val="20"/>
              </w:rPr>
              <w:t>COHS</w:t>
            </w:r>
          </w:p>
        </w:tc>
        <w:tc>
          <w:tcPr>
            <w:tcW w:w="3479" w:type="dxa"/>
            <w:vAlign w:val="center"/>
          </w:tcPr>
          <w:p w14:paraId="45B81711"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8 Northern Counties</w:t>
            </w:r>
          </w:p>
        </w:tc>
        <w:tc>
          <w:tcPr>
            <w:tcW w:w="1573" w:type="dxa"/>
            <w:vAlign w:val="center"/>
          </w:tcPr>
          <w:p w14:paraId="4259C775"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2013</w:t>
            </w:r>
          </w:p>
        </w:tc>
        <w:tc>
          <w:tcPr>
            <w:tcW w:w="0" w:type="auto"/>
            <w:vAlign w:val="center"/>
          </w:tcPr>
          <w:p w14:paraId="0945BD02"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111,000</w:t>
            </w:r>
          </w:p>
        </w:tc>
      </w:tr>
      <w:tr w:rsidR="0016789F" w:rsidRPr="00105FFC" w14:paraId="28F1BA8E" w14:textId="77777777" w:rsidTr="00D804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22A8121E" w14:textId="77777777" w:rsidR="0016789F" w:rsidRPr="00105FFC" w:rsidRDefault="0016789F" w:rsidP="00D80425">
            <w:pPr>
              <w:spacing w:line="276" w:lineRule="auto"/>
              <w:jc w:val="center"/>
              <w:rPr>
                <w:rFonts w:asciiTheme="minorHAnsi" w:hAnsiTheme="minorHAnsi"/>
                <w:b w:val="0"/>
                <w:color w:val="auto"/>
                <w:sz w:val="20"/>
                <w:szCs w:val="20"/>
              </w:rPr>
            </w:pPr>
            <w:r w:rsidRPr="00105FFC">
              <w:rPr>
                <w:rFonts w:asciiTheme="minorHAnsi" w:hAnsiTheme="minorHAnsi"/>
                <w:b w:val="0"/>
                <w:color w:val="auto"/>
                <w:sz w:val="20"/>
                <w:szCs w:val="20"/>
              </w:rPr>
              <w:t>Regional</w:t>
            </w:r>
            <w:r w:rsidRPr="00105FFC">
              <w:rPr>
                <w:rFonts w:asciiTheme="minorHAnsi" w:eastAsiaTheme="minorHAnsi" w:hAnsiTheme="minorHAnsi" w:cstheme="minorBidi"/>
                <w:sz w:val="20"/>
                <w:szCs w:val="20"/>
                <w:vertAlign w:val="superscript"/>
              </w:rPr>
              <w:footnoteReference w:id="3"/>
            </w:r>
          </w:p>
        </w:tc>
        <w:tc>
          <w:tcPr>
            <w:tcW w:w="3479" w:type="dxa"/>
            <w:tcBorders>
              <w:left w:val="none" w:sz="0" w:space="0" w:color="auto"/>
              <w:right w:val="none" w:sz="0" w:space="0" w:color="auto"/>
            </w:tcBorders>
            <w:vAlign w:val="center"/>
          </w:tcPr>
          <w:p w14:paraId="3B450FAA"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 xml:space="preserve">18 Sacramento Valley/ Sierra Range/Foothills Counties </w:t>
            </w:r>
          </w:p>
        </w:tc>
        <w:tc>
          <w:tcPr>
            <w:tcW w:w="1573" w:type="dxa"/>
            <w:tcBorders>
              <w:left w:val="none" w:sz="0" w:space="0" w:color="auto"/>
              <w:right w:val="none" w:sz="0" w:space="0" w:color="auto"/>
            </w:tcBorders>
            <w:vAlign w:val="center"/>
          </w:tcPr>
          <w:p w14:paraId="6376AEEB"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2013</w:t>
            </w:r>
          </w:p>
        </w:tc>
        <w:tc>
          <w:tcPr>
            <w:tcW w:w="0" w:type="auto"/>
            <w:tcBorders>
              <w:left w:val="none" w:sz="0" w:space="0" w:color="auto"/>
              <w:right w:val="none" w:sz="0" w:space="0" w:color="auto"/>
            </w:tcBorders>
            <w:vAlign w:val="center"/>
          </w:tcPr>
          <w:p w14:paraId="5B21561F"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164,000</w:t>
            </w:r>
          </w:p>
        </w:tc>
      </w:tr>
      <w:tr w:rsidR="0016789F" w:rsidRPr="00105FFC" w14:paraId="501E3B41" w14:textId="77777777" w:rsidTr="00D80425">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8EA483" w14:textId="77777777" w:rsidR="0016789F" w:rsidRPr="00105FFC" w:rsidRDefault="0016789F" w:rsidP="00D80425">
            <w:pPr>
              <w:spacing w:line="276" w:lineRule="auto"/>
              <w:jc w:val="center"/>
              <w:rPr>
                <w:rFonts w:asciiTheme="minorHAnsi" w:hAnsiTheme="minorHAnsi"/>
                <w:b w:val="0"/>
                <w:color w:val="auto"/>
                <w:sz w:val="20"/>
                <w:szCs w:val="20"/>
              </w:rPr>
            </w:pPr>
            <w:r w:rsidRPr="00105FFC">
              <w:rPr>
                <w:rFonts w:asciiTheme="minorHAnsi" w:hAnsiTheme="minorHAnsi"/>
                <w:b w:val="0"/>
                <w:color w:val="auto"/>
                <w:sz w:val="20"/>
                <w:szCs w:val="20"/>
              </w:rPr>
              <w:t>Imperial</w:t>
            </w:r>
          </w:p>
        </w:tc>
        <w:tc>
          <w:tcPr>
            <w:tcW w:w="3479" w:type="dxa"/>
            <w:vAlign w:val="center"/>
          </w:tcPr>
          <w:p w14:paraId="674A2801"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Imperial</w:t>
            </w:r>
          </w:p>
        </w:tc>
        <w:tc>
          <w:tcPr>
            <w:tcW w:w="1573" w:type="dxa"/>
            <w:vAlign w:val="center"/>
          </w:tcPr>
          <w:p w14:paraId="22ED9637"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2013</w:t>
            </w:r>
          </w:p>
        </w:tc>
        <w:tc>
          <w:tcPr>
            <w:tcW w:w="0" w:type="auto"/>
            <w:vAlign w:val="center"/>
          </w:tcPr>
          <w:p w14:paraId="0FA88C62"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44,000</w:t>
            </w:r>
          </w:p>
        </w:tc>
      </w:tr>
      <w:tr w:rsidR="0016789F" w:rsidRPr="00105FFC" w14:paraId="46E7B64B" w14:textId="77777777" w:rsidTr="00D804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32D41A89" w14:textId="77777777" w:rsidR="0016789F" w:rsidRPr="00105FFC" w:rsidRDefault="0016789F" w:rsidP="00D80425">
            <w:pPr>
              <w:spacing w:line="276" w:lineRule="auto"/>
              <w:jc w:val="center"/>
              <w:rPr>
                <w:rFonts w:asciiTheme="minorHAnsi" w:hAnsiTheme="minorHAnsi"/>
                <w:b w:val="0"/>
                <w:color w:val="auto"/>
                <w:sz w:val="20"/>
                <w:szCs w:val="20"/>
              </w:rPr>
            </w:pPr>
            <w:r w:rsidRPr="00105FFC">
              <w:rPr>
                <w:rFonts w:asciiTheme="minorHAnsi" w:hAnsiTheme="minorHAnsi"/>
                <w:b w:val="0"/>
                <w:color w:val="auto"/>
                <w:sz w:val="20"/>
                <w:szCs w:val="20"/>
              </w:rPr>
              <w:t>San Benito</w:t>
            </w:r>
          </w:p>
        </w:tc>
        <w:tc>
          <w:tcPr>
            <w:tcW w:w="3479" w:type="dxa"/>
            <w:tcBorders>
              <w:left w:val="none" w:sz="0" w:space="0" w:color="auto"/>
              <w:right w:val="none" w:sz="0" w:space="0" w:color="auto"/>
            </w:tcBorders>
            <w:vAlign w:val="center"/>
          </w:tcPr>
          <w:p w14:paraId="0E0ABF28"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San Benito</w:t>
            </w:r>
          </w:p>
        </w:tc>
        <w:tc>
          <w:tcPr>
            <w:tcW w:w="1573" w:type="dxa"/>
            <w:tcBorders>
              <w:left w:val="none" w:sz="0" w:space="0" w:color="auto"/>
              <w:right w:val="none" w:sz="0" w:space="0" w:color="auto"/>
            </w:tcBorders>
            <w:vAlign w:val="center"/>
          </w:tcPr>
          <w:p w14:paraId="4D541CA6"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2013</w:t>
            </w:r>
          </w:p>
        </w:tc>
        <w:tc>
          <w:tcPr>
            <w:tcW w:w="0" w:type="auto"/>
            <w:tcBorders>
              <w:left w:val="none" w:sz="0" w:space="0" w:color="auto"/>
              <w:right w:val="none" w:sz="0" w:space="0" w:color="auto"/>
            </w:tcBorders>
            <w:vAlign w:val="center"/>
          </w:tcPr>
          <w:p w14:paraId="2EDBF235" w14:textId="77777777" w:rsidR="0016789F" w:rsidRPr="00105FFC" w:rsidRDefault="0016789F"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05FFC">
              <w:rPr>
                <w:rFonts w:asciiTheme="minorHAnsi" w:hAnsiTheme="minorHAnsi"/>
                <w:color w:val="auto"/>
                <w:sz w:val="20"/>
                <w:szCs w:val="20"/>
              </w:rPr>
              <w:t>7,000</w:t>
            </w:r>
          </w:p>
        </w:tc>
      </w:tr>
      <w:tr w:rsidR="0016789F" w:rsidRPr="00105FFC" w14:paraId="5F906ABA" w14:textId="77777777" w:rsidTr="00D80425">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492952" w14:textId="77777777" w:rsidR="0016789F" w:rsidRPr="00105FFC" w:rsidRDefault="00411777" w:rsidP="00D80425">
            <w:pPr>
              <w:spacing w:line="276" w:lineRule="auto"/>
              <w:jc w:val="center"/>
              <w:rPr>
                <w:rFonts w:asciiTheme="minorHAnsi" w:hAnsiTheme="minorHAnsi"/>
                <w:b w:val="0"/>
                <w:color w:val="FFFFFF" w:themeColor="background1"/>
                <w:sz w:val="20"/>
                <w:szCs w:val="20"/>
              </w:rPr>
            </w:pPr>
            <w:r w:rsidRPr="00105FFC">
              <w:rPr>
                <w:rFonts w:asciiTheme="minorHAnsi" w:hAnsiTheme="minorHAnsi"/>
                <w:b w:val="0"/>
                <w:color w:val="FFFFFF" w:themeColor="background1"/>
                <w:sz w:val="20"/>
                <w:szCs w:val="20"/>
              </w:rPr>
              <w:t>Total</w:t>
            </w:r>
          </w:p>
        </w:tc>
        <w:tc>
          <w:tcPr>
            <w:tcW w:w="3479" w:type="dxa"/>
            <w:vAlign w:val="center"/>
          </w:tcPr>
          <w:p w14:paraId="0BC312F9" w14:textId="77777777" w:rsidR="0016789F" w:rsidRPr="00105FFC" w:rsidRDefault="00411777"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105FFC">
              <w:rPr>
                <w:rFonts w:asciiTheme="minorHAnsi" w:hAnsiTheme="minorHAnsi"/>
                <w:color w:val="FFFFFF" w:themeColor="background1"/>
                <w:sz w:val="20"/>
                <w:szCs w:val="20"/>
              </w:rPr>
              <w:t>Total</w:t>
            </w:r>
          </w:p>
        </w:tc>
        <w:tc>
          <w:tcPr>
            <w:tcW w:w="1573" w:type="dxa"/>
            <w:vAlign w:val="center"/>
          </w:tcPr>
          <w:p w14:paraId="55BB8850"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105FFC">
              <w:rPr>
                <w:rFonts w:asciiTheme="minorHAnsi" w:hAnsiTheme="minorHAnsi"/>
                <w:b/>
                <w:color w:val="auto"/>
                <w:sz w:val="20"/>
                <w:szCs w:val="20"/>
              </w:rPr>
              <w:t>Total</w:t>
            </w:r>
          </w:p>
        </w:tc>
        <w:tc>
          <w:tcPr>
            <w:tcW w:w="0" w:type="auto"/>
            <w:vAlign w:val="center"/>
          </w:tcPr>
          <w:p w14:paraId="16694533" w14:textId="77777777" w:rsidR="0016789F" w:rsidRPr="00105FFC" w:rsidRDefault="0016789F"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105FFC">
              <w:rPr>
                <w:rFonts w:asciiTheme="minorHAnsi" w:hAnsiTheme="minorHAnsi"/>
                <w:b/>
                <w:color w:val="auto"/>
                <w:sz w:val="20"/>
                <w:szCs w:val="20"/>
              </w:rPr>
              <w:t>659,000</w:t>
            </w:r>
          </w:p>
        </w:tc>
      </w:tr>
    </w:tbl>
    <w:p w14:paraId="425B3A10" w14:textId="77777777" w:rsidR="0020617B" w:rsidRPr="00105FFC" w:rsidRDefault="008C1CDC" w:rsidP="00DE5E3B">
      <w:pPr>
        <w:spacing w:after="120"/>
        <w:rPr>
          <w:rFonts w:asciiTheme="minorHAnsi" w:hAnsiTheme="minorHAnsi" w:cs="Tahoma"/>
          <w:sz w:val="16"/>
          <w:szCs w:val="16"/>
        </w:rPr>
      </w:pPr>
      <w:r w:rsidRPr="00105FFC">
        <w:rPr>
          <w:rFonts w:asciiTheme="minorHAnsi" w:hAnsiTheme="minorHAnsi" w:cs="Tahoma"/>
          <w:b/>
          <w:sz w:val="16"/>
          <w:szCs w:val="16"/>
        </w:rPr>
        <w:t>Source:</w:t>
      </w:r>
      <w:r w:rsidRPr="00105FFC">
        <w:rPr>
          <w:rFonts w:asciiTheme="minorHAnsi" w:hAnsiTheme="minorHAnsi" w:cs="Tahoma"/>
          <w:sz w:val="16"/>
          <w:szCs w:val="16"/>
        </w:rPr>
        <w:t xml:space="preserve"> Created by DHCS Research and Analytic Studies Division </w:t>
      </w:r>
      <w:r w:rsidRPr="00105FFC">
        <w:rPr>
          <w:rFonts w:asciiTheme="minorHAnsi" w:eastAsia="Calibri" w:hAnsiTheme="minorHAnsi" w:cs="Tahoma"/>
          <w:sz w:val="16"/>
          <w:szCs w:val="16"/>
        </w:rPr>
        <w:t>using data from the Management Information System/Decision Support System’</w:t>
      </w:r>
      <w:r w:rsidR="00EC2753" w:rsidRPr="00105FFC">
        <w:rPr>
          <w:rFonts w:asciiTheme="minorHAnsi" w:eastAsia="Calibri" w:hAnsiTheme="minorHAnsi" w:cs="Tahoma"/>
          <w:sz w:val="16"/>
          <w:szCs w:val="16"/>
        </w:rPr>
        <w:t>s (MIS/DSS) eligibility tables as of May 2016.</w:t>
      </w:r>
    </w:p>
    <w:p w14:paraId="40CF3F25" w14:textId="77777777" w:rsidR="0016789F" w:rsidRPr="00105FFC" w:rsidRDefault="0016789F"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Between 2008 and 2013, California expanded managed care into </w:t>
      </w:r>
      <w:r w:rsidR="00ED5F7E" w:rsidRPr="00105FFC">
        <w:rPr>
          <w:rFonts w:asciiTheme="minorHAnsi" w:eastAsiaTheme="minorHAnsi" w:hAnsiTheme="minorHAnsi" w:cstheme="minorBidi"/>
        </w:rPr>
        <w:t>36</w:t>
      </w:r>
      <w:r w:rsidRPr="00105FFC">
        <w:rPr>
          <w:rFonts w:asciiTheme="minorHAnsi" w:eastAsiaTheme="minorHAnsi" w:hAnsiTheme="minorHAnsi" w:cstheme="minorBidi"/>
        </w:rPr>
        <w:t xml:space="preserve"> additional counties, shifting nearly 700,000 </w:t>
      </w:r>
      <w:r w:rsidR="00ED5F7E" w:rsidRPr="00105FFC">
        <w:rPr>
          <w:rFonts w:asciiTheme="minorHAnsi" w:eastAsiaTheme="minorHAnsi" w:hAnsiTheme="minorHAnsi" w:cstheme="minorBidi"/>
        </w:rPr>
        <w:t xml:space="preserve">individuals </w:t>
      </w:r>
      <w:r w:rsidRPr="00105FFC">
        <w:rPr>
          <w:rFonts w:asciiTheme="minorHAnsi" w:eastAsiaTheme="minorHAnsi" w:hAnsiTheme="minorHAnsi" w:cstheme="minorBidi"/>
        </w:rPr>
        <w:t>into Medi-Cal man</w:t>
      </w:r>
      <w:r w:rsidR="00DE5E3B" w:rsidRPr="00105FFC">
        <w:rPr>
          <w:rFonts w:asciiTheme="minorHAnsi" w:eastAsiaTheme="minorHAnsi" w:hAnsiTheme="minorHAnsi" w:cstheme="minorBidi"/>
        </w:rPr>
        <w:t>aged care health plans. Table 1</w:t>
      </w:r>
      <w:r w:rsidRPr="00105FFC">
        <w:rPr>
          <w:rFonts w:asciiTheme="minorHAnsi" w:eastAsiaTheme="minorHAnsi" w:hAnsiTheme="minorHAnsi" w:cstheme="minorBidi"/>
        </w:rPr>
        <w:t xml:space="preserve"> displays the distribution of beneficiaries</w:t>
      </w:r>
      <w:r w:rsidR="00ED5F7E" w:rsidRPr="00105FFC">
        <w:rPr>
          <w:rFonts w:asciiTheme="minorHAnsi" w:eastAsiaTheme="minorHAnsi" w:hAnsiTheme="minorHAnsi" w:cstheme="minorBidi"/>
        </w:rPr>
        <w:t>,</w:t>
      </w:r>
      <w:r w:rsidRPr="00105FFC">
        <w:rPr>
          <w:rFonts w:asciiTheme="minorHAnsi" w:eastAsiaTheme="minorHAnsi" w:hAnsiTheme="minorHAnsi" w:cstheme="minorBidi"/>
        </w:rPr>
        <w:t xml:space="preserve"> </w:t>
      </w:r>
      <w:r w:rsidR="00ED5F7E" w:rsidRPr="00105FFC">
        <w:rPr>
          <w:rFonts w:asciiTheme="minorHAnsi" w:eastAsiaTheme="minorHAnsi" w:hAnsiTheme="minorHAnsi" w:cstheme="minorBidi"/>
        </w:rPr>
        <w:t>by county</w:t>
      </w:r>
      <w:r w:rsidRPr="00105FFC">
        <w:rPr>
          <w:rFonts w:asciiTheme="minorHAnsi" w:eastAsiaTheme="minorHAnsi" w:hAnsiTheme="minorHAnsi" w:cstheme="minorBidi"/>
        </w:rPr>
        <w:t xml:space="preserve"> and managed care </w:t>
      </w:r>
      <w:r w:rsidR="00ED5F7E" w:rsidRPr="00105FFC">
        <w:rPr>
          <w:rFonts w:asciiTheme="minorHAnsi" w:eastAsiaTheme="minorHAnsi" w:hAnsiTheme="minorHAnsi" w:cstheme="minorBidi"/>
        </w:rPr>
        <w:t>plan model,</w:t>
      </w:r>
      <w:r w:rsidRPr="00105FFC">
        <w:rPr>
          <w:rFonts w:asciiTheme="minorHAnsi" w:eastAsiaTheme="minorHAnsi" w:hAnsiTheme="minorHAnsi" w:cstheme="minorBidi"/>
        </w:rPr>
        <w:t xml:space="preserve"> that have shifted from FFS to managed care as part of geographic expansions. For instance, 111,000 FFS Medi-Cal Only beneficiaries shifted into a Medi-Cal managed care plan in September 2013 with the establishment of a single County Org</w:t>
      </w:r>
      <w:r w:rsidR="00ED5F7E" w:rsidRPr="00105FFC">
        <w:rPr>
          <w:rFonts w:asciiTheme="minorHAnsi" w:eastAsiaTheme="minorHAnsi" w:hAnsiTheme="minorHAnsi" w:cstheme="minorBidi"/>
        </w:rPr>
        <w:t xml:space="preserve">anized Health System (COHS) in </w:t>
      </w:r>
      <w:r w:rsidRPr="00105FFC">
        <w:rPr>
          <w:rFonts w:asciiTheme="minorHAnsi" w:eastAsiaTheme="minorHAnsi" w:hAnsiTheme="minorHAnsi" w:cstheme="minorBidi"/>
        </w:rPr>
        <w:t>Del Norte, Humboldt, Lake, Lassen, Modoc,</w:t>
      </w:r>
      <w:r w:rsidR="00ED5F7E" w:rsidRPr="00105FFC">
        <w:rPr>
          <w:rFonts w:asciiTheme="minorHAnsi" w:eastAsiaTheme="minorHAnsi" w:hAnsiTheme="minorHAnsi" w:cstheme="minorBidi"/>
        </w:rPr>
        <w:t xml:space="preserve"> Shasta, Siskiyou, and Trinity c</w:t>
      </w:r>
      <w:r w:rsidRPr="00105FFC">
        <w:rPr>
          <w:rFonts w:asciiTheme="minorHAnsi" w:eastAsiaTheme="minorHAnsi" w:hAnsiTheme="minorHAnsi" w:cstheme="minorBidi"/>
        </w:rPr>
        <w:t xml:space="preserve">ounties. Another 164,000 FFS Medi-Cal Only </w:t>
      </w:r>
      <w:r w:rsidR="00ED5F7E" w:rsidRPr="00105FFC">
        <w:rPr>
          <w:rFonts w:asciiTheme="minorHAnsi" w:eastAsiaTheme="minorHAnsi" w:hAnsiTheme="minorHAnsi" w:cstheme="minorBidi"/>
        </w:rPr>
        <w:t xml:space="preserve">beneficiaries </w:t>
      </w:r>
      <w:r w:rsidRPr="00105FFC">
        <w:rPr>
          <w:rFonts w:asciiTheme="minorHAnsi" w:eastAsiaTheme="minorHAnsi" w:hAnsiTheme="minorHAnsi" w:cstheme="minorBidi"/>
        </w:rPr>
        <w:t>transitioned to managed care plans in November 2013 with th</w:t>
      </w:r>
      <w:r w:rsidR="00C2376A" w:rsidRPr="00105FFC">
        <w:rPr>
          <w:rFonts w:asciiTheme="minorHAnsi" w:eastAsiaTheme="minorHAnsi" w:hAnsiTheme="minorHAnsi" w:cstheme="minorBidi"/>
        </w:rPr>
        <w:t xml:space="preserve">e establishment </w:t>
      </w:r>
      <w:r w:rsidRPr="00105FFC">
        <w:rPr>
          <w:rFonts w:asciiTheme="minorHAnsi" w:eastAsiaTheme="minorHAnsi" w:hAnsiTheme="minorHAnsi" w:cstheme="minorBidi"/>
        </w:rPr>
        <w:t>of the Regional model in Alpine, Amador, Butte, Calaveras, Colusa, El Dorado, Glenn, Inyo, Mariposa, Mono, Nevada, Placer, Plumas, Sierra, Sutt</w:t>
      </w:r>
      <w:r w:rsidR="00ED5F7E" w:rsidRPr="00105FFC">
        <w:rPr>
          <w:rFonts w:asciiTheme="minorHAnsi" w:eastAsiaTheme="minorHAnsi" w:hAnsiTheme="minorHAnsi" w:cstheme="minorBidi"/>
        </w:rPr>
        <w:t>er, Tehama, Tuolumne, and Yuba c</w:t>
      </w:r>
      <w:r w:rsidRPr="00105FFC">
        <w:rPr>
          <w:rFonts w:asciiTheme="minorHAnsi" w:eastAsiaTheme="minorHAnsi" w:hAnsiTheme="minorHAnsi" w:cstheme="minorBidi"/>
        </w:rPr>
        <w:t>ounties (Table 1)</w:t>
      </w:r>
      <w:r w:rsidR="00DE5E3B" w:rsidRPr="00105FFC">
        <w:rPr>
          <w:rFonts w:asciiTheme="minorHAnsi" w:eastAsiaTheme="minorHAnsi" w:hAnsiTheme="minorHAnsi" w:cstheme="minorBidi"/>
        </w:rPr>
        <w:t>.</w:t>
      </w:r>
    </w:p>
    <w:p w14:paraId="69B64548" w14:textId="77777777" w:rsidR="008A0DA6" w:rsidRPr="00105FFC" w:rsidRDefault="00AB7FC5" w:rsidP="00DE5E3B">
      <w:pPr>
        <w:pStyle w:val="Heading4"/>
        <w:spacing w:before="0" w:after="120" w:line="276" w:lineRule="auto"/>
        <w:rPr>
          <w:rFonts w:eastAsiaTheme="minorHAnsi"/>
          <w:color w:val="auto"/>
        </w:rPr>
      </w:pPr>
      <w:r w:rsidRPr="00105FFC">
        <w:rPr>
          <w:rFonts w:eastAsiaTheme="minorHAnsi"/>
          <w:color w:val="auto"/>
        </w:rPr>
        <w:lastRenderedPageBreak/>
        <w:t xml:space="preserve">SPD </w:t>
      </w:r>
      <w:r w:rsidR="00053011" w:rsidRPr="00105FFC">
        <w:rPr>
          <w:rFonts w:eastAsiaTheme="minorHAnsi"/>
          <w:color w:val="auto"/>
        </w:rPr>
        <w:t>Transition</w:t>
      </w:r>
    </w:p>
    <w:p w14:paraId="108CC901" w14:textId="77777777" w:rsidR="00411777" w:rsidRPr="00105FFC" w:rsidRDefault="00411777" w:rsidP="002D04DA">
      <w:pPr>
        <w:spacing w:after="120" w:line="276" w:lineRule="auto"/>
        <w:rPr>
          <w:rFonts w:asciiTheme="minorHAnsi" w:eastAsiaTheme="minorHAnsi" w:hAnsiTheme="minorHAnsi" w:cs="Arial"/>
          <w:b/>
        </w:rPr>
      </w:pPr>
      <w:r w:rsidRPr="00105FFC">
        <w:rPr>
          <w:rFonts w:asciiTheme="minorHAnsi" w:eastAsiaTheme="minorHAnsi" w:hAnsiTheme="minorHAnsi" w:cstheme="minorBidi"/>
        </w:rPr>
        <w:t>In addition to the establishment of m</w:t>
      </w:r>
      <w:r w:rsidR="00ED5F7E" w:rsidRPr="00105FFC">
        <w:rPr>
          <w:rFonts w:asciiTheme="minorHAnsi" w:eastAsiaTheme="minorHAnsi" w:hAnsiTheme="minorHAnsi" w:cstheme="minorBidi"/>
        </w:rPr>
        <w:t>anaged care within formerly FFS-</w:t>
      </w:r>
      <w:r w:rsidRPr="00105FFC">
        <w:rPr>
          <w:rFonts w:asciiTheme="minorHAnsi" w:eastAsiaTheme="minorHAnsi" w:hAnsiTheme="minorHAnsi" w:cstheme="minorBidi"/>
        </w:rPr>
        <w:t>o</w:t>
      </w:r>
      <w:r w:rsidR="00ED5F7E" w:rsidRPr="00105FFC">
        <w:rPr>
          <w:rFonts w:asciiTheme="minorHAnsi" w:eastAsiaTheme="minorHAnsi" w:hAnsiTheme="minorHAnsi" w:cstheme="minorBidi"/>
        </w:rPr>
        <w:t>nly counties, beginning in 2011</w:t>
      </w:r>
      <w:r w:rsidR="00857061" w:rsidRPr="00105FFC">
        <w:rPr>
          <w:rFonts w:asciiTheme="minorHAnsi" w:eastAsiaTheme="minorHAnsi" w:hAnsiTheme="minorHAnsi" w:cstheme="minorBidi"/>
        </w:rPr>
        <w:t>,</w:t>
      </w:r>
      <w:r w:rsidRPr="00105FFC">
        <w:rPr>
          <w:rFonts w:asciiTheme="minorHAnsi" w:eastAsiaTheme="minorHAnsi" w:hAnsiTheme="minorHAnsi" w:cstheme="minorBidi"/>
        </w:rPr>
        <w:t xml:space="preserve"> Medi-Cal also initiated the mandatory enrollment of Medi-Cal Only Seniors and Persons with Disabilities (SPD</w:t>
      </w:r>
      <w:r w:rsidR="00ED5F7E" w:rsidRPr="00105FFC">
        <w:rPr>
          <w:rFonts w:asciiTheme="minorHAnsi" w:eastAsiaTheme="minorHAnsi" w:hAnsiTheme="minorHAnsi" w:cstheme="minorBidi"/>
        </w:rPr>
        <w:t>s</w:t>
      </w:r>
      <w:r w:rsidRPr="00105FFC">
        <w:rPr>
          <w:rFonts w:asciiTheme="minorHAnsi" w:eastAsiaTheme="minorHAnsi" w:hAnsiTheme="minorHAnsi" w:cstheme="minorBidi"/>
        </w:rPr>
        <w:t>) into Medi-Cal managed care plans.</w:t>
      </w:r>
    </w:p>
    <w:p w14:paraId="0407E9C8" w14:textId="77777777" w:rsidR="002B1661" w:rsidRPr="00105FFC" w:rsidRDefault="00AB7FC5" w:rsidP="00DE5E3B">
      <w:pPr>
        <w:pStyle w:val="Caption"/>
        <w:spacing w:after="120"/>
        <w:rPr>
          <w:rFonts w:asciiTheme="minorHAnsi" w:eastAsiaTheme="minorHAnsi" w:hAnsiTheme="minorHAnsi"/>
        </w:rPr>
      </w:pPr>
      <w:bookmarkStart w:id="39" w:name="_Toc458783077"/>
      <w:bookmarkStart w:id="40" w:name="_Toc459285147"/>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2</w:t>
      </w:r>
      <w:r w:rsidRPr="00105FFC">
        <w:rPr>
          <w:rFonts w:asciiTheme="minorHAnsi" w:hAnsiTheme="minorHAnsi"/>
          <w:color w:val="auto"/>
          <w:sz w:val="20"/>
          <w:szCs w:val="20"/>
        </w:rPr>
        <w:fldChar w:fldCharType="end"/>
      </w:r>
      <w:r w:rsidR="00053011" w:rsidRPr="00105FFC">
        <w:rPr>
          <w:rFonts w:asciiTheme="minorHAnsi" w:eastAsiaTheme="minorHAnsi" w:hAnsiTheme="minorHAnsi" w:cs="Arial"/>
          <w:color w:val="auto"/>
          <w:sz w:val="20"/>
          <w:szCs w:val="20"/>
        </w:rPr>
        <w:t>:</w:t>
      </w:r>
      <w:r w:rsidR="002F7077" w:rsidRPr="00105FFC">
        <w:rPr>
          <w:rFonts w:asciiTheme="minorHAnsi" w:eastAsiaTheme="minorHAnsi" w:hAnsiTheme="minorHAnsi" w:cs="Arial"/>
          <w:b w:val="0"/>
          <w:color w:val="auto"/>
          <w:sz w:val="20"/>
          <w:szCs w:val="20"/>
        </w:rPr>
        <w:t xml:space="preserve"> Medi-Cal Only Seniors and Persons with Disabilities</w:t>
      </w:r>
      <w:r w:rsidR="00053011" w:rsidRPr="00105FFC">
        <w:rPr>
          <w:rFonts w:asciiTheme="minorHAnsi" w:eastAsiaTheme="minorHAnsi" w:hAnsiTheme="minorHAnsi" w:cs="Arial"/>
          <w:b w:val="0"/>
          <w:color w:val="auto"/>
          <w:sz w:val="20"/>
          <w:szCs w:val="20"/>
        </w:rPr>
        <w:t xml:space="preserve"> Beneficiaries Shifting to Medi-Cal Managed Care</w:t>
      </w:r>
      <w:bookmarkEnd w:id="39"/>
      <w:bookmarkEnd w:id="40"/>
    </w:p>
    <w:tbl>
      <w:tblPr>
        <w:tblStyle w:val="MediumList1-Accent1"/>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1289"/>
        <w:gridCol w:w="2807"/>
        <w:gridCol w:w="2807"/>
      </w:tblGrid>
      <w:tr w:rsidR="002B1661" w:rsidRPr="00105FFC" w14:paraId="37BF4E64" w14:textId="77777777" w:rsidTr="00073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9" w:type="pct"/>
            <w:tcBorders>
              <w:top w:val="none" w:sz="0" w:space="0" w:color="auto"/>
              <w:bottom w:val="none" w:sz="0" w:space="0" w:color="auto"/>
            </w:tcBorders>
            <w:vAlign w:val="center"/>
          </w:tcPr>
          <w:p w14:paraId="3EA05CE5" w14:textId="77777777" w:rsidR="002B1661" w:rsidRPr="00105FFC" w:rsidRDefault="002B1661" w:rsidP="00D80425">
            <w:pPr>
              <w:spacing w:line="276" w:lineRule="auto"/>
              <w:jc w:val="center"/>
              <w:rPr>
                <w:rFonts w:asciiTheme="minorHAnsi" w:hAnsiTheme="minorHAnsi"/>
                <w:color w:val="auto"/>
                <w:sz w:val="20"/>
                <w:szCs w:val="20"/>
              </w:rPr>
            </w:pPr>
            <w:r w:rsidRPr="00105FFC">
              <w:rPr>
                <w:rFonts w:asciiTheme="minorHAnsi" w:hAnsiTheme="minorHAnsi"/>
                <w:color w:val="auto"/>
                <w:sz w:val="20"/>
                <w:szCs w:val="20"/>
              </w:rPr>
              <w:t>Managed Care Eligibility Pathway</w:t>
            </w:r>
          </w:p>
        </w:tc>
        <w:tc>
          <w:tcPr>
            <w:tcW w:w="689" w:type="pct"/>
            <w:tcBorders>
              <w:top w:val="none" w:sz="0" w:space="0" w:color="auto"/>
              <w:bottom w:val="none" w:sz="0" w:space="0" w:color="auto"/>
            </w:tcBorders>
            <w:vAlign w:val="center"/>
          </w:tcPr>
          <w:p w14:paraId="2918A2B9" w14:textId="77777777" w:rsidR="002B1661" w:rsidRPr="00105FFC" w:rsidRDefault="002B1661" w:rsidP="00D8042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105FFC">
              <w:rPr>
                <w:rFonts w:asciiTheme="minorHAnsi" w:hAnsiTheme="minorHAnsi"/>
                <w:b/>
                <w:color w:val="auto"/>
                <w:sz w:val="20"/>
                <w:szCs w:val="20"/>
              </w:rPr>
              <w:t>Transition Year</w:t>
            </w:r>
          </w:p>
        </w:tc>
        <w:tc>
          <w:tcPr>
            <w:tcW w:w="1501" w:type="pct"/>
            <w:tcBorders>
              <w:top w:val="none" w:sz="0" w:space="0" w:color="auto"/>
              <w:bottom w:val="none" w:sz="0" w:space="0" w:color="auto"/>
            </w:tcBorders>
            <w:vAlign w:val="center"/>
          </w:tcPr>
          <w:p w14:paraId="31274B68" w14:textId="77777777" w:rsidR="002B1661" w:rsidRPr="00105FFC" w:rsidRDefault="002B1661" w:rsidP="00D8042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sz w:val="20"/>
                <w:szCs w:val="20"/>
              </w:rPr>
            </w:pPr>
            <w:r w:rsidRPr="00105FFC">
              <w:rPr>
                <w:rFonts w:asciiTheme="minorHAnsi" w:hAnsiTheme="minorHAnsi"/>
                <w:b/>
                <w:sz w:val="20"/>
                <w:szCs w:val="20"/>
              </w:rPr>
              <w:t>Transition Counties</w:t>
            </w:r>
          </w:p>
        </w:tc>
        <w:tc>
          <w:tcPr>
            <w:tcW w:w="1501" w:type="pct"/>
            <w:tcBorders>
              <w:top w:val="none" w:sz="0" w:space="0" w:color="auto"/>
              <w:bottom w:val="none" w:sz="0" w:space="0" w:color="auto"/>
            </w:tcBorders>
            <w:vAlign w:val="center"/>
          </w:tcPr>
          <w:p w14:paraId="4B849119" w14:textId="77777777" w:rsidR="002B1661" w:rsidRPr="00105FFC" w:rsidRDefault="002B1661" w:rsidP="00D8042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105FFC">
              <w:rPr>
                <w:rFonts w:asciiTheme="minorHAnsi" w:hAnsiTheme="minorHAnsi"/>
                <w:b/>
                <w:color w:val="auto"/>
                <w:sz w:val="20"/>
                <w:szCs w:val="20"/>
              </w:rPr>
              <w:t>Approximate Number of Transition Beneficiaries</w:t>
            </w:r>
          </w:p>
        </w:tc>
      </w:tr>
      <w:tr w:rsidR="002B1661" w:rsidRPr="00105FFC" w14:paraId="585488EB" w14:textId="77777777" w:rsidTr="002B1661">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309" w:type="pct"/>
            <w:vAlign w:val="center"/>
          </w:tcPr>
          <w:p w14:paraId="412F11CB" w14:textId="77777777" w:rsidR="002B1661" w:rsidRPr="00105FFC" w:rsidRDefault="002B1661" w:rsidP="00D80425">
            <w:pPr>
              <w:spacing w:line="276" w:lineRule="auto"/>
              <w:jc w:val="center"/>
              <w:rPr>
                <w:rFonts w:asciiTheme="minorHAnsi" w:hAnsiTheme="minorHAnsi"/>
                <w:b w:val="0"/>
                <w:sz w:val="20"/>
                <w:szCs w:val="20"/>
              </w:rPr>
            </w:pPr>
            <w:r w:rsidRPr="00105FFC">
              <w:rPr>
                <w:rFonts w:asciiTheme="minorHAnsi" w:hAnsiTheme="minorHAnsi"/>
                <w:b w:val="0"/>
                <w:sz w:val="20"/>
                <w:szCs w:val="20"/>
              </w:rPr>
              <w:t>Medi-Cal Only SPD</w:t>
            </w:r>
          </w:p>
        </w:tc>
        <w:tc>
          <w:tcPr>
            <w:tcW w:w="689" w:type="pct"/>
            <w:vAlign w:val="center"/>
          </w:tcPr>
          <w:p w14:paraId="45CA6CD1" w14:textId="77777777" w:rsidR="002B1661" w:rsidRPr="00105FFC" w:rsidRDefault="002B1661"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05FFC">
              <w:rPr>
                <w:rFonts w:asciiTheme="minorHAnsi" w:hAnsiTheme="minorHAnsi"/>
                <w:sz w:val="20"/>
                <w:szCs w:val="20"/>
              </w:rPr>
              <w:t>2011</w:t>
            </w:r>
          </w:p>
        </w:tc>
        <w:tc>
          <w:tcPr>
            <w:tcW w:w="1501" w:type="pct"/>
            <w:vAlign w:val="center"/>
          </w:tcPr>
          <w:p w14:paraId="01BD6020" w14:textId="77777777" w:rsidR="002B1661" w:rsidRPr="00105FFC" w:rsidRDefault="002B1661"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05FFC">
              <w:rPr>
                <w:rFonts w:asciiTheme="minorHAnsi" w:hAnsiTheme="minorHAnsi"/>
                <w:sz w:val="20"/>
                <w:szCs w:val="20"/>
              </w:rPr>
              <w:t>Two-Plan &amp; GMC model counties (16 counties)</w:t>
            </w:r>
          </w:p>
        </w:tc>
        <w:tc>
          <w:tcPr>
            <w:tcW w:w="1501" w:type="pct"/>
            <w:vAlign w:val="center"/>
          </w:tcPr>
          <w:p w14:paraId="591D6911" w14:textId="77777777" w:rsidR="002B1661" w:rsidRPr="00105FFC" w:rsidRDefault="002B1661"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05FFC">
              <w:rPr>
                <w:rFonts w:asciiTheme="minorHAnsi" w:hAnsiTheme="minorHAnsi"/>
                <w:sz w:val="20"/>
                <w:szCs w:val="20"/>
              </w:rPr>
              <w:t>148,000</w:t>
            </w:r>
          </w:p>
        </w:tc>
      </w:tr>
      <w:tr w:rsidR="002B1661" w:rsidRPr="00105FFC" w14:paraId="42228C9C" w14:textId="77777777" w:rsidTr="002B1661">
        <w:tc>
          <w:tcPr>
            <w:cnfStyle w:val="001000000000" w:firstRow="0" w:lastRow="0" w:firstColumn="1" w:lastColumn="0" w:oddVBand="0" w:evenVBand="0" w:oddHBand="0" w:evenHBand="0" w:firstRowFirstColumn="0" w:firstRowLastColumn="0" w:lastRowFirstColumn="0" w:lastRowLastColumn="0"/>
            <w:tcW w:w="1309" w:type="pct"/>
            <w:vAlign w:val="center"/>
          </w:tcPr>
          <w:p w14:paraId="3E1584C0" w14:textId="77777777" w:rsidR="002B1661" w:rsidRPr="00105FFC" w:rsidRDefault="002B1661" w:rsidP="00D80425">
            <w:pPr>
              <w:spacing w:line="276" w:lineRule="auto"/>
              <w:jc w:val="center"/>
              <w:rPr>
                <w:rFonts w:asciiTheme="minorHAnsi" w:hAnsiTheme="minorHAnsi"/>
                <w:b w:val="0"/>
                <w:sz w:val="20"/>
                <w:szCs w:val="20"/>
              </w:rPr>
            </w:pPr>
            <w:r w:rsidRPr="00105FFC">
              <w:rPr>
                <w:rFonts w:asciiTheme="minorHAnsi" w:hAnsiTheme="minorHAnsi"/>
                <w:b w:val="0"/>
                <w:sz w:val="20"/>
                <w:szCs w:val="20"/>
              </w:rPr>
              <w:t>Medi-Cal Only SPD</w:t>
            </w:r>
          </w:p>
        </w:tc>
        <w:tc>
          <w:tcPr>
            <w:tcW w:w="689" w:type="pct"/>
            <w:vAlign w:val="center"/>
          </w:tcPr>
          <w:p w14:paraId="5A928A5F" w14:textId="77777777" w:rsidR="002B1661" w:rsidRPr="00105FFC" w:rsidRDefault="002B1661"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05FFC">
              <w:rPr>
                <w:rFonts w:asciiTheme="minorHAnsi" w:hAnsiTheme="minorHAnsi"/>
                <w:sz w:val="20"/>
                <w:szCs w:val="20"/>
              </w:rPr>
              <w:t>2012</w:t>
            </w:r>
          </w:p>
        </w:tc>
        <w:tc>
          <w:tcPr>
            <w:tcW w:w="1501" w:type="pct"/>
            <w:vAlign w:val="center"/>
          </w:tcPr>
          <w:p w14:paraId="42D3496F" w14:textId="77777777" w:rsidR="002B1661" w:rsidRPr="00105FFC" w:rsidRDefault="002B1661"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05FFC">
              <w:rPr>
                <w:rFonts w:asciiTheme="minorHAnsi" w:hAnsiTheme="minorHAnsi"/>
                <w:sz w:val="20"/>
                <w:szCs w:val="20"/>
              </w:rPr>
              <w:t>Two-Plan &amp; GMC model counties (16 counties)</w:t>
            </w:r>
          </w:p>
        </w:tc>
        <w:tc>
          <w:tcPr>
            <w:tcW w:w="1501" w:type="pct"/>
            <w:vAlign w:val="center"/>
          </w:tcPr>
          <w:p w14:paraId="3EB508E2" w14:textId="77777777" w:rsidR="002B1661" w:rsidRPr="00105FFC" w:rsidRDefault="002B1661"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05FFC">
              <w:rPr>
                <w:rFonts w:asciiTheme="minorHAnsi" w:hAnsiTheme="minorHAnsi"/>
                <w:sz w:val="20"/>
                <w:szCs w:val="20"/>
              </w:rPr>
              <w:t>92,000</w:t>
            </w:r>
          </w:p>
        </w:tc>
      </w:tr>
      <w:tr w:rsidR="002B1661" w:rsidRPr="00105FFC" w14:paraId="749D9554" w14:textId="77777777" w:rsidTr="002B1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vAlign w:val="center"/>
          </w:tcPr>
          <w:p w14:paraId="42791397" w14:textId="77777777" w:rsidR="002B1661" w:rsidRPr="00105FFC" w:rsidRDefault="002B1661" w:rsidP="00D80425">
            <w:pPr>
              <w:spacing w:line="276" w:lineRule="auto"/>
              <w:jc w:val="center"/>
              <w:rPr>
                <w:rFonts w:asciiTheme="minorHAnsi" w:hAnsiTheme="minorHAnsi"/>
                <w:b w:val="0"/>
                <w:sz w:val="20"/>
                <w:szCs w:val="20"/>
              </w:rPr>
            </w:pPr>
            <w:r w:rsidRPr="00105FFC">
              <w:rPr>
                <w:rFonts w:asciiTheme="minorHAnsi" w:hAnsiTheme="minorHAnsi"/>
                <w:b w:val="0"/>
                <w:sz w:val="20"/>
                <w:szCs w:val="20"/>
              </w:rPr>
              <w:t>Medi-Cal Only SPD</w:t>
            </w:r>
          </w:p>
        </w:tc>
        <w:tc>
          <w:tcPr>
            <w:tcW w:w="689" w:type="pct"/>
            <w:vAlign w:val="center"/>
          </w:tcPr>
          <w:p w14:paraId="39F1564E" w14:textId="77777777" w:rsidR="002B1661" w:rsidRPr="00105FFC" w:rsidRDefault="002B1661"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05FFC">
              <w:rPr>
                <w:rFonts w:asciiTheme="minorHAnsi" w:hAnsiTheme="minorHAnsi"/>
                <w:sz w:val="20"/>
                <w:szCs w:val="20"/>
              </w:rPr>
              <w:t>2014</w:t>
            </w:r>
          </w:p>
        </w:tc>
        <w:tc>
          <w:tcPr>
            <w:tcW w:w="1501" w:type="pct"/>
            <w:vAlign w:val="center"/>
          </w:tcPr>
          <w:p w14:paraId="7A88CEFD" w14:textId="77777777" w:rsidR="002B1661" w:rsidRPr="00105FFC" w:rsidRDefault="002B1661"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05FFC">
              <w:rPr>
                <w:rFonts w:asciiTheme="minorHAnsi" w:hAnsiTheme="minorHAnsi"/>
                <w:sz w:val="20"/>
                <w:szCs w:val="20"/>
              </w:rPr>
              <w:t>Regional &amp; Imperial model (19 counties)</w:t>
            </w:r>
          </w:p>
        </w:tc>
        <w:tc>
          <w:tcPr>
            <w:tcW w:w="1501" w:type="pct"/>
            <w:vAlign w:val="center"/>
          </w:tcPr>
          <w:p w14:paraId="6D79CC40" w14:textId="77777777" w:rsidR="002B1661" w:rsidRPr="00105FFC" w:rsidRDefault="002B1661" w:rsidP="00D8042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05FFC">
              <w:rPr>
                <w:rFonts w:asciiTheme="minorHAnsi" w:hAnsiTheme="minorHAnsi"/>
                <w:sz w:val="20"/>
                <w:szCs w:val="20"/>
              </w:rPr>
              <w:t>24,000</w:t>
            </w:r>
          </w:p>
        </w:tc>
      </w:tr>
      <w:tr w:rsidR="002B1661" w:rsidRPr="00105FFC" w14:paraId="69545E93" w14:textId="77777777" w:rsidTr="002B1661">
        <w:tc>
          <w:tcPr>
            <w:cnfStyle w:val="001000000000" w:firstRow="0" w:lastRow="0" w:firstColumn="1" w:lastColumn="0" w:oddVBand="0" w:evenVBand="0" w:oddHBand="0" w:evenHBand="0" w:firstRowFirstColumn="0" w:firstRowLastColumn="0" w:lastRowFirstColumn="0" w:lastRowLastColumn="0"/>
            <w:tcW w:w="1309" w:type="pct"/>
            <w:vAlign w:val="center"/>
          </w:tcPr>
          <w:p w14:paraId="5C76AEE0" w14:textId="77777777" w:rsidR="002B1661" w:rsidRPr="00105FFC" w:rsidRDefault="002B1661" w:rsidP="00D80425">
            <w:pPr>
              <w:spacing w:line="276" w:lineRule="auto"/>
              <w:jc w:val="center"/>
              <w:rPr>
                <w:rFonts w:asciiTheme="minorHAnsi" w:hAnsiTheme="minorHAnsi"/>
                <w:color w:val="FFFFFF" w:themeColor="background1"/>
                <w:sz w:val="20"/>
                <w:szCs w:val="20"/>
              </w:rPr>
            </w:pPr>
            <w:r w:rsidRPr="00105FFC">
              <w:rPr>
                <w:rFonts w:asciiTheme="minorHAnsi" w:hAnsiTheme="minorHAnsi"/>
                <w:color w:val="FFFFFF" w:themeColor="background1"/>
                <w:sz w:val="20"/>
                <w:szCs w:val="20"/>
              </w:rPr>
              <w:t>Total</w:t>
            </w:r>
          </w:p>
        </w:tc>
        <w:tc>
          <w:tcPr>
            <w:tcW w:w="689" w:type="pct"/>
            <w:vAlign w:val="center"/>
          </w:tcPr>
          <w:p w14:paraId="501FAEDA" w14:textId="77777777" w:rsidR="002B1661" w:rsidRPr="00105FFC" w:rsidRDefault="002B1661"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105FFC">
              <w:rPr>
                <w:rFonts w:asciiTheme="minorHAnsi" w:hAnsiTheme="minorHAnsi"/>
                <w:b/>
                <w:color w:val="FFFFFF" w:themeColor="background1"/>
                <w:sz w:val="20"/>
                <w:szCs w:val="20"/>
              </w:rPr>
              <w:t>Total</w:t>
            </w:r>
          </w:p>
        </w:tc>
        <w:tc>
          <w:tcPr>
            <w:tcW w:w="1501" w:type="pct"/>
            <w:vAlign w:val="center"/>
          </w:tcPr>
          <w:p w14:paraId="6A83B51D" w14:textId="77777777" w:rsidR="002B1661" w:rsidRPr="00105FFC" w:rsidRDefault="002B1661"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105FFC">
              <w:rPr>
                <w:rFonts w:asciiTheme="minorHAnsi" w:hAnsiTheme="minorHAnsi"/>
                <w:b/>
                <w:sz w:val="20"/>
                <w:szCs w:val="20"/>
              </w:rPr>
              <w:t>Total</w:t>
            </w:r>
          </w:p>
        </w:tc>
        <w:tc>
          <w:tcPr>
            <w:tcW w:w="1501" w:type="pct"/>
            <w:vAlign w:val="center"/>
          </w:tcPr>
          <w:p w14:paraId="59C80428" w14:textId="77777777" w:rsidR="002B1661" w:rsidRPr="00105FFC" w:rsidRDefault="002B1661" w:rsidP="00D8042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105FFC">
              <w:rPr>
                <w:rFonts w:asciiTheme="minorHAnsi" w:hAnsiTheme="minorHAnsi"/>
                <w:b/>
                <w:sz w:val="20"/>
                <w:szCs w:val="20"/>
              </w:rPr>
              <w:t>264,000</w:t>
            </w:r>
          </w:p>
        </w:tc>
      </w:tr>
    </w:tbl>
    <w:p w14:paraId="64BD2AC1" w14:textId="77777777" w:rsidR="00C419D0" w:rsidRPr="00105FFC" w:rsidRDefault="00C419D0" w:rsidP="00053011">
      <w:pPr>
        <w:rPr>
          <w:rFonts w:asciiTheme="minorHAnsi" w:eastAsiaTheme="minorHAnsi" w:hAnsiTheme="minorHAnsi"/>
          <w:b/>
          <w:sz w:val="16"/>
          <w:szCs w:val="16"/>
        </w:rPr>
      </w:pPr>
      <w:r w:rsidRPr="00105FFC">
        <w:rPr>
          <w:rFonts w:asciiTheme="minorHAnsi" w:eastAsiaTheme="minorHAnsi" w:hAnsiTheme="minorHAnsi"/>
          <w:b/>
          <w:sz w:val="16"/>
          <w:szCs w:val="16"/>
        </w:rPr>
        <w:t>Source:</w:t>
      </w:r>
      <w:r w:rsidRPr="00105FFC">
        <w:rPr>
          <w:rFonts w:asciiTheme="minorHAnsi" w:eastAsiaTheme="minorHAnsi" w:hAnsiTheme="minorHAnsi"/>
          <w:sz w:val="16"/>
          <w:szCs w:val="16"/>
        </w:rPr>
        <w:t xml:space="preserve"> Data from the </w:t>
      </w:r>
      <w:r w:rsidRPr="00105FFC">
        <w:rPr>
          <w:rFonts w:asciiTheme="minorHAnsi" w:eastAsiaTheme="minorHAnsi" w:hAnsiTheme="minorHAnsi"/>
          <w:i/>
          <w:sz w:val="16"/>
          <w:szCs w:val="16"/>
        </w:rPr>
        <w:t>Medi-Cal Managed Care Division’s SPD Monitoring Dashboard</w:t>
      </w:r>
      <w:r w:rsidR="002F7077" w:rsidRPr="00105FFC">
        <w:rPr>
          <w:rFonts w:asciiTheme="minorHAnsi" w:eastAsiaTheme="minorHAnsi" w:hAnsiTheme="minorHAnsi"/>
          <w:sz w:val="16"/>
          <w:szCs w:val="16"/>
        </w:rPr>
        <w:t xml:space="preserve"> (J</w:t>
      </w:r>
      <w:r w:rsidRPr="00105FFC">
        <w:rPr>
          <w:rFonts w:asciiTheme="minorHAnsi" w:eastAsiaTheme="minorHAnsi" w:hAnsiTheme="minorHAnsi"/>
          <w:sz w:val="16"/>
          <w:szCs w:val="16"/>
        </w:rPr>
        <w:t>anuary</w:t>
      </w:r>
      <w:r w:rsidR="002F7077" w:rsidRPr="00105FFC">
        <w:rPr>
          <w:rFonts w:asciiTheme="minorHAnsi" w:eastAsiaTheme="minorHAnsi" w:hAnsiTheme="minorHAnsi"/>
          <w:sz w:val="16"/>
          <w:szCs w:val="16"/>
        </w:rPr>
        <w:t xml:space="preserve"> 2013</w:t>
      </w:r>
      <w:r w:rsidRPr="00105FFC">
        <w:rPr>
          <w:rFonts w:asciiTheme="minorHAnsi" w:eastAsiaTheme="minorHAnsi" w:hAnsiTheme="minorHAnsi"/>
          <w:sz w:val="16"/>
          <w:szCs w:val="16"/>
        </w:rPr>
        <w:t xml:space="preserve">). </w:t>
      </w:r>
      <w:hyperlink r:id="rId15" w:history="1">
        <w:r w:rsidRPr="00105FFC">
          <w:rPr>
            <w:rFonts w:asciiTheme="minorHAnsi" w:eastAsiaTheme="minorHAnsi" w:hAnsiTheme="minorHAnsi"/>
            <w:color w:val="0000FF" w:themeColor="hyperlink"/>
            <w:sz w:val="16"/>
            <w:szCs w:val="16"/>
            <w:u w:val="single"/>
          </w:rPr>
          <w:t>http://www.dhcs.ca.gov/individuals/Documents/MMCD_SPD/ChartsRptsData/SPD_Dashboard_Jan2013.pdf</w:t>
        </w:r>
      </w:hyperlink>
    </w:p>
    <w:p w14:paraId="481E29E5" w14:textId="77777777" w:rsidR="00053011" w:rsidRPr="00105FFC" w:rsidRDefault="00C419D0" w:rsidP="00053011">
      <w:pPr>
        <w:rPr>
          <w:rFonts w:asciiTheme="minorHAnsi" w:eastAsiaTheme="minorHAnsi" w:hAnsiTheme="minorHAnsi"/>
        </w:rPr>
      </w:pPr>
      <w:r w:rsidRPr="00105FFC">
        <w:rPr>
          <w:rFonts w:asciiTheme="minorHAnsi" w:eastAsiaTheme="minorHAnsi" w:hAnsiTheme="minorHAnsi"/>
          <w:sz w:val="18"/>
          <w:szCs w:val="18"/>
        </w:rPr>
        <w:t xml:space="preserve">  </w:t>
      </w:r>
      <w:r w:rsidR="00053011" w:rsidRPr="00105FFC">
        <w:rPr>
          <w:rFonts w:asciiTheme="minorHAnsi" w:eastAsiaTheme="minorHAnsi" w:hAnsiTheme="minorHAnsi"/>
          <w:sz w:val="18"/>
          <w:szCs w:val="18"/>
        </w:rPr>
        <w:t xml:space="preserve"> </w:t>
      </w:r>
    </w:p>
    <w:p w14:paraId="483A12BA" w14:textId="77777777" w:rsidR="00ED5F7E" w:rsidRPr="00105FFC" w:rsidRDefault="00411777"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SPD population re</w:t>
      </w:r>
      <w:r w:rsidR="00ED5F7E" w:rsidRPr="00105FFC">
        <w:rPr>
          <w:rFonts w:asciiTheme="minorHAnsi" w:eastAsiaTheme="minorHAnsi" w:hAnsiTheme="minorHAnsi" w:cstheme="minorBidi"/>
        </w:rPr>
        <w:t xml:space="preserve">presents one of Medi-Cal’s </w:t>
      </w:r>
      <w:r w:rsidR="00FE2B5F" w:rsidRPr="00105FFC">
        <w:rPr>
          <w:rFonts w:asciiTheme="minorHAnsi" w:eastAsiaTheme="minorHAnsi" w:hAnsiTheme="minorHAnsi" w:cstheme="minorBidi"/>
        </w:rPr>
        <w:t>costliest</w:t>
      </w:r>
      <w:r w:rsidRPr="00105FFC">
        <w:rPr>
          <w:rFonts w:asciiTheme="minorHAnsi" w:eastAsiaTheme="minorHAnsi" w:hAnsiTheme="minorHAnsi" w:cstheme="minorBidi"/>
        </w:rPr>
        <w:t xml:space="preserve"> a</w:t>
      </w:r>
      <w:r w:rsidR="00ED5F7E" w:rsidRPr="00105FFC">
        <w:rPr>
          <w:rFonts w:asciiTheme="minorHAnsi" w:eastAsiaTheme="minorHAnsi" w:hAnsiTheme="minorHAnsi" w:cstheme="minorBidi"/>
        </w:rPr>
        <w:t>nd medically complex groups. This subpopulation</w:t>
      </w:r>
      <w:r w:rsidRPr="00105FFC">
        <w:rPr>
          <w:rFonts w:asciiTheme="minorHAnsi" w:eastAsiaTheme="minorHAnsi" w:hAnsiTheme="minorHAnsi" w:cstheme="minorBidi"/>
        </w:rPr>
        <w:t>, which formerly received care through the FFS delivery system, comprises aged and/or blind/disabled individuals who qualify</w:t>
      </w:r>
      <w:r w:rsidR="00ED5F7E" w:rsidRPr="00105FFC">
        <w:rPr>
          <w:rFonts w:asciiTheme="minorHAnsi" w:eastAsiaTheme="minorHAnsi" w:hAnsiTheme="minorHAnsi" w:cstheme="minorBidi"/>
        </w:rPr>
        <w:t xml:space="preserve"> for coverage</w:t>
      </w:r>
      <w:r w:rsidRPr="00105FFC">
        <w:rPr>
          <w:rFonts w:asciiTheme="minorHAnsi" w:eastAsiaTheme="minorHAnsi" w:hAnsiTheme="minorHAnsi" w:cstheme="minorBidi"/>
        </w:rPr>
        <w:t xml:space="preserve"> on the basis of age, health/disability status, and/or a linkage t</w:t>
      </w:r>
      <w:r w:rsidR="00ED5F7E" w:rsidRPr="00105FFC">
        <w:rPr>
          <w:rFonts w:asciiTheme="minorHAnsi" w:eastAsiaTheme="minorHAnsi" w:hAnsiTheme="minorHAnsi" w:cstheme="minorBidi"/>
        </w:rPr>
        <w:t>o Supplemental Security Income.</w:t>
      </w:r>
    </w:p>
    <w:p w14:paraId="76ED4FEB" w14:textId="77777777" w:rsidR="00411777" w:rsidRPr="00105FFC" w:rsidRDefault="00411777"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In June 2011, DHCS began the transition of full-scope Medi-Cal Only SPDs from FFS to managed care in 16 counties where the Two-Plan and Geographic Managed Care (GMC) models were administered</w:t>
      </w:r>
      <w:r w:rsidR="001E334A" w:rsidRPr="00105FFC">
        <w:rPr>
          <w:rFonts w:asciiTheme="minorHAnsi" w:eastAsiaTheme="minorHAnsi" w:hAnsiTheme="minorHAnsi" w:cstheme="minorBidi"/>
        </w:rPr>
        <w:t>.</w:t>
      </w:r>
      <w:r w:rsidR="002F7077" w:rsidRPr="00105FFC">
        <w:rPr>
          <w:rStyle w:val="EndnoteReference"/>
          <w:rFonts w:asciiTheme="minorHAnsi" w:eastAsiaTheme="minorHAnsi" w:hAnsiTheme="minorHAnsi" w:cstheme="minorBidi"/>
        </w:rPr>
        <w:endnoteReference w:id="15"/>
      </w:r>
      <w:r w:rsidRPr="00105FFC">
        <w:rPr>
          <w:rFonts w:asciiTheme="minorHAnsi" w:eastAsiaTheme="minorHAnsi" w:hAnsiTheme="minorHAnsi" w:cstheme="minorBidi"/>
        </w:rPr>
        <w:t xml:space="preserve"> From June 2011 to May 2012, approximately 240,000 SPD beneficiaries were transitioned into a managed care plan in </w:t>
      </w:r>
      <w:r w:rsidRPr="00105FFC">
        <w:rPr>
          <w:rFonts w:asciiTheme="minorHAnsi" w:hAnsiTheme="minorHAnsi" w:cstheme="minorBidi"/>
        </w:rPr>
        <w:t>Alameda, Contra Costa, Fresno, Kern, Kings, Los Angeles, Madera, Riverside, Sacramento, San Bernardino, San Diego, San Francisco, San Joaquin, Santa</w:t>
      </w:r>
      <w:r w:rsidR="00ED5F7E" w:rsidRPr="00105FFC">
        <w:rPr>
          <w:rFonts w:asciiTheme="minorHAnsi" w:hAnsiTheme="minorHAnsi" w:cstheme="minorBidi"/>
        </w:rPr>
        <w:t xml:space="preserve"> Clara, Stanislaus, and Tulare c</w:t>
      </w:r>
      <w:r w:rsidRPr="00105FFC">
        <w:rPr>
          <w:rFonts w:asciiTheme="minorHAnsi" w:hAnsiTheme="minorHAnsi" w:cstheme="minorBidi"/>
        </w:rPr>
        <w:t>ounties</w:t>
      </w:r>
      <w:r w:rsidRPr="00105FFC">
        <w:rPr>
          <w:rFonts w:asciiTheme="minorHAnsi" w:eastAsiaTheme="minorHAnsi" w:hAnsiTheme="minorHAnsi" w:cstheme="minorBidi"/>
        </w:rPr>
        <w:t>. In turn, after the establishment of managed care in 19 counties through the implementation of the Regional and Imperial models in late 2013, approximately 24,000 Medi-Cal Only SPDs were transitioned from FFS</w:t>
      </w:r>
      <w:r w:rsidR="00C2376A" w:rsidRPr="00105FFC">
        <w:rPr>
          <w:rFonts w:asciiTheme="minorHAnsi" w:eastAsiaTheme="minorHAnsi" w:hAnsiTheme="minorHAnsi" w:cstheme="minorBidi"/>
        </w:rPr>
        <w:t xml:space="preserve"> to managed care in December </w:t>
      </w:r>
      <w:r w:rsidRPr="00105FFC">
        <w:rPr>
          <w:rFonts w:asciiTheme="minorHAnsi" w:eastAsiaTheme="minorHAnsi" w:hAnsiTheme="minorHAnsi" w:cstheme="minorBidi"/>
        </w:rPr>
        <w:t>2014</w:t>
      </w:r>
      <w:r w:rsidR="00206F94" w:rsidRPr="00105FFC">
        <w:rPr>
          <w:rFonts w:asciiTheme="minorHAnsi" w:eastAsiaTheme="minorHAnsi" w:hAnsiTheme="minorHAnsi" w:cstheme="minorBidi"/>
        </w:rPr>
        <w:t xml:space="preserve"> (Table 2)</w:t>
      </w:r>
      <w:r w:rsidRPr="00105FFC">
        <w:rPr>
          <w:rFonts w:asciiTheme="minorHAnsi" w:eastAsiaTheme="minorHAnsi" w:hAnsiTheme="minorHAnsi" w:cstheme="minorBidi"/>
        </w:rPr>
        <w:t>.</w:t>
      </w:r>
      <w:r w:rsidR="00C2376A" w:rsidRPr="00105FFC">
        <w:rPr>
          <w:rStyle w:val="EndnoteReference"/>
          <w:rFonts w:asciiTheme="minorHAnsi" w:eastAsiaTheme="minorHAnsi" w:hAnsiTheme="minorHAnsi" w:cstheme="minorBidi"/>
        </w:rPr>
        <w:endnoteReference w:id="16"/>
      </w:r>
    </w:p>
    <w:p w14:paraId="27CFC663" w14:textId="77777777" w:rsidR="00206F94" w:rsidRPr="00105FFC" w:rsidRDefault="00206F94" w:rsidP="00DE5E3B">
      <w:pPr>
        <w:pStyle w:val="Heading4"/>
        <w:spacing w:before="0" w:after="120" w:line="276" w:lineRule="auto"/>
        <w:rPr>
          <w:rFonts w:eastAsiaTheme="minorHAnsi"/>
          <w:color w:val="auto"/>
        </w:rPr>
      </w:pPr>
      <w:r w:rsidRPr="00105FFC">
        <w:rPr>
          <w:rFonts w:eastAsiaTheme="minorHAnsi"/>
          <w:color w:val="auto"/>
        </w:rPr>
        <w:t xml:space="preserve">Coordinated Care Initiative </w:t>
      </w:r>
    </w:p>
    <w:p w14:paraId="68FA7EEE" w14:textId="77777777" w:rsidR="008F6A00" w:rsidRPr="00105FFC" w:rsidRDefault="00206F94"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In an effort to better manage health care outcomes and the coordination of benefits for </w:t>
      </w:r>
      <w:r w:rsidR="00194D59" w:rsidRPr="00105FFC">
        <w:rPr>
          <w:rFonts w:asciiTheme="minorHAnsi" w:eastAsiaTheme="minorHAnsi" w:hAnsiTheme="minorHAnsi" w:cstheme="minorBidi"/>
        </w:rPr>
        <w:t>Dual Eligible</w:t>
      </w:r>
      <w:r w:rsidRPr="00105FFC">
        <w:rPr>
          <w:rFonts w:asciiTheme="minorHAnsi" w:eastAsiaTheme="minorHAnsi" w:hAnsiTheme="minorHAnsi" w:cstheme="minorBidi"/>
        </w:rPr>
        <w:t xml:space="preserve"> individuals with both Medi-Cal and Medicare coverage, California introduced the Coordinated Care Initiative (CCI) program in 2014. CCI estab</w:t>
      </w:r>
      <w:r w:rsidRPr="00105FFC">
        <w:rPr>
          <w:rFonts w:asciiTheme="minorHAnsi" w:eastAsiaTheme="minorHAnsi" w:hAnsiTheme="minorHAnsi" w:cstheme="minorBidi"/>
        </w:rPr>
        <w:lastRenderedPageBreak/>
        <w:t>lished Cal MediConnect, a three-year demonstration pro</w:t>
      </w:r>
      <w:r w:rsidR="00194D59" w:rsidRPr="00105FFC">
        <w:rPr>
          <w:rFonts w:asciiTheme="minorHAnsi" w:eastAsiaTheme="minorHAnsi" w:hAnsiTheme="minorHAnsi" w:cstheme="minorBidi"/>
        </w:rPr>
        <w:t>ject in seven counties wherein Dual E</w:t>
      </w:r>
      <w:r w:rsidRPr="00105FFC">
        <w:rPr>
          <w:rFonts w:asciiTheme="minorHAnsi" w:eastAsiaTheme="minorHAnsi" w:hAnsiTheme="minorHAnsi" w:cstheme="minorBidi"/>
        </w:rPr>
        <w:t>ligibles could voluntarily enroll in a single health plan to receive coordinated medical, behavioral health, long-term institutional</w:t>
      </w:r>
      <w:r w:rsidR="00194D59" w:rsidRPr="00105FFC">
        <w:rPr>
          <w:rFonts w:asciiTheme="minorHAnsi" w:eastAsiaTheme="minorHAnsi" w:hAnsiTheme="minorHAnsi" w:cstheme="minorBidi"/>
        </w:rPr>
        <w:t>,</w:t>
      </w:r>
      <w:r w:rsidRPr="00105FFC">
        <w:rPr>
          <w:rFonts w:asciiTheme="minorHAnsi" w:eastAsiaTheme="minorHAnsi" w:hAnsiTheme="minorHAnsi" w:cstheme="minorBidi"/>
        </w:rPr>
        <w:t xml:space="preserve"> and home- and community-based services. </w:t>
      </w:r>
      <w:r w:rsidR="00EC2753" w:rsidRPr="00105FFC">
        <w:rPr>
          <w:rFonts w:asciiTheme="minorHAnsi" w:eastAsiaTheme="minorHAnsi" w:hAnsiTheme="minorHAnsi" w:cstheme="minorBidi"/>
        </w:rPr>
        <w:t>Cal MediConnect</w:t>
      </w:r>
      <w:r w:rsidRPr="00105FFC">
        <w:rPr>
          <w:rFonts w:asciiTheme="minorHAnsi" w:eastAsiaTheme="minorHAnsi" w:hAnsiTheme="minorHAnsi" w:cstheme="minorBidi"/>
        </w:rPr>
        <w:t xml:space="preserve"> plans not only coordinate th</w:t>
      </w:r>
      <w:r w:rsidR="00194D59" w:rsidRPr="00105FFC">
        <w:rPr>
          <w:rFonts w:asciiTheme="minorHAnsi" w:eastAsiaTheme="minorHAnsi" w:hAnsiTheme="minorHAnsi" w:cstheme="minorBidi"/>
        </w:rPr>
        <w:t>e health care of Dual Eligibles,</w:t>
      </w:r>
      <w:r w:rsidRPr="00105FFC">
        <w:rPr>
          <w:rFonts w:asciiTheme="minorHAnsi" w:eastAsiaTheme="minorHAnsi" w:hAnsiTheme="minorHAnsi" w:cstheme="minorBidi"/>
        </w:rPr>
        <w:t xml:space="preserve"> </w:t>
      </w:r>
      <w:r w:rsidR="00194D59" w:rsidRPr="00105FFC">
        <w:rPr>
          <w:rFonts w:asciiTheme="minorHAnsi" w:eastAsiaTheme="minorHAnsi" w:hAnsiTheme="minorHAnsi" w:cstheme="minorBidi"/>
        </w:rPr>
        <w:t>but also</w:t>
      </w:r>
      <w:r w:rsidRPr="00105FFC">
        <w:rPr>
          <w:rFonts w:asciiTheme="minorHAnsi" w:eastAsiaTheme="minorHAnsi" w:hAnsiTheme="minorHAnsi" w:cstheme="minorBidi"/>
        </w:rPr>
        <w:t xml:space="preserve"> coordinate the different benefits offered by Medi-Cal and Medicare i</w:t>
      </w:r>
      <w:r w:rsidR="00DE5E3B" w:rsidRPr="00105FFC">
        <w:rPr>
          <w:rFonts w:asciiTheme="minorHAnsi" w:eastAsiaTheme="minorHAnsi" w:hAnsiTheme="minorHAnsi" w:cstheme="minorBidi"/>
        </w:rPr>
        <w:t>nto a unified service delivery</w:t>
      </w:r>
      <w:r w:rsidR="008B5505" w:rsidRPr="00105FFC">
        <w:rPr>
          <w:rFonts w:asciiTheme="minorHAnsi" w:eastAsiaTheme="minorHAnsi" w:hAnsiTheme="minorHAnsi" w:cstheme="minorBidi"/>
        </w:rPr>
        <w:t xml:space="preserve"> system</w:t>
      </w:r>
      <w:r w:rsidR="00DE5E3B" w:rsidRPr="00105FFC">
        <w:rPr>
          <w:rFonts w:asciiTheme="minorHAnsi" w:eastAsiaTheme="minorHAnsi" w:hAnsiTheme="minorHAnsi" w:cstheme="minorBidi"/>
        </w:rPr>
        <w:t>.</w:t>
      </w:r>
    </w:p>
    <w:p w14:paraId="6CE46ECA" w14:textId="77777777" w:rsidR="008F6A00" w:rsidRPr="00105FFC" w:rsidRDefault="00206F94" w:rsidP="00B25D7D">
      <w:pPr>
        <w:spacing w:line="276" w:lineRule="auto"/>
        <w:rPr>
          <w:rFonts w:asciiTheme="minorHAnsi" w:eastAsiaTheme="minorHAnsi" w:hAnsiTheme="minorHAnsi" w:cstheme="minorBidi"/>
        </w:rPr>
      </w:pPr>
      <w:r w:rsidRPr="00105FFC">
        <w:rPr>
          <w:rFonts w:asciiTheme="minorHAnsi" w:eastAsiaTheme="minorHAnsi" w:hAnsiTheme="minorHAnsi" w:cstheme="minorBidi"/>
        </w:rPr>
        <w:t>While enrollment into Cal Medi</w:t>
      </w:r>
      <w:r w:rsidR="00194D59" w:rsidRPr="00105FFC">
        <w:rPr>
          <w:rFonts w:asciiTheme="minorHAnsi" w:eastAsiaTheme="minorHAnsi" w:hAnsiTheme="minorHAnsi" w:cstheme="minorBidi"/>
        </w:rPr>
        <w:t>Connect plans is voluntary for Dual Eligibles, those who cho</w:t>
      </w:r>
      <w:r w:rsidRPr="00105FFC">
        <w:rPr>
          <w:rFonts w:asciiTheme="minorHAnsi" w:eastAsiaTheme="minorHAnsi" w:hAnsiTheme="minorHAnsi" w:cstheme="minorBidi"/>
        </w:rPr>
        <w:t>se not to enroll were still mandatorily enrolled in one of the county’s respective Medi-Cal managed care plans (e.g.</w:t>
      </w:r>
      <w:r w:rsidR="00194D59" w:rsidRPr="00105FFC">
        <w:rPr>
          <w:rFonts w:asciiTheme="minorHAnsi" w:eastAsiaTheme="minorHAnsi" w:hAnsiTheme="minorHAnsi" w:cstheme="minorBidi"/>
        </w:rPr>
        <w:t xml:space="preserve">, </w:t>
      </w:r>
      <w:r w:rsidRPr="00105FFC">
        <w:rPr>
          <w:rFonts w:asciiTheme="minorHAnsi" w:eastAsiaTheme="minorHAnsi" w:hAnsiTheme="minorHAnsi" w:cstheme="minorBidi"/>
        </w:rPr>
        <w:t xml:space="preserve">L.A. Care or Health Net in Los Angeles). Prior to the implementation of </w:t>
      </w:r>
      <w:r w:rsidR="00194D59" w:rsidRPr="00105FFC">
        <w:rPr>
          <w:rFonts w:asciiTheme="minorHAnsi" w:eastAsiaTheme="minorHAnsi" w:hAnsiTheme="minorHAnsi" w:cstheme="minorBidi"/>
        </w:rPr>
        <w:t>Cal MediConnect, a majority of Dual E</w:t>
      </w:r>
      <w:r w:rsidRPr="00105FFC">
        <w:rPr>
          <w:rFonts w:asciiTheme="minorHAnsi" w:eastAsiaTheme="minorHAnsi" w:hAnsiTheme="minorHAnsi" w:cstheme="minorBidi"/>
        </w:rPr>
        <w:t>ligibles in the seven demonstration counties</w:t>
      </w:r>
      <w:r w:rsidR="00194D59" w:rsidRPr="00105FFC">
        <w:rPr>
          <w:rFonts w:asciiTheme="minorHAnsi" w:eastAsiaTheme="minorHAnsi" w:hAnsiTheme="minorHAnsi" w:cstheme="minorBidi"/>
        </w:rPr>
        <w:t xml:space="preserve"> were enrolled in FFS. Whether Dual E</w:t>
      </w:r>
      <w:r w:rsidRPr="00105FFC">
        <w:rPr>
          <w:rFonts w:asciiTheme="minorHAnsi" w:eastAsiaTheme="minorHAnsi" w:hAnsiTheme="minorHAnsi" w:cstheme="minorBidi"/>
        </w:rPr>
        <w:t>ligibles choose to e</w:t>
      </w:r>
      <w:r w:rsidR="00194D59" w:rsidRPr="00105FFC">
        <w:rPr>
          <w:rFonts w:asciiTheme="minorHAnsi" w:eastAsiaTheme="minorHAnsi" w:hAnsiTheme="minorHAnsi" w:cstheme="minorBidi"/>
        </w:rPr>
        <w:t>nroll in a Cal MediConnect plan</w:t>
      </w:r>
      <w:r w:rsidRPr="00105FFC">
        <w:rPr>
          <w:rFonts w:asciiTheme="minorHAnsi" w:eastAsiaTheme="minorHAnsi" w:hAnsiTheme="minorHAnsi" w:cstheme="minorBidi"/>
        </w:rPr>
        <w:t xml:space="preserve"> or one of the Medi-Cal managed care plans</w:t>
      </w:r>
      <w:r w:rsidR="00194D59" w:rsidRPr="00105FFC">
        <w:rPr>
          <w:rFonts w:asciiTheme="minorHAnsi" w:eastAsiaTheme="minorHAnsi" w:hAnsiTheme="minorHAnsi" w:cstheme="minorBidi"/>
        </w:rPr>
        <w:t xml:space="preserve">, the end result is </w:t>
      </w:r>
      <w:r w:rsidR="00EC2753" w:rsidRPr="00105FFC">
        <w:rPr>
          <w:rFonts w:asciiTheme="minorHAnsi" w:eastAsiaTheme="minorHAnsi" w:hAnsiTheme="minorHAnsi" w:cstheme="minorBidi"/>
        </w:rPr>
        <w:t xml:space="preserve">still </w:t>
      </w:r>
      <w:r w:rsidR="00194D59" w:rsidRPr="00105FFC">
        <w:rPr>
          <w:rFonts w:asciiTheme="minorHAnsi" w:eastAsiaTheme="minorHAnsi" w:hAnsiTheme="minorHAnsi" w:cstheme="minorBidi"/>
        </w:rPr>
        <w:t>a shift of Dual E</w:t>
      </w:r>
      <w:r w:rsidRPr="00105FFC">
        <w:rPr>
          <w:rFonts w:asciiTheme="minorHAnsi" w:eastAsiaTheme="minorHAnsi" w:hAnsiTheme="minorHAnsi" w:cstheme="minorBidi"/>
        </w:rPr>
        <w:t xml:space="preserve">ligibles from FFS to managed care </w:t>
      </w:r>
      <w:r w:rsidR="008B5505" w:rsidRPr="00105FFC">
        <w:rPr>
          <w:rFonts w:asciiTheme="minorHAnsi" w:eastAsiaTheme="minorHAnsi" w:hAnsiTheme="minorHAnsi" w:cstheme="minorBidi"/>
        </w:rPr>
        <w:t xml:space="preserve">for purposes of Medi-Cal’s benefits </w:t>
      </w:r>
      <w:r w:rsidRPr="00105FFC">
        <w:rPr>
          <w:rFonts w:asciiTheme="minorHAnsi" w:eastAsiaTheme="minorHAnsi" w:hAnsiTheme="minorHAnsi" w:cstheme="minorBidi"/>
        </w:rPr>
        <w:t xml:space="preserve">(either into </w:t>
      </w:r>
      <w:r w:rsidR="00194D59" w:rsidRPr="00105FFC">
        <w:rPr>
          <w:rFonts w:asciiTheme="minorHAnsi" w:eastAsiaTheme="minorHAnsi" w:hAnsiTheme="minorHAnsi" w:cstheme="minorBidi"/>
        </w:rPr>
        <w:t>a</w:t>
      </w:r>
      <w:r w:rsidRPr="00105FFC">
        <w:rPr>
          <w:rFonts w:asciiTheme="minorHAnsi" w:eastAsiaTheme="minorHAnsi" w:hAnsiTheme="minorHAnsi" w:cstheme="minorBidi"/>
        </w:rPr>
        <w:t xml:space="preserve"> Cal MediConnect plan or </w:t>
      </w:r>
      <w:r w:rsidR="00194D59" w:rsidRPr="00105FFC">
        <w:rPr>
          <w:rFonts w:asciiTheme="minorHAnsi" w:eastAsiaTheme="minorHAnsi" w:hAnsiTheme="minorHAnsi" w:cstheme="minorBidi"/>
        </w:rPr>
        <w:t xml:space="preserve">a </w:t>
      </w:r>
      <w:r w:rsidRPr="00105FFC">
        <w:rPr>
          <w:rFonts w:asciiTheme="minorHAnsi" w:eastAsiaTheme="minorHAnsi" w:hAnsiTheme="minorHAnsi" w:cstheme="minorBidi"/>
        </w:rPr>
        <w:t>Medi-Cal managed care plan). As of June 2016,</w:t>
      </w:r>
      <w:r w:rsidR="00194D59" w:rsidRPr="00105FFC">
        <w:rPr>
          <w:rFonts w:asciiTheme="minorHAnsi" w:eastAsiaTheme="minorHAnsi" w:hAnsiTheme="minorHAnsi" w:cstheme="minorBidi"/>
        </w:rPr>
        <w:t xml:space="preserve"> nearly 120,000 Dual E</w:t>
      </w:r>
      <w:r w:rsidRPr="00105FFC">
        <w:rPr>
          <w:rFonts w:asciiTheme="minorHAnsi" w:eastAsiaTheme="minorHAnsi" w:hAnsiTheme="minorHAnsi" w:cstheme="minorBidi"/>
        </w:rPr>
        <w:t>ligi</w:t>
      </w:r>
      <w:r w:rsidR="00194D59" w:rsidRPr="00105FFC">
        <w:rPr>
          <w:rFonts w:asciiTheme="minorHAnsi" w:eastAsiaTheme="minorHAnsi" w:hAnsiTheme="minorHAnsi" w:cstheme="minorBidi"/>
        </w:rPr>
        <w:t>bles had enrolled in a Cal Medi</w:t>
      </w:r>
      <w:r w:rsidRPr="00105FFC">
        <w:rPr>
          <w:rFonts w:asciiTheme="minorHAnsi" w:eastAsiaTheme="minorHAnsi" w:hAnsiTheme="minorHAnsi" w:cstheme="minorBidi"/>
        </w:rPr>
        <w:t>Connect plan</w:t>
      </w:r>
      <w:r w:rsidR="008F6A00" w:rsidRPr="00105FFC">
        <w:rPr>
          <w:rFonts w:asciiTheme="minorHAnsi" w:eastAsiaTheme="minorHAnsi" w:hAnsiTheme="minorHAnsi" w:cstheme="minorBidi"/>
        </w:rPr>
        <w:t xml:space="preserve"> (Figure 4)</w:t>
      </w:r>
      <w:r w:rsidRPr="00105FFC">
        <w:rPr>
          <w:rFonts w:asciiTheme="minorHAnsi" w:eastAsiaTheme="minorHAnsi" w:hAnsiTheme="minorHAnsi" w:cstheme="minorBidi"/>
        </w:rPr>
        <w:t>.</w:t>
      </w:r>
    </w:p>
    <w:p w14:paraId="127B1EAA" w14:textId="77777777" w:rsidR="00B25D7D" w:rsidRPr="00105FFC" w:rsidRDefault="00B25D7D" w:rsidP="00B25D7D">
      <w:pPr>
        <w:spacing w:line="276" w:lineRule="auto"/>
        <w:rPr>
          <w:rFonts w:asciiTheme="minorHAnsi" w:eastAsiaTheme="minorHAnsi" w:hAnsiTheme="minorHAnsi" w:cstheme="minorBidi"/>
        </w:rPr>
      </w:pPr>
    </w:p>
    <w:p w14:paraId="18542D29" w14:textId="77777777" w:rsidR="00206F94" w:rsidRPr="00105FFC" w:rsidRDefault="008F6A00" w:rsidP="00B25D7D">
      <w:pPr>
        <w:pStyle w:val="Caption"/>
        <w:spacing w:after="0" w:line="276" w:lineRule="auto"/>
        <w:rPr>
          <w:rFonts w:asciiTheme="minorHAnsi" w:eastAsiaTheme="minorHAnsi" w:hAnsiTheme="minorHAnsi" w:cstheme="minorBidi"/>
          <w:color w:val="auto"/>
          <w:sz w:val="20"/>
          <w:szCs w:val="20"/>
        </w:rPr>
      </w:pPr>
      <w:bookmarkStart w:id="41" w:name="_Toc458782942"/>
      <w:bookmarkStart w:id="42" w:name="_Toc459285053"/>
      <w:bookmarkStart w:id="43" w:name="_Toc459285244"/>
      <w:bookmarkStart w:id="44" w:name="_Toc459286685"/>
      <w:r w:rsidRPr="00105FFC">
        <w:rPr>
          <w:rFonts w:asciiTheme="minorHAnsi" w:hAnsiTheme="minorHAnsi"/>
          <w:color w:val="auto"/>
          <w:sz w:val="20"/>
          <w:szCs w:val="20"/>
        </w:rPr>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4</w:t>
      </w:r>
      <w:r w:rsidRPr="00105FFC">
        <w:rPr>
          <w:rFonts w:asciiTheme="minorHAnsi" w:hAnsiTheme="minorHAnsi"/>
          <w:color w:val="auto"/>
          <w:sz w:val="20"/>
          <w:szCs w:val="20"/>
        </w:rPr>
        <w:fldChar w:fldCharType="end"/>
      </w:r>
      <w:r w:rsidRPr="00105FFC">
        <w:rPr>
          <w:rFonts w:asciiTheme="minorHAnsi" w:hAnsiTheme="minorHAnsi"/>
          <w:color w:val="auto"/>
          <w:sz w:val="20"/>
          <w:szCs w:val="20"/>
        </w:rPr>
        <w:t>:</w:t>
      </w:r>
      <w:r w:rsidR="00206F94" w:rsidRPr="00105FFC">
        <w:rPr>
          <w:rFonts w:asciiTheme="minorHAnsi" w:eastAsiaTheme="minorHAnsi" w:hAnsiTheme="minorHAnsi" w:cstheme="minorBidi"/>
          <w:b w:val="0"/>
          <w:color w:val="auto"/>
          <w:sz w:val="20"/>
          <w:szCs w:val="20"/>
        </w:rPr>
        <w:t xml:space="preserve"> </w:t>
      </w:r>
      <w:r w:rsidR="00194D59" w:rsidRPr="00105FFC">
        <w:rPr>
          <w:rFonts w:asciiTheme="minorHAnsi" w:eastAsiaTheme="minorHAnsi" w:hAnsiTheme="minorHAnsi" w:cstheme="minorBidi"/>
          <w:b w:val="0"/>
          <w:color w:val="auto"/>
          <w:sz w:val="20"/>
          <w:szCs w:val="20"/>
        </w:rPr>
        <w:t xml:space="preserve">Distribution of </w:t>
      </w:r>
      <w:r w:rsidR="00206F94" w:rsidRPr="00105FFC">
        <w:rPr>
          <w:rFonts w:asciiTheme="minorHAnsi" w:eastAsiaTheme="minorHAnsi" w:hAnsiTheme="minorHAnsi" w:cstheme="minorBidi"/>
          <w:b w:val="0"/>
          <w:color w:val="auto"/>
          <w:sz w:val="20"/>
          <w:szCs w:val="20"/>
        </w:rPr>
        <w:t xml:space="preserve">Cal MediConnect </w:t>
      </w:r>
      <w:r w:rsidR="00194D59" w:rsidRPr="00105FFC">
        <w:rPr>
          <w:rFonts w:asciiTheme="minorHAnsi" w:eastAsiaTheme="minorHAnsi" w:hAnsiTheme="minorHAnsi" w:cstheme="minorBidi"/>
          <w:b w:val="0"/>
          <w:color w:val="auto"/>
          <w:sz w:val="20"/>
          <w:szCs w:val="20"/>
        </w:rPr>
        <w:t>Participation in June</w:t>
      </w:r>
      <w:r w:rsidR="00206F94" w:rsidRPr="00105FFC">
        <w:rPr>
          <w:rFonts w:asciiTheme="minorHAnsi" w:eastAsiaTheme="minorHAnsi" w:hAnsiTheme="minorHAnsi" w:cstheme="minorBidi"/>
          <w:b w:val="0"/>
          <w:color w:val="auto"/>
          <w:sz w:val="20"/>
          <w:szCs w:val="20"/>
        </w:rPr>
        <w:t xml:space="preserve"> 2016</w:t>
      </w:r>
      <w:r w:rsidR="00194D59" w:rsidRPr="00105FFC">
        <w:rPr>
          <w:rFonts w:asciiTheme="minorHAnsi" w:eastAsiaTheme="minorHAnsi" w:hAnsiTheme="minorHAnsi" w:cstheme="minorBidi"/>
          <w:b w:val="0"/>
          <w:color w:val="auto"/>
          <w:sz w:val="20"/>
          <w:szCs w:val="20"/>
        </w:rPr>
        <w:t>, by County</w:t>
      </w:r>
      <w:bookmarkEnd w:id="41"/>
      <w:bookmarkEnd w:id="42"/>
      <w:bookmarkEnd w:id="43"/>
      <w:bookmarkEnd w:id="44"/>
    </w:p>
    <w:p w14:paraId="705549B8" w14:textId="77777777" w:rsidR="00206F94" w:rsidRPr="00105FFC" w:rsidRDefault="00206F94" w:rsidP="00B25D7D">
      <w:pPr>
        <w:spacing w:line="276" w:lineRule="auto"/>
        <w:rPr>
          <w:rFonts w:asciiTheme="minorHAnsi" w:eastAsiaTheme="minorHAnsi" w:hAnsiTheme="minorHAnsi" w:cstheme="minorBidi"/>
        </w:rPr>
      </w:pPr>
      <w:r w:rsidRPr="00105FFC">
        <w:rPr>
          <w:rFonts w:asciiTheme="minorHAnsi" w:hAnsiTheme="minorHAnsi"/>
          <w:noProof/>
        </w:rPr>
        <w:drawing>
          <wp:inline distT="0" distB="0" distL="0" distR="0" wp14:anchorId="73AD37AA" wp14:editId="573D6214">
            <wp:extent cx="5943600" cy="2468880"/>
            <wp:effectExtent l="0" t="0" r="0" b="7620"/>
            <wp:docPr id="13" name="Chart 13" descr="Los Angeles 39,316&#10;San Diego 14,874&#10;San Bernardino 13,028&#10;Riverside 13,453&#10;San Mateo 9,396&#10;Orange 18,439&#10;Santa Clara 11,308&#10;" title="Distribution of Cal MediConnect Participation in June 2016, by Coun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05FFC">
        <w:rPr>
          <w:rFonts w:asciiTheme="minorHAnsi" w:eastAsiaTheme="minorHAnsi" w:hAnsiTheme="minorHAnsi" w:cstheme="minorBidi"/>
          <w:b/>
          <w:sz w:val="16"/>
          <w:szCs w:val="16"/>
        </w:rPr>
        <w:t xml:space="preserve">Source: </w:t>
      </w:r>
      <w:hyperlink r:id="rId17" w:history="1">
        <w:r w:rsidR="008F6A00" w:rsidRPr="00105FFC">
          <w:rPr>
            <w:rStyle w:val="Hyperlink"/>
            <w:rFonts w:asciiTheme="minorHAnsi" w:eastAsiaTheme="minorHAnsi" w:hAnsiTheme="minorHAnsi" w:cstheme="minorBidi"/>
            <w:sz w:val="16"/>
            <w:szCs w:val="16"/>
          </w:rPr>
          <w:t>http://www.calduals.org/wp-content/uploads/2016/07/CMC-Enrollment-Dashboard-June-Final.pdf</w:t>
        </w:r>
      </w:hyperlink>
    </w:p>
    <w:p w14:paraId="12FA1128" w14:textId="77777777" w:rsidR="00B25D7D" w:rsidRPr="00105FFC" w:rsidRDefault="00B25D7D" w:rsidP="00B25D7D">
      <w:pPr>
        <w:pStyle w:val="Heading3"/>
        <w:spacing w:before="0" w:line="276" w:lineRule="auto"/>
        <w:rPr>
          <w:color w:val="auto"/>
          <w:sz w:val="24"/>
        </w:rPr>
      </w:pPr>
    </w:p>
    <w:p w14:paraId="1E70E202" w14:textId="77777777" w:rsidR="00206F94" w:rsidRPr="00105FFC" w:rsidRDefault="00206F94" w:rsidP="002D04DA">
      <w:pPr>
        <w:pStyle w:val="Heading3"/>
        <w:spacing w:before="0" w:after="120" w:line="276" w:lineRule="auto"/>
        <w:rPr>
          <w:color w:val="auto"/>
        </w:rPr>
      </w:pPr>
      <w:bookmarkStart w:id="45" w:name="_Toc459287710"/>
      <w:r w:rsidRPr="00105FFC">
        <w:rPr>
          <w:color w:val="auto"/>
        </w:rPr>
        <w:t>Population Expansions</w:t>
      </w:r>
      <w:bookmarkEnd w:id="45"/>
    </w:p>
    <w:p w14:paraId="6B9B1C39" w14:textId="77777777" w:rsidR="00616035" w:rsidRPr="00105FFC" w:rsidRDefault="00206F94"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The establishment of Medi-Cal managed care in all 58 counties set the stage so that nearly all new </w:t>
      </w:r>
      <w:r w:rsidR="00CF3B52" w:rsidRPr="00105FFC">
        <w:rPr>
          <w:rFonts w:asciiTheme="minorHAnsi" w:eastAsiaTheme="minorHAnsi" w:hAnsiTheme="minorHAnsi" w:cstheme="minorBidi"/>
        </w:rPr>
        <w:t>enrollments</w:t>
      </w:r>
      <w:r w:rsidR="00603D47" w:rsidRPr="00105FFC">
        <w:rPr>
          <w:rFonts w:asciiTheme="minorHAnsi" w:eastAsiaTheme="minorHAnsi" w:hAnsiTheme="minorHAnsi" w:cstheme="minorBidi"/>
        </w:rPr>
        <w:t xml:space="preserve"> are</w:t>
      </w:r>
      <w:r w:rsidRPr="00105FFC">
        <w:rPr>
          <w:rFonts w:asciiTheme="minorHAnsi" w:eastAsiaTheme="minorHAnsi" w:hAnsiTheme="minorHAnsi" w:cstheme="minorBidi"/>
        </w:rPr>
        <w:t xml:space="preserve"> directed into the managed care delivery system.  Beginning in 2013, Medi-Cal experienced increases in enrollment far greater than the program had seen throughout its entire history. The tremendous growth was fueled by the transition of nearly one million children from the state’s Healthy Families Program</w:t>
      </w:r>
      <w:r w:rsidR="00603D47" w:rsidRPr="00105FFC">
        <w:rPr>
          <w:rFonts w:asciiTheme="minorHAnsi" w:eastAsiaTheme="minorHAnsi" w:hAnsiTheme="minorHAnsi" w:cstheme="minorBidi"/>
        </w:rPr>
        <w:t xml:space="preserve"> (HFP)</w:t>
      </w:r>
      <w:r w:rsidRPr="00105FFC">
        <w:rPr>
          <w:rFonts w:asciiTheme="minorHAnsi" w:eastAsiaTheme="minorHAnsi" w:hAnsiTheme="minorHAnsi" w:cstheme="minorBidi"/>
        </w:rPr>
        <w:t xml:space="preserve"> into Medi-Cal, and later in 2014 by the addition of over 2.5 million optional ACA low-income adul</w:t>
      </w:r>
      <w:r w:rsidR="00603D47" w:rsidRPr="00105FFC">
        <w:rPr>
          <w:rFonts w:asciiTheme="minorHAnsi" w:eastAsiaTheme="minorHAnsi" w:hAnsiTheme="minorHAnsi" w:cstheme="minorBidi"/>
        </w:rPr>
        <w:t xml:space="preserve">ts. </w:t>
      </w:r>
      <w:r w:rsidRPr="00105FFC">
        <w:rPr>
          <w:rFonts w:asciiTheme="minorHAnsi" w:eastAsiaTheme="minorHAnsi" w:hAnsiTheme="minorHAnsi" w:cstheme="minorBidi"/>
        </w:rPr>
        <w:t xml:space="preserve">The massive enrollment surge, directed predominantly to the statewide managed care system, further accelerated the divergence between the number of beneficiaries served by </w:t>
      </w:r>
      <w:r w:rsidR="00DE5E3B" w:rsidRPr="00105FFC">
        <w:rPr>
          <w:rFonts w:asciiTheme="minorHAnsi" w:eastAsiaTheme="minorHAnsi" w:hAnsiTheme="minorHAnsi" w:cstheme="minorBidi"/>
        </w:rPr>
        <w:t xml:space="preserve">FFS and those </w:t>
      </w:r>
      <w:r w:rsidR="00603D47" w:rsidRPr="00105FFC">
        <w:rPr>
          <w:rFonts w:asciiTheme="minorHAnsi" w:eastAsiaTheme="minorHAnsi" w:hAnsiTheme="minorHAnsi" w:cstheme="minorBidi"/>
        </w:rPr>
        <w:t xml:space="preserve">served </w:t>
      </w:r>
      <w:r w:rsidR="00DE5E3B" w:rsidRPr="00105FFC">
        <w:rPr>
          <w:rFonts w:asciiTheme="minorHAnsi" w:eastAsiaTheme="minorHAnsi" w:hAnsiTheme="minorHAnsi" w:cstheme="minorBidi"/>
        </w:rPr>
        <w:t xml:space="preserve">by managed care. </w:t>
      </w:r>
    </w:p>
    <w:p w14:paraId="3896AB12" w14:textId="77777777" w:rsidR="00616035" w:rsidRPr="00105FFC" w:rsidRDefault="00616035" w:rsidP="00B25D7D">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Between January 2013 and </w:t>
      </w:r>
      <w:r w:rsidR="00603D47" w:rsidRPr="00105FFC">
        <w:rPr>
          <w:rFonts w:asciiTheme="minorHAnsi" w:eastAsiaTheme="minorHAnsi" w:hAnsiTheme="minorHAnsi" w:cstheme="minorBidi"/>
        </w:rPr>
        <w:t xml:space="preserve">January </w:t>
      </w:r>
      <w:r w:rsidRPr="00105FFC">
        <w:rPr>
          <w:rFonts w:asciiTheme="minorHAnsi" w:eastAsiaTheme="minorHAnsi" w:hAnsiTheme="minorHAnsi" w:cstheme="minorBidi"/>
        </w:rPr>
        <w:t>2016, managed care enrollment inc</w:t>
      </w:r>
      <w:r w:rsidR="00603D47" w:rsidRPr="00105FFC">
        <w:rPr>
          <w:rFonts w:asciiTheme="minorHAnsi" w:eastAsiaTheme="minorHAnsi" w:hAnsiTheme="minorHAnsi" w:cstheme="minorBidi"/>
        </w:rPr>
        <w:t>reased by 105%, from just over five</w:t>
      </w:r>
      <w:r w:rsidRPr="00105FFC">
        <w:rPr>
          <w:rFonts w:asciiTheme="minorHAnsi" w:eastAsiaTheme="minorHAnsi" w:hAnsiTheme="minorHAnsi" w:cstheme="minorBidi"/>
        </w:rPr>
        <w:t xml:space="preserve"> million beneficiaries t</w:t>
      </w:r>
      <w:r w:rsidR="009025A1" w:rsidRPr="00105FFC">
        <w:rPr>
          <w:rFonts w:asciiTheme="minorHAnsi" w:eastAsiaTheme="minorHAnsi" w:hAnsiTheme="minorHAnsi" w:cstheme="minorBidi"/>
        </w:rPr>
        <w:t>o well over 10</w:t>
      </w:r>
      <w:r w:rsidRPr="00105FFC">
        <w:rPr>
          <w:rFonts w:asciiTheme="minorHAnsi" w:eastAsiaTheme="minorHAnsi" w:hAnsiTheme="minorHAnsi" w:cstheme="minorBidi"/>
        </w:rPr>
        <w:t xml:space="preserve"> million.  Yet over that same </w:t>
      </w:r>
      <w:r w:rsidR="009025A1" w:rsidRPr="00105FFC">
        <w:rPr>
          <w:rFonts w:asciiTheme="minorHAnsi" w:eastAsiaTheme="minorHAnsi" w:hAnsiTheme="minorHAnsi" w:cstheme="minorBidi"/>
        </w:rPr>
        <w:t xml:space="preserve">time </w:t>
      </w:r>
      <w:r w:rsidRPr="00105FFC">
        <w:rPr>
          <w:rFonts w:asciiTheme="minorHAnsi" w:eastAsiaTheme="minorHAnsi" w:hAnsiTheme="minorHAnsi" w:cstheme="minorBidi"/>
        </w:rPr>
        <w:t xml:space="preserve">period the FFS delivery system saw only 13% growth, increasing </w:t>
      </w:r>
      <w:r w:rsidR="009025A1" w:rsidRPr="00105FFC">
        <w:rPr>
          <w:rFonts w:asciiTheme="minorHAnsi" w:eastAsiaTheme="minorHAnsi" w:hAnsiTheme="minorHAnsi" w:cstheme="minorBidi"/>
        </w:rPr>
        <w:t>from approximately 2.8 million beneficiaries</w:t>
      </w:r>
      <w:r w:rsidRPr="00105FFC">
        <w:rPr>
          <w:rFonts w:asciiTheme="minorHAnsi" w:eastAsiaTheme="minorHAnsi" w:hAnsiTheme="minorHAnsi" w:cstheme="minorBidi"/>
        </w:rPr>
        <w:t xml:space="preserve"> to just over 3.1 million (Figure 5).</w:t>
      </w:r>
    </w:p>
    <w:p w14:paraId="072DAED4" w14:textId="77777777" w:rsidR="00B25D7D" w:rsidRPr="00105FFC" w:rsidRDefault="00B25D7D" w:rsidP="00B25D7D">
      <w:pPr>
        <w:spacing w:line="276" w:lineRule="auto"/>
        <w:rPr>
          <w:rFonts w:asciiTheme="minorHAnsi" w:eastAsiaTheme="minorHAnsi" w:hAnsiTheme="minorHAnsi" w:cstheme="minorBidi"/>
        </w:rPr>
      </w:pPr>
    </w:p>
    <w:p w14:paraId="7E98B3F5" w14:textId="77777777" w:rsidR="00206F94" w:rsidRPr="00105FFC" w:rsidRDefault="00616035" w:rsidP="00B25D7D">
      <w:pPr>
        <w:pStyle w:val="Caption"/>
        <w:spacing w:after="0"/>
        <w:rPr>
          <w:rFonts w:asciiTheme="minorHAnsi" w:eastAsiaTheme="minorHAnsi" w:hAnsiTheme="minorHAnsi" w:cstheme="minorBidi"/>
          <w:color w:val="auto"/>
          <w:sz w:val="20"/>
          <w:szCs w:val="20"/>
        </w:rPr>
      </w:pPr>
      <w:bookmarkStart w:id="46" w:name="_Toc458782943"/>
      <w:bookmarkStart w:id="47" w:name="_Toc459285054"/>
      <w:bookmarkStart w:id="48" w:name="_Toc459285245"/>
      <w:bookmarkStart w:id="49" w:name="_Toc459286686"/>
      <w:r w:rsidRPr="00105FFC">
        <w:rPr>
          <w:rFonts w:asciiTheme="minorHAnsi" w:hAnsiTheme="minorHAnsi"/>
          <w:color w:val="auto"/>
          <w:sz w:val="20"/>
          <w:szCs w:val="20"/>
        </w:rPr>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5</w:t>
      </w:r>
      <w:r w:rsidRPr="00105FFC">
        <w:rPr>
          <w:rFonts w:asciiTheme="minorHAnsi" w:hAnsiTheme="minorHAnsi"/>
          <w:color w:val="auto"/>
          <w:sz w:val="20"/>
          <w:szCs w:val="20"/>
        </w:rPr>
        <w:fldChar w:fldCharType="end"/>
      </w:r>
      <w:r w:rsidRPr="00105FFC">
        <w:rPr>
          <w:rFonts w:asciiTheme="minorHAnsi" w:hAnsiTheme="minorHAnsi"/>
          <w:color w:val="auto"/>
          <w:sz w:val="20"/>
          <w:szCs w:val="20"/>
        </w:rPr>
        <w:t>:</w:t>
      </w:r>
      <w:r w:rsidR="00206F94" w:rsidRPr="00105FFC">
        <w:rPr>
          <w:rFonts w:asciiTheme="minorHAnsi" w:eastAsiaTheme="minorHAnsi" w:hAnsiTheme="minorHAnsi" w:cstheme="minorBidi"/>
          <w:b w:val="0"/>
          <w:color w:val="auto"/>
          <w:sz w:val="20"/>
          <w:szCs w:val="20"/>
        </w:rPr>
        <w:t xml:space="preserve"> </w:t>
      </w:r>
      <w:r w:rsidR="009025A1" w:rsidRPr="00105FFC">
        <w:rPr>
          <w:rFonts w:asciiTheme="minorHAnsi" w:eastAsiaTheme="minorHAnsi" w:hAnsiTheme="minorHAnsi" w:cstheme="minorBidi"/>
          <w:b w:val="0"/>
          <w:color w:val="auto"/>
          <w:sz w:val="20"/>
          <w:szCs w:val="20"/>
        </w:rPr>
        <w:t>Distribution of Medi-Cal Participation in</w:t>
      </w:r>
      <w:r w:rsidR="00206F94" w:rsidRPr="00105FFC">
        <w:rPr>
          <w:rFonts w:asciiTheme="minorHAnsi" w:eastAsiaTheme="minorHAnsi" w:hAnsiTheme="minorHAnsi" w:cstheme="minorBidi"/>
          <w:b w:val="0"/>
          <w:color w:val="auto"/>
          <w:sz w:val="20"/>
          <w:szCs w:val="20"/>
        </w:rPr>
        <w:t xml:space="preserve"> January </w:t>
      </w:r>
      <w:r w:rsidR="009025A1" w:rsidRPr="00105FFC">
        <w:rPr>
          <w:rFonts w:asciiTheme="minorHAnsi" w:eastAsiaTheme="minorHAnsi" w:hAnsiTheme="minorHAnsi" w:cstheme="minorBidi"/>
          <w:b w:val="0"/>
          <w:color w:val="auto"/>
          <w:sz w:val="20"/>
          <w:szCs w:val="20"/>
        </w:rPr>
        <w:t>2013 and</w:t>
      </w:r>
      <w:r w:rsidR="00206F94" w:rsidRPr="00105FFC">
        <w:rPr>
          <w:rFonts w:asciiTheme="minorHAnsi" w:eastAsiaTheme="minorHAnsi" w:hAnsiTheme="minorHAnsi" w:cstheme="minorBidi"/>
          <w:b w:val="0"/>
          <w:color w:val="auto"/>
          <w:sz w:val="20"/>
          <w:szCs w:val="20"/>
        </w:rPr>
        <w:t xml:space="preserve"> January 2016</w:t>
      </w:r>
      <w:r w:rsidR="009025A1" w:rsidRPr="00105FFC">
        <w:rPr>
          <w:rFonts w:asciiTheme="minorHAnsi" w:eastAsiaTheme="minorHAnsi" w:hAnsiTheme="minorHAnsi" w:cstheme="minorBidi"/>
          <w:b w:val="0"/>
          <w:color w:val="auto"/>
          <w:sz w:val="20"/>
          <w:szCs w:val="20"/>
        </w:rPr>
        <w:t>, by Delivery System</w:t>
      </w:r>
      <w:bookmarkEnd w:id="46"/>
      <w:bookmarkEnd w:id="47"/>
      <w:bookmarkEnd w:id="48"/>
      <w:bookmarkEnd w:id="49"/>
    </w:p>
    <w:p w14:paraId="433CC001" w14:textId="77777777" w:rsidR="00616035" w:rsidRPr="00105FFC" w:rsidRDefault="00206F94" w:rsidP="00B25D7D">
      <w:pPr>
        <w:rPr>
          <w:rFonts w:asciiTheme="minorHAnsi" w:eastAsiaTheme="minorHAnsi" w:hAnsiTheme="minorHAnsi" w:cstheme="minorBidi"/>
          <w:sz w:val="16"/>
          <w:szCs w:val="16"/>
        </w:rPr>
      </w:pPr>
      <w:r w:rsidRPr="00105FFC">
        <w:rPr>
          <w:rFonts w:asciiTheme="minorHAnsi" w:hAnsiTheme="minorHAnsi"/>
          <w:noProof/>
        </w:rPr>
        <w:drawing>
          <wp:inline distT="0" distB="0" distL="0" distR="0" wp14:anchorId="68E873B4" wp14:editId="38ABA372">
            <wp:extent cx="5943600" cy="2468880"/>
            <wp:effectExtent l="0" t="0" r="0" b="7620"/>
            <wp:docPr id="16" name="Chart 16" descr="Managed Care: January 2013 5,063,693; January 2016 10,377,148&#10;Fee-for-Service: January 2013 2,801,272; January 2016 3,160,871&#10;" title="Distribution of Medi-Cal Participation in January 2013 and January 2016, by Delivery Syst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16035" w:rsidRPr="00105FFC">
        <w:rPr>
          <w:rFonts w:asciiTheme="minorHAnsi" w:hAnsiTheme="minorHAnsi" w:cs="Tahoma"/>
          <w:b/>
          <w:sz w:val="16"/>
          <w:szCs w:val="16"/>
        </w:rPr>
        <w:t>Source:</w:t>
      </w:r>
      <w:r w:rsidR="00616035" w:rsidRPr="00105FFC">
        <w:rPr>
          <w:rFonts w:asciiTheme="minorHAnsi" w:hAnsiTheme="minorHAnsi" w:cs="Tahoma"/>
          <w:sz w:val="16"/>
          <w:szCs w:val="16"/>
        </w:rPr>
        <w:t xml:space="preserve"> Created by DHCS Research and Analytic Studies Division </w:t>
      </w:r>
      <w:r w:rsidR="00616035" w:rsidRPr="00105FFC">
        <w:rPr>
          <w:rFonts w:asciiTheme="minorHAnsi" w:eastAsia="Calibri" w:hAnsiTheme="minorHAnsi" w:cs="Tahoma"/>
          <w:sz w:val="16"/>
          <w:szCs w:val="16"/>
        </w:rPr>
        <w:t>using data from the Management Information System/Decision Support System’s (MIS/DSS) eligibility tables. Data were extracted from MIS/DSS four months after corresponding time period to allow for updates to enrollment.</w:t>
      </w:r>
    </w:p>
    <w:p w14:paraId="0C9EC5E6" w14:textId="77777777" w:rsidR="00B25D7D" w:rsidRPr="00105FFC" w:rsidRDefault="00B25D7D" w:rsidP="00B25D7D">
      <w:pPr>
        <w:pStyle w:val="Heading4"/>
        <w:spacing w:before="0" w:line="276" w:lineRule="auto"/>
        <w:rPr>
          <w:rFonts w:eastAsiaTheme="minorHAnsi"/>
          <w:color w:val="auto"/>
        </w:rPr>
      </w:pPr>
    </w:p>
    <w:p w14:paraId="421AD2BC" w14:textId="77777777" w:rsidR="00206F94" w:rsidRPr="00105FFC" w:rsidRDefault="00206F94" w:rsidP="00DE5E3B">
      <w:pPr>
        <w:pStyle w:val="Heading4"/>
        <w:spacing w:before="0" w:after="120" w:line="276" w:lineRule="auto"/>
        <w:rPr>
          <w:rFonts w:eastAsiaTheme="minorHAnsi"/>
          <w:color w:val="auto"/>
        </w:rPr>
      </w:pPr>
      <w:r w:rsidRPr="00105FFC">
        <w:rPr>
          <w:rFonts w:eastAsiaTheme="minorHAnsi"/>
          <w:color w:val="auto"/>
        </w:rPr>
        <w:t>Healthy Families Program Transition</w:t>
      </w:r>
    </w:p>
    <w:p w14:paraId="1A134965" w14:textId="77777777" w:rsidR="0054066A" w:rsidRPr="00105FFC" w:rsidRDefault="004874B8"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HFP</w:t>
      </w:r>
      <w:r w:rsidR="00206F94" w:rsidRPr="00105FFC">
        <w:rPr>
          <w:rFonts w:asciiTheme="minorHAnsi" w:eastAsiaTheme="minorHAnsi" w:hAnsiTheme="minorHAnsi" w:cstheme="minorBidi"/>
        </w:rPr>
        <w:t xml:space="preserve"> was California’s version of S-CHIP, the federal health insurance program for children in low-income families.  The program became operative in California in 1998 for the purpose of providing low-cost health insurance to children under the age of 19 in families with household incomes too high to qualify for Medi</w:t>
      </w:r>
      <w:r w:rsidRPr="00105FFC">
        <w:rPr>
          <w:rFonts w:asciiTheme="minorHAnsi" w:eastAsiaTheme="minorHAnsi" w:hAnsiTheme="minorHAnsi" w:cstheme="minorBidi"/>
        </w:rPr>
        <w:t>-Cal</w:t>
      </w:r>
      <w:r w:rsidR="00206F94" w:rsidRPr="00105FFC">
        <w:rPr>
          <w:rFonts w:asciiTheme="minorHAnsi" w:eastAsiaTheme="minorHAnsi" w:hAnsiTheme="minorHAnsi" w:cstheme="minorBidi"/>
        </w:rPr>
        <w:t xml:space="preserve"> (up to 250% </w:t>
      </w:r>
      <w:r w:rsidRPr="00105FFC">
        <w:rPr>
          <w:rFonts w:asciiTheme="minorHAnsi" w:eastAsiaTheme="minorHAnsi" w:hAnsiTheme="minorHAnsi" w:cstheme="minorBidi"/>
        </w:rPr>
        <w:t>FPL</w:t>
      </w:r>
      <w:r w:rsidR="00206F94" w:rsidRPr="00105FFC">
        <w:rPr>
          <w:rFonts w:asciiTheme="minorHAnsi" w:eastAsiaTheme="minorHAnsi" w:hAnsiTheme="minorHAnsi" w:cstheme="minorBidi"/>
        </w:rPr>
        <w:t>)</w:t>
      </w:r>
      <w:r w:rsidRPr="00105FFC">
        <w:rPr>
          <w:rFonts w:asciiTheme="minorHAnsi" w:eastAsiaTheme="minorHAnsi" w:hAnsiTheme="minorHAnsi" w:cstheme="minorBidi"/>
        </w:rPr>
        <w:t>.</w:t>
      </w:r>
      <w:r w:rsidR="002F7077" w:rsidRPr="00105FFC">
        <w:rPr>
          <w:rStyle w:val="EndnoteReference"/>
          <w:rFonts w:asciiTheme="minorHAnsi" w:eastAsiaTheme="minorHAnsi" w:hAnsiTheme="minorHAnsi" w:cstheme="minorBidi"/>
        </w:rPr>
        <w:endnoteReference w:id="17"/>
      </w:r>
      <w:r w:rsidRPr="00105FFC">
        <w:rPr>
          <w:rFonts w:asciiTheme="minorHAnsi" w:eastAsiaTheme="minorHAnsi" w:hAnsiTheme="minorHAnsi" w:cstheme="minorBidi"/>
        </w:rPr>
        <w:t xml:space="preserve">  The 2012-</w:t>
      </w:r>
      <w:r w:rsidR="00206F94" w:rsidRPr="00105FFC">
        <w:rPr>
          <w:rFonts w:asciiTheme="minorHAnsi" w:eastAsiaTheme="minorHAnsi" w:hAnsiTheme="minorHAnsi" w:cstheme="minorBidi"/>
        </w:rPr>
        <w:t>1</w:t>
      </w:r>
      <w:r w:rsidRPr="00105FFC">
        <w:rPr>
          <w:rFonts w:asciiTheme="minorHAnsi" w:eastAsiaTheme="minorHAnsi" w:hAnsiTheme="minorHAnsi" w:cstheme="minorBidi"/>
        </w:rPr>
        <w:t>3 California b</w:t>
      </w:r>
      <w:r w:rsidR="00206F94" w:rsidRPr="00105FFC">
        <w:rPr>
          <w:rFonts w:asciiTheme="minorHAnsi" w:eastAsiaTheme="minorHAnsi" w:hAnsiTheme="minorHAnsi" w:cstheme="minorBidi"/>
        </w:rPr>
        <w:t xml:space="preserve">udget </w:t>
      </w:r>
      <w:r w:rsidRPr="00105FFC">
        <w:rPr>
          <w:rFonts w:asciiTheme="minorHAnsi" w:eastAsiaTheme="minorHAnsi" w:hAnsiTheme="minorHAnsi" w:cstheme="minorBidi"/>
        </w:rPr>
        <w:t>eliminated the HFP and required that</w:t>
      </w:r>
      <w:r w:rsidR="006C3EA4" w:rsidRPr="00105FFC">
        <w:rPr>
          <w:rFonts w:asciiTheme="minorHAnsi" w:eastAsiaTheme="minorHAnsi" w:hAnsiTheme="minorHAnsi" w:cstheme="minorBidi"/>
        </w:rPr>
        <w:t xml:space="preserve"> all HFP children </w:t>
      </w:r>
      <w:r w:rsidR="00206F94" w:rsidRPr="00105FFC">
        <w:rPr>
          <w:rFonts w:asciiTheme="minorHAnsi" w:eastAsiaTheme="minorHAnsi" w:hAnsiTheme="minorHAnsi" w:cstheme="minorBidi"/>
        </w:rPr>
        <w:t>be transitioned into Medi-Cal. Legislation mandated that children in the HFP transition into Medi-Cal in multiple phases throughout 2013</w:t>
      </w:r>
      <w:r w:rsidR="0054066A" w:rsidRPr="00105FFC">
        <w:rPr>
          <w:rFonts w:asciiTheme="minorHAnsi" w:eastAsiaTheme="minorHAnsi" w:hAnsiTheme="minorHAnsi" w:cstheme="minorBidi"/>
        </w:rPr>
        <w:t xml:space="preserve"> (Figure 6</w:t>
      </w:r>
      <w:r w:rsidR="00DE5E3B" w:rsidRPr="00105FFC">
        <w:rPr>
          <w:rFonts w:asciiTheme="minorHAnsi" w:eastAsiaTheme="minorHAnsi" w:hAnsiTheme="minorHAnsi" w:cstheme="minorBidi"/>
        </w:rPr>
        <w:t xml:space="preserve">). </w:t>
      </w:r>
    </w:p>
    <w:p w14:paraId="45841532" w14:textId="77777777" w:rsidR="0054066A" w:rsidRPr="00105FFC" w:rsidRDefault="0054066A" w:rsidP="00B25D7D">
      <w:pPr>
        <w:spacing w:line="276" w:lineRule="auto"/>
        <w:rPr>
          <w:rFonts w:asciiTheme="minorHAnsi" w:eastAsiaTheme="minorHAnsi" w:hAnsiTheme="minorHAnsi" w:cstheme="minorBidi"/>
        </w:rPr>
      </w:pPr>
      <w:r w:rsidRPr="00105FFC">
        <w:rPr>
          <w:rFonts w:asciiTheme="minorHAnsi" w:eastAsiaTheme="minorHAnsi" w:hAnsiTheme="minorHAnsi" w:cstheme="minorBidi"/>
        </w:rPr>
        <w:t>DHCS designed the overall trans</w:t>
      </w:r>
      <w:r w:rsidR="004874B8" w:rsidRPr="00105FFC">
        <w:rPr>
          <w:rFonts w:asciiTheme="minorHAnsi" w:eastAsiaTheme="minorHAnsi" w:hAnsiTheme="minorHAnsi" w:cstheme="minorBidi"/>
        </w:rPr>
        <w:t>ition so that most HFP beneficiaries</w:t>
      </w:r>
      <w:r w:rsidRPr="00105FFC">
        <w:rPr>
          <w:rFonts w:asciiTheme="minorHAnsi" w:eastAsiaTheme="minorHAnsi" w:hAnsiTheme="minorHAnsi" w:cstheme="minorBidi"/>
        </w:rPr>
        <w:t xml:space="preserve"> were enrolled into a managed care plan in which their existing HFP primary care provider was also a Medi-Cal provider in the plan’s network. On January 1, 2013, DHCS began the first phase in 2013 to transition approximately 750,000 chil</w:t>
      </w:r>
      <w:r w:rsidR="004874B8" w:rsidRPr="00105FFC">
        <w:rPr>
          <w:rFonts w:asciiTheme="minorHAnsi" w:eastAsiaTheme="minorHAnsi" w:hAnsiTheme="minorHAnsi" w:cstheme="minorBidi"/>
        </w:rPr>
        <w:t xml:space="preserve">dren from the HFP into Medi-Cal – </w:t>
      </w:r>
      <w:r w:rsidRPr="00105FFC">
        <w:rPr>
          <w:rFonts w:asciiTheme="minorHAnsi" w:eastAsiaTheme="minorHAnsi" w:hAnsiTheme="minorHAnsi" w:cstheme="minorBidi"/>
        </w:rPr>
        <w:t xml:space="preserve">dependent on the beneficiaries’ county of residence and health care plan (Figure 6). While the transition was successful in maintaining </w:t>
      </w:r>
      <w:r w:rsidR="0037334C" w:rsidRPr="00105FFC">
        <w:rPr>
          <w:rFonts w:asciiTheme="minorHAnsi" w:eastAsiaTheme="minorHAnsi" w:hAnsiTheme="minorHAnsi" w:cstheme="minorBidi"/>
        </w:rPr>
        <w:t>continued enrollment through a managed care plan</w:t>
      </w:r>
      <w:r w:rsidRPr="00105FFC">
        <w:rPr>
          <w:rFonts w:asciiTheme="minorHAnsi" w:eastAsiaTheme="minorHAnsi" w:hAnsiTheme="minorHAnsi" w:cstheme="minorBidi"/>
        </w:rPr>
        <w:t xml:space="preserve"> for most children, some were temporarily enrolled in FFS for a multitude of reasons. Participation rates for these children </w:t>
      </w:r>
      <w:r w:rsidR="004874B8" w:rsidRPr="00105FFC">
        <w:rPr>
          <w:rFonts w:asciiTheme="minorHAnsi" w:eastAsiaTheme="minorHAnsi" w:hAnsiTheme="minorHAnsi" w:cstheme="minorBidi"/>
        </w:rPr>
        <w:t>in FFS declined as they were re-</w:t>
      </w:r>
      <w:r w:rsidRPr="00105FFC">
        <w:rPr>
          <w:rFonts w:asciiTheme="minorHAnsi" w:eastAsiaTheme="minorHAnsi" w:hAnsiTheme="minorHAnsi" w:cstheme="minorBidi"/>
        </w:rPr>
        <w:t>determined into aid codes that required enrollment in a Medi-Cal managed</w:t>
      </w:r>
      <w:r w:rsidR="00DE5E3B" w:rsidRPr="00105FFC">
        <w:rPr>
          <w:rFonts w:asciiTheme="minorHAnsi" w:eastAsiaTheme="minorHAnsi" w:hAnsiTheme="minorHAnsi" w:cstheme="minorBidi"/>
        </w:rPr>
        <w:t xml:space="preserve"> care plan. </w:t>
      </w:r>
    </w:p>
    <w:p w14:paraId="772DF21B" w14:textId="77777777" w:rsidR="00B25D7D" w:rsidRPr="00105FFC" w:rsidRDefault="00B25D7D" w:rsidP="00B25D7D">
      <w:pPr>
        <w:spacing w:line="276" w:lineRule="auto"/>
        <w:rPr>
          <w:rFonts w:asciiTheme="minorHAnsi" w:eastAsiaTheme="minorHAnsi" w:hAnsiTheme="minorHAnsi" w:cstheme="minorBidi"/>
        </w:rPr>
      </w:pPr>
    </w:p>
    <w:p w14:paraId="38ADF8EF" w14:textId="77777777" w:rsidR="00206F94" w:rsidRPr="00105FFC" w:rsidRDefault="0054066A" w:rsidP="00B25D7D">
      <w:pPr>
        <w:pStyle w:val="Caption"/>
        <w:spacing w:after="0" w:line="276" w:lineRule="auto"/>
        <w:rPr>
          <w:rFonts w:asciiTheme="minorHAnsi" w:hAnsiTheme="minorHAnsi"/>
          <w:b w:val="0"/>
          <w:color w:val="auto"/>
          <w:sz w:val="20"/>
          <w:szCs w:val="20"/>
        </w:rPr>
      </w:pPr>
      <w:bookmarkStart w:id="50" w:name="_Toc458782944"/>
      <w:bookmarkStart w:id="51" w:name="_Toc459285055"/>
      <w:bookmarkStart w:id="52" w:name="_Toc459285246"/>
      <w:bookmarkStart w:id="53" w:name="_Toc459286687"/>
      <w:r w:rsidRPr="00105FFC">
        <w:rPr>
          <w:rFonts w:asciiTheme="minorHAnsi" w:hAnsiTheme="minorHAnsi"/>
          <w:color w:val="auto"/>
          <w:sz w:val="20"/>
          <w:szCs w:val="20"/>
        </w:rPr>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6</w:t>
      </w:r>
      <w:r w:rsidRPr="00105FFC">
        <w:rPr>
          <w:rFonts w:asciiTheme="minorHAnsi" w:hAnsiTheme="minorHAnsi"/>
          <w:color w:val="auto"/>
          <w:sz w:val="20"/>
          <w:szCs w:val="20"/>
        </w:rPr>
        <w:fldChar w:fldCharType="end"/>
      </w:r>
      <w:r w:rsidRPr="00105FFC">
        <w:rPr>
          <w:rFonts w:asciiTheme="minorHAnsi" w:hAnsiTheme="minorHAnsi"/>
          <w:color w:val="auto"/>
          <w:sz w:val="20"/>
          <w:szCs w:val="20"/>
        </w:rPr>
        <w:t xml:space="preserve">: </w:t>
      </w:r>
      <w:r w:rsidR="00206F94" w:rsidRPr="00105FFC">
        <w:rPr>
          <w:rFonts w:asciiTheme="minorHAnsi" w:hAnsiTheme="minorHAnsi"/>
          <w:b w:val="0"/>
          <w:color w:val="auto"/>
          <w:sz w:val="20"/>
          <w:szCs w:val="20"/>
        </w:rPr>
        <w:t>Certified El</w:t>
      </w:r>
      <w:r w:rsidR="004874B8" w:rsidRPr="00105FFC">
        <w:rPr>
          <w:rFonts w:asciiTheme="minorHAnsi" w:hAnsiTheme="minorHAnsi"/>
          <w:b w:val="0"/>
          <w:color w:val="auto"/>
          <w:sz w:val="20"/>
          <w:szCs w:val="20"/>
        </w:rPr>
        <w:t xml:space="preserve">igible Medi-Cal Beneficiaries Enrolled in </w:t>
      </w:r>
      <w:r w:rsidR="002F7077" w:rsidRPr="00105FFC">
        <w:rPr>
          <w:rFonts w:asciiTheme="minorHAnsi" w:hAnsiTheme="minorHAnsi"/>
          <w:b w:val="0"/>
          <w:color w:val="auto"/>
          <w:sz w:val="20"/>
          <w:szCs w:val="20"/>
        </w:rPr>
        <w:t>Optional Target Low-Income Children Program (</w:t>
      </w:r>
      <w:r w:rsidR="004874B8" w:rsidRPr="00105FFC">
        <w:rPr>
          <w:rFonts w:asciiTheme="minorHAnsi" w:hAnsiTheme="minorHAnsi"/>
          <w:b w:val="0"/>
          <w:color w:val="auto"/>
          <w:sz w:val="20"/>
          <w:szCs w:val="20"/>
        </w:rPr>
        <w:t>OTLICP</w:t>
      </w:r>
      <w:r w:rsidR="002F7077" w:rsidRPr="00105FFC">
        <w:rPr>
          <w:rFonts w:asciiTheme="minorHAnsi" w:hAnsiTheme="minorHAnsi"/>
          <w:b w:val="0"/>
          <w:color w:val="auto"/>
          <w:sz w:val="20"/>
          <w:szCs w:val="20"/>
        </w:rPr>
        <w:t>)</w:t>
      </w:r>
      <w:r w:rsidR="004874B8" w:rsidRPr="00105FFC">
        <w:rPr>
          <w:rFonts w:asciiTheme="minorHAnsi" w:hAnsiTheme="minorHAnsi"/>
          <w:b w:val="0"/>
          <w:color w:val="auto"/>
          <w:sz w:val="20"/>
          <w:szCs w:val="20"/>
        </w:rPr>
        <w:t xml:space="preserve"> Aid Codes from</w:t>
      </w:r>
      <w:r w:rsidR="00206F94" w:rsidRPr="00105FFC">
        <w:rPr>
          <w:rFonts w:asciiTheme="minorHAnsi" w:hAnsiTheme="minorHAnsi"/>
          <w:b w:val="0"/>
          <w:color w:val="auto"/>
          <w:sz w:val="20"/>
          <w:szCs w:val="20"/>
        </w:rPr>
        <w:t xml:space="preserve"> December 2012 – December 2013</w:t>
      </w:r>
      <w:bookmarkEnd w:id="50"/>
      <w:bookmarkEnd w:id="51"/>
      <w:bookmarkEnd w:id="52"/>
      <w:bookmarkEnd w:id="53"/>
    </w:p>
    <w:p w14:paraId="0533BDDF" w14:textId="77777777" w:rsidR="0054066A" w:rsidRPr="00105FFC" w:rsidRDefault="0054066A" w:rsidP="00B25D7D">
      <w:pPr>
        <w:rPr>
          <w:rFonts w:asciiTheme="minorHAnsi" w:hAnsiTheme="minorHAnsi"/>
          <w:noProof/>
          <w:sz w:val="20"/>
          <w:szCs w:val="20"/>
        </w:rPr>
      </w:pPr>
      <w:r w:rsidRPr="00105FFC">
        <w:rPr>
          <w:rFonts w:asciiTheme="minorHAnsi" w:hAnsiTheme="minorHAnsi"/>
          <w:noProof/>
        </w:rPr>
        <w:lastRenderedPageBreak/>
        <mc:AlternateContent>
          <mc:Choice Requires="wps">
            <w:drawing>
              <wp:anchor distT="0" distB="0" distL="114300" distR="114300" simplePos="0" relativeHeight="251663360" behindDoc="0" locked="0" layoutInCell="1" allowOverlap="1" wp14:anchorId="2BAA2B33" wp14:editId="3A4814C0">
                <wp:simplePos x="0" y="0"/>
                <wp:positionH relativeFrom="column">
                  <wp:posOffset>5021580</wp:posOffset>
                </wp:positionH>
                <wp:positionV relativeFrom="paragraph">
                  <wp:posOffset>0</wp:posOffset>
                </wp:positionV>
                <wp:extent cx="436245" cy="556895"/>
                <wp:effectExtent l="0" t="0" r="0" b="0"/>
                <wp:wrapNone/>
                <wp:docPr id="42" name="Text Box 1"/>
                <wp:cNvGraphicFramePr/>
                <a:graphic xmlns:a="http://schemas.openxmlformats.org/drawingml/2006/main">
                  <a:graphicData uri="http://schemas.microsoft.com/office/word/2010/wordprocessingShape">
                    <wps:wsp>
                      <wps:cNvSpPr txBox="1"/>
                      <wps:spPr>
                        <a:xfrm>
                          <a:off x="0" y="0"/>
                          <a:ext cx="436245" cy="556895"/>
                        </a:xfrm>
                        <a:prstGeom prst="rect">
                          <a:avLst/>
                        </a:prstGeom>
                      </wps:spPr>
                      <wps:txbx>
                        <w:txbxContent>
                          <w:p w14:paraId="24F2C9E0" w14:textId="77777777" w:rsidR="0099767E" w:rsidRPr="00982CAE" w:rsidRDefault="0099767E" w:rsidP="00206F94">
                            <w:pPr>
                              <w:pStyle w:val="NormalWeb"/>
                              <w:spacing w:before="0" w:beforeAutospacing="0" w:after="0" w:afterAutospacing="0"/>
                              <w:jc w:val="right"/>
                              <w:rPr>
                                <w:sz w:val="20"/>
                              </w:rPr>
                            </w:pPr>
                            <w:r w:rsidRPr="00982CAE">
                              <w:rPr>
                                <w:rFonts w:asciiTheme="minorHAnsi" w:cstheme="minorBidi"/>
                                <w:sz w:val="16"/>
                                <w:szCs w:val="18"/>
                              </w:rPr>
                              <w:t>HFP Transition Phase: +</w:t>
                            </w:r>
                            <w:r>
                              <w:rPr>
                                <w:rFonts w:asciiTheme="minorHAnsi" w:cstheme="minorBidi"/>
                                <w:sz w:val="16"/>
                                <w:szCs w:val="18"/>
                              </w:rPr>
                              <w:t>25,087</w:t>
                            </w:r>
                          </w:p>
                        </w:txbxContent>
                      </wps:txbx>
                      <wps:bodyPr wrap="square" lIns="0" tIns="0" rIns="18288" bIns="0" rtlCol="0">
                        <a:noAutofit/>
                      </wps:bodyPr>
                    </wps:wsp>
                  </a:graphicData>
                </a:graphic>
                <wp14:sizeRelH relativeFrom="margin">
                  <wp14:pctWidth>0</wp14:pctWidth>
                </wp14:sizeRelH>
                <wp14:sizeRelV relativeFrom="margin">
                  <wp14:pctHeight>0</wp14:pctHeight>
                </wp14:sizeRelV>
              </wp:anchor>
            </w:drawing>
          </mc:Choice>
          <mc:Fallback>
            <w:pict>
              <v:shapetype w14:anchorId="2BAA2B33" id="_x0000_t202" coordsize="21600,21600" o:spt="202" path="m,l,21600r21600,l21600,xe">
                <v:stroke joinstyle="miter"/>
                <v:path gradientshapeok="t" o:connecttype="rect"/>
              </v:shapetype>
              <v:shape id="Text Box 1" o:spid="_x0000_s1026" type="#_x0000_t202" style="position:absolute;margin-left:395.4pt;margin-top:0;width:34.35pt;height:4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" filled="f" stroked="f">
                <v:textbox inset="0,0,1.44pt,0">
                  <w:txbxContent>
                    <w:p w14:paraId="24F2C9E0" w14:textId="77777777" w:rsidR="0099767E" w:rsidRPr="00982CAE" w:rsidRDefault="0099767E" w:rsidP="00206F94">
                      <w:pPr>
                        <w:pStyle w:val="NormalWeb"/>
                        <w:spacing w:before="0" w:beforeAutospacing="0" w:after="0" w:afterAutospacing="0"/>
                        <w:jc w:val="right"/>
                        <w:rPr>
                          <w:sz w:val="20"/>
                        </w:rPr>
                      </w:pPr>
                      <w:r w:rsidRPr="00982CAE">
                        <w:rPr>
                          <w:rFonts w:asciiTheme="minorHAnsi" w:cstheme="minorBidi"/>
                          <w:sz w:val="16"/>
                          <w:szCs w:val="18"/>
                        </w:rPr>
                        <w:t>HFP Transition Phase: +</w:t>
                      </w:r>
                      <w:r>
                        <w:rPr>
                          <w:rFonts w:asciiTheme="minorHAnsi" w:cstheme="minorBidi"/>
                          <w:sz w:val="16"/>
                          <w:szCs w:val="18"/>
                        </w:rPr>
                        <w:t>25,087</w:t>
                      </w:r>
                    </w:p>
                  </w:txbxContent>
                </v:textbox>
              </v:shape>
            </w:pict>
          </mc:Fallback>
        </mc:AlternateContent>
      </w:r>
      <w:r w:rsidRPr="00105FFC">
        <w:rPr>
          <w:rFonts w:asciiTheme="minorHAnsi" w:hAnsiTheme="minorHAnsi"/>
          <w:noProof/>
          <w:sz w:val="23"/>
          <w:szCs w:val="23"/>
        </w:rPr>
        <mc:AlternateContent>
          <mc:Choice Requires="wps">
            <w:drawing>
              <wp:anchor distT="0" distB="0" distL="114300" distR="114300" simplePos="0" relativeHeight="251656192" behindDoc="0" locked="0" layoutInCell="1" allowOverlap="1" wp14:anchorId="7A50DFB1" wp14:editId="0BA27041">
                <wp:simplePos x="0" y="0"/>
                <wp:positionH relativeFrom="column">
                  <wp:posOffset>4066540</wp:posOffset>
                </wp:positionH>
                <wp:positionV relativeFrom="paragraph">
                  <wp:posOffset>142875</wp:posOffset>
                </wp:positionV>
                <wp:extent cx="423545" cy="508635"/>
                <wp:effectExtent l="0" t="0" r="0" b="0"/>
                <wp:wrapNone/>
                <wp:docPr id="15" name="Text Box 1"/>
                <wp:cNvGraphicFramePr/>
                <a:graphic xmlns:a="http://schemas.openxmlformats.org/drawingml/2006/main">
                  <a:graphicData uri="http://schemas.microsoft.com/office/word/2010/wordprocessingShape">
                    <wps:wsp>
                      <wps:cNvSpPr txBox="1"/>
                      <wps:spPr>
                        <a:xfrm>
                          <a:off x="0" y="0"/>
                          <a:ext cx="423545" cy="508635"/>
                        </a:xfrm>
                        <a:prstGeom prst="rect">
                          <a:avLst/>
                        </a:prstGeom>
                      </wps:spPr>
                      <wps:txbx>
                        <w:txbxContent>
                          <w:p w14:paraId="799CCA29" w14:textId="77777777" w:rsidR="0099767E" w:rsidRPr="00982CAE" w:rsidRDefault="0099767E" w:rsidP="00206F94">
                            <w:pPr>
                              <w:pStyle w:val="NormalWeb"/>
                              <w:spacing w:before="0" w:beforeAutospacing="0" w:after="0" w:afterAutospacing="0"/>
                              <w:jc w:val="right"/>
                              <w:rPr>
                                <w:sz w:val="20"/>
                              </w:rPr>
                            </w:pPr>
                            <w:r w:rsidRPr="00982CAE">
                              <w:rPr>
                                <w:rFonts w:asciiTheme="minorHAnsi" w:cstheme="minorBidi"/>
                                <w:sz w:val="16"/>
                                <w:szCs w:val="18"/>
                              </w:rPr>
                              <w:t>HFP Transition Phase: +10</w:t>
                            </w:r>
                            <w:r>
                              <w:rPr>
                                <w:rFonts w:asciiTheme="minorHAnsi" w:cstheme="minorBidi"/>
                                <w:sz w:val="16"/>
                                <w:szCs w:val="18"/>
                              </w:rPr>
                              <w:t>4,915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50DFB1" id="_x0000_s1027" type="#_x0000_t202" style="position:absolute;margin-left:320.2pt;margin-top:11.25pt;width:33.35pt;height:4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" filled="f" stroked="f">
                <v:textbox inset="0,0,0,0">
                  <w:txbxContent>
                    <w:p w14:paraId="799CCA29" w14:textId="77777777" w:rsidR="0099767E" w:rsidRPr="00982CAE" w:rsidRDefault="0099767E" w:rsidP="00206F94">
                      <w:pPr>
                        <w:pStyle w:val="NormalWeb"/>
                        <w:spacing w:before="0" w:beforeAutospacing="0" w:after="0" w:afterAutospacing="0"/>
                        <w:jc w:val="right"/>
                        <w:rPr>
                          <w:sz w:val="20"/>
                        </w:rPr>
                      </w:pPr>
                      <w:r w:rsidRPr="00982CAE">
                        <w:rPr>
                          <w:rFonts w:asciiTheme="minorHAnsi" w:cstheme="minorBidi"/>
                          <w:sz w:val="16"/>
                          <w:szCs w:val="18"/>
                        </w:rPr>
                        <w:t>HFP Transition Phase: +10</w:t>
                      </w:r>
                      <w:r>
                        <w:rPr>
                          <w:rFonts w:asciiTheme="minorHAnsi" w:cstheme="minorBidi"/>
                          <w:sz w:val="16"/>
                          <w:szCs w:val="18"/>
                        </w:rPr>
                        <w:t>4,915</w:t>
                      </w:r>
                    </w:p>
                  </w:txbxContent>
                </v:textbox>
              </v:shape>
            </w:pict>
          </mc:Fallback>
        </mc:AlternateContent>
      </w:r>
      <w:r w:rsidRPr="00105FFC">
        <w:rPr>
          <w:rFonts w:asciiTheme="minorHAnsi" w:hAnsiTheme="minorHAnsi"/>
          <w:noProof/>
        </w:rPr>
        <mc:AlternateContent>
          <mc:Choice Requires="wps">
            <w:drawing>
              <wp:anchor distT="0" distB="0" distL="114300" distR="114300" simplePos="0" relativeHeight="251660288" behindDoc="0" locked="0" layoutInCell="1" allowOverlap="1" wp14:anchorId="71B93744" wp14:editId="698A1ABF">
                <wp:simplePos x="0" y="0"/>
                <wp:positionH relativeFrom="column">
                  <wp:posOffset>4660265</wp:posOffset>
                </wp:positionH>
                <wp:positionV relativeFrom="paragraph">
                  <wp:posOffset>126365</wp:posOffset>
                </wp:positionV>
                <wp:extent cx="424180" cy="566420"/>
                <wp:effectExtent l="0" t="0" r="0" b="0"/>
                <wp:wrapNone/>
                <wp:docPr id="34" name="Text Box 1"/>
                <wp:cNvGraphicFramePr/>
                <a:graphic xmlns:a="http://schemas.openxmlformats.org/drawingml/2006/main">
                  <a:graphicData uri="http://schemas.microsoft.com/office/word/2010/wordprocessingShape">
                    <wps:wsp>
                      <wps:cNvSpPr txBox="1"/>
                      <wps:spPr>
                        <a:xfrm>
                          <a:off x="0" y="0"/>
                          <a:ext cx="424180" cy="566420"/>
                        </a:xfrm>
                        <a:prstGeom prst="rect">
                          <a:avLst/>
                        </a:prstGeom>
                      </wps:spPr>
                      <wps:txbx>
                        <w:txbxContent>
                          <w:p w14:paraId="37258314" w14:textId="77777777" w:rsidR="0099767E" w:rsidRPr="00982CAE" w:rsidRDefault="0099767E" w:rsidP="00206F94">
                            <w:pPr>
                              <w:pStyle w:val="NormalWeb"/>
                              <w:spacing w:before="0" w:beforeAutospacing="0" w:after="0" w:afterAutospacing="0"/>
                              <w:rPr>
                                <w:sz w:val="20"/>
                              </w:rPr>
                            </w:pPr>
                            <w:r w:rsidRPr="00982CAE">
                              <w:rPr>
                                <w:rFonts w:asciiTheme="minorHAnsi" w:cstheme="minorBidi"/>
                                <w:sz w:val="16"/>
                                <w:szCs w:val="18"/>
                              </w:rPr>
                              <w:t>HFP Transition Phase: +</w:t>
                            </w:r>
                            <w:r>
                              <w:rPr>
                                <w:rFonts w:asciiTheme="minorHAnsi" w:cstheme="minorBidi"/>
                                <w:sz w:val="16"/>
                                <w:szCs w:val="18"/>
                              </w:rPr>
                              <w:t>6,840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B93744" id="_x0000_s1028" type="#_x0000_t202" style="position:absolute;margin-left:366.95pt;margin-top:9.95pt;width:33.4pt;height: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" filled="f" stroked="f">
                <v:textbox inset="0,0,0,0">
                  <w:txbxContent>
                    <w:p w14:paraId="37258314" w14:textId="77777777" w:rsidR="0099767E" w:rsidRPr="00982CAE" w:rsidRDefault="0099767E" w:rsidP="00206F94">
                      <w:pPr>
                        <w:pStyle w:val="NormalWeb"/>
                        <w:spacing w:before="0" w:beforeAutospacing="0" w:after="0" w:afterAutospacing="0"/>
                        <w:rPr>
                          <w:sz w:val="20"/>
                        </w:rPr>
                      </w:pPr>
                      <w:r w:rsidRPr="00982CAE">
                        <w:rPr>
                          <w:rFonts w:asciiTheme="minorHAnsi" w:cstheme="minorBidi"/>
                          <w:sz w:val="16"/>
                          <w:szCs w:val="18"/>
                        </w:rPr>
                        <w:t>HFP Transition Phase: +</w:t>
                      </w:r>
                      <w:r>
                        <w:rPr>
                          <w:rFonts w:asciiTheme="minorHAnsi" w:cstheme="minorBidi"/>
                          <w:sz w:val="16"/>
                          <w:szCs w:val="18"/>
                        </w:rPr>
                        <w:t>6,840</w:t>
                      </w:r>
                    </w:p>
                  </w:txbxContent>
                </v:textbox>
              </v:shape>
            </w:pict>
          </mc:Fallback>
        </mc:AlternateContent>
      </w:r>
      <w:r w:rsidR="00206F94" w:rsidRPr="00105FFC">
        <w:rPr>
          <w:rFonts w:asciiTheme="minorHAnsi" w:hAnsiTheme="minorHAnsi"/>
          <w:noProof/>
        </w:rPr>
        <mc:AlternateContent>
          <mc:Choice Requires="wps">
            <w:drawing>
              <wp:anchor distT="0" distB="0" distL="114300" distR="114300" simplePos="0" relativeHeight="251654144" behindDoc="0" locked="0" layoutInCell="1" allowOverlap="1" wp14:anchorId="7230F2B7" wp14:editId="5ADC54CF">
                <wp:simplePos x="0" y="0"/>
                <wp:positionH relativeFrom="column">
                  <wp:posOffset>3101076</wp:posOffset>
                </wp:positionH>
                <wp:positionV relativeFrom="paragraph">
                  <wp:posOffset>302524</wp:posOffset>
                </wp:positionV>
                <wp:extent cx="436880" cy="517525"/>
                <wp:effectExtent l="0" t="0" r="0" b="0"/>
                <wp:wrapNone/>
                <wp:docPr id="14" name="Text Box 1"/>
                <wp:cNvGraphicFramePr/>
                <a:graphic xmlns:a="http://schemas.openxmlformats.org/drawingml/2006/main">
                  <a:graphicData uri="http://schemas.microsoft.com/office/word/2010/wordprocessingShape">
                    <wps:wsp>
                      <wps:cNvSpPr txBox="1"/>
                      <wps:spPr>
                        <a:xfrm>
                          <a:off x="0" y="0"/>
                          <a:ext cx="436880" cy="517525"/>
                        </a:xfrm>
                        <a:prstGeom prst="rect">
                          <a:avLst/>
                        </a:prstGeom>
                      </wps:spPr>
                      <wps:txbx>
                        <w:txbxContent>
                          <w:p w14:paraId="3DD154E9" w14:textId="77777777" w:rsidR="0099767E" w:rsidRPr="00982CAE" w:rsidRDefault="0099767E" w:rsidP="00206F94">
                            <w:pPr>
                              <w:pStyle w:val="NormalWeb"/>
                              <w:spacing w:before="0" w:beforeAutospacing="0" w:after="0" w:afterAutospacing="0"/>
                              <w:rPr>
                                <w:sz w:val="20"/>
                              </w:rPr>
                            </w:pPr>
                            <w:r w:rsidRPr="00982CAE">
                              <w:rPr>
                                <w:rFonts w:asciiTheme="minorHAnsi" w:cstheme="minorBidi"/>
                                <w:sz w:val="16"/>
                                <w:szCs w:val="18"/>
                              </w:rPr>
                              <w:t>HFP Transition Phase: +</w:t>
                            </w:r>
                            <w:r>
                              <w:rPr>
                                <w:rFonts w:asciiTheme="minorHAnsi" w:cstheme="minorBidi"/>
                                <w:sz w:val="16"/>
                                <w:szCs w:val="18"/>
                              </w:rPr>
                              <w:t>59,077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30F2B7" id="_x0000_s1029" type="#_x0000_t202" style="position:absolute;margin-left:244.2pt;margin-top:23.8pt;width:34.4pt;height:4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" filled="f" stroked="f">
                <v:textbox inset="0,0,0,0">
                  <w:txbxContent>
                    <w:p w14:paraId="3DD154E9" w14:textId="77777777" w:rsidR="0099767E" w:rsidRPr="00982CAE" w:rsidRDefault="0099767E" w:rsidP="00206F94">
                      <w:pPr>
                        <w:pStyle w:val="NormalWeb"/>
                        <w:spacing w:before="0" w:beforeAutospacing="0" w:after="0" w:afterAutospacing="0"/>
                        <w:rPr>
                          <w:sz w:val="20"/>
                        </w:rPr>
                      </w:pPr>
                      <w:r w:rsidRPr="00982CAE">
                        <w:rPr>
                          <w:rFonts w:asciiTheme="minorHAnsi" w:cstheme="minorBidi"/>
                          <w:sz w:val="16"/>
                          <w:szCs w:val="18"/>
                        </w:rPr>
                        <w:t>HFP Transition Phase: +</w:t>
                      </w:r>
                      <w:r>
                        <w:rPr>
                          <w:rFonts w:asciiTheme="minorHAnsi" w:cstheme="minorBidi"/>
                          <w:sz w:val="16"/>
                          <w:szCs w:val="18"/>
                        </w:rPr>
                        <w:t>59,077</w:t>
                      </w:r>
                    </w:p>
                  </w:txbxContent>
                </v:textbox>
              </v:shape>
            </w:pict>
          </mc:Fallback>
        </mc:AlternateContent>
      </w:r>
      <w:r w:rsidR="00206F94" w:rsidRPr="00105FFC">
        <w:rPr>
          <w:rFonts w:asciiTheme="minorHAnsi" w:hAnsiTheme="minorHAnsi"/>
          <w:noProof/>
          <w:color w:val="FF0000"/>
          <w:sz w:val="16"/>
          <w:shd w:val="clear" w:color="auto" w:fill="4F81BD" w:themeFill="accent1"/>
        </w:rPr>
        <w:drawing>
          <wp:inline distT="0" distB="0" distL="0" distR="0" wp14:anchorId="51AE6CA1" wp14:editId="2B8A37C1">
            <wp:extent cx="5943600" cy="2468880"/>
            <wp:effectExtent l="0" t="0" r="0" b="7620"/>
            <wp:docPr id="17" name="Chart 17" descr="January 2013: Number Transitioning 178,623; Cumulative Total 178,623&#10;March 2013: Number Transitioning 106,443; Cumulative Total 285,066&#10;April 2013: Number Transitioning 270,308; Cumulative Total 555,374&#10;Mary 2013: Number Transitioning 59,077; Cumulative Total 614,451&#10;August 2013: Number Transitioning 104,915; Cumulative Total 719,366&#10;September 2013: Number Transitioning 6,840; Cumulative Total 726,206&#10;November 2013: Number Transitioning 25,087; Cumulative Total 751,293&#10;" title="Certified Eligible Medi-Cal Beneficiaries Transitioning in Optional Target Low-Income Children Program (OTLICP) Aid Cod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206F94" w:rsidRPr="00105FFC">
        <w:rPr>
          <w:rFonts w:asciiTheme="minorHAnsi" w:hAnsiTheme="minorHAnsi"/>
          <w:b/>
          <w:noProof/>
          <w:sz w:val="16"/>
          <w:szCs w:val="16"/>
        </w:rPr>
        <w:t>Source:</w:t>
      </w:r>
      <w:r w:rsidR="00206F94" w:rsidRPr="00105FFC">
        <w:rPr>
          <w:rFonts w:asciiTheme="minorHAnsi" w:hAnsiTheme="minorHAnsi"/>
          <w:noProof/>
          <w:sz w:val="16"/>
          <w:szCs w:val="16"/>
        </w:rPr>
        <w:t xml:space="preserve"> Created by RASD using data from the MIS/DSS data warehouse and transition data from the </w:t>
      </w:r>
      <w:hyperlink r:id="rId20" w:history="1">
        <w:r w:rsidR="00206F94" w:rsidRPr="00105FFC">
          <w:rPr>
            <w:rStyle w:val="Hyperlink"/>
            <w:rFonts w:asciiTheme="minorHAnsi" w:eastAsiaTheme="majorEastAsia" w:hAnsiTheme="minorHAnsi"/>
            <w:noProof/>
            <w:color w:val="365F91" w:themeColor="accent1" w:themeShade="BF"/>
            <w:sz w:val="16"/>
            <w:szCs w:val="16"/>
          </w:rPr>
          <w:t>DHCS Final Transition Report</w:t>
        </w:r>
      </w:hyperlink>
      <w:r w:rsidR="00DE5E3B" w:rsidRPr="00105FFC">
        <w:rPr>
          <w:rFonts w:asciiTheme="minorHAnsi" w:hAnsiTheme="minorHAnsi"/>
          <w:noProof/>
          <w:sz w:val="16"/>
          <w:szCs w:val="16"/>
        </w:rPr>
        <w:t>.</w:t>
      </w:r>
    </w:p>
    <w:p w14:paraId="22B337EE" w14:textId="77777777" w:rsidR="00B25D7D" w:rsidRPr="00105FFC" w:rsidRDefault="00B25D7D" w:rsidP="00B25D7D">
      <w:pPr>
        <w:pStyle w:val="Heading4"/>
        <w:spacing w:before="0" w:line="276" w:lineRule="auto"/>
        <w:rPr>
          <w:rFonts w:eastAsiaTheme="minorHAnsi"/>
          <w:color w:val="auto"/>
        </w:rPr>
      </w:pPr>
    </w:p>
    <w:p w14:paraId="5075624D" w14:textId="77777777" w:rsidR="00206F94" w:rsidRPr="00105FFC" w:rsidRDefault="00206F94" w:rsidP="00DE5E3B">
      <w:pPr>
        <w:pStyle w:val="Heading4"/>
        <w:spacing w:before="0" w:after="120" w:line="276" w:lineRule="auto"/>
        <w:rPr>
          <w:rFonts w:eastAsiaTheme="minorHAnsi"/>
        </w:rPr>
      </w:pPr>
      <w:r w:rsidRPr="00105FFC">
        <w:rPr>
          <w:rFonts w:eastAsiaTheme="minorHAnsi"/>
          <w:color w:val="auto"/>
        </w:rPr>
        <w:t>ACA Implementation</w:t>
      </w:r>
    </w:p>
    <w:p w14:paraId="424910B2" w14:textId="77777777" w:rsidR="00132BED" w:rsidRPr="00105FFC" w:rsidRDefault="00206F94" w:rsidP="00B25D7D">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On the heels of the HFP transition, the implementation of the </w:t>
      </w:r>
      <w:r w:rsidR="00D519F6" w:rsidRPr="00105FFC">
        <w:rPr>
          <w:rFonts w:asciiTheme="minorHAnsi" w:eastAsiaTheme="minorHAnsi" w:hAnsiTheme="minorHAnsi" w:cstheme="minorBidi"/>
        </w:rPr>
        <w:t xml:space="preserve">ACA </w:t>
      </w:r>
      <w:r w:rsidRPr="00105FFC">
        <w:rPr>
          <w:rFonts w:asciiTheme="minorHAnsi" w:eastAsiaTheme="minorHAnsi" w:hAnsiTheme="minorHAnsi" w:cstheme="minorBidi"/>
        </w:rPr>
        <w:t xml:space="preserve">continued to dramatically alter the overall Medi-Cal population. The ACA was signed into law by President Obama in March 2010. Under the ACA, states gained the option to expand Medicaid eligibility to previously ineligible low-income adults ages 19-64 (at or below 138% </w:t>
      </w:r>
      <w:r w:rsidR="004874B8" w:rsidRPr="00105FFC">
        <w:rPr>
          <w:rFonts w:asciiTheme="minorHAnsi" w:eastAsiaTheme="minorHAnsi" w:hAnsiTheme="minorHAnsi" w:cstheme="minorBidi"/>
        </w:rPr>
        <w:t>FPL</w:t>
      </w:r>
      <w:r w:rsidRPr="00105FFC">
        <w:rPr>
          <w:rFonts w:asciiTheme="minorHAnsi" w:eastAsiaTheme="minorHAnsi" w:hAnsiTheme="minorHAnsi" w:cstheme="minorBidi"/>
        </w:rPr>
        <w:t>) without dependent children.</w:t>
      </w:r>
      <w:r w:rsidRPr="00105FFC">
        <w:rPr>
          <w:rFonts w:asciiTheme="minorHAnsi" w:eastAsiaTheme="minorHAnsi" w:hAnsiTheme="minorHAnsi" w:cstheme="minorBidi"/>
          <w:vertAlign w:val="superscript"/>
        </w:rPr>
        <w:footnoteReference w:id="4"/>
      </w:r>
      <w:r w:rsidRPr="00105FFC">
        <w:rPr>
          <w:rFonts w:asciiTheme="minorHAnsi" w:eastAsiaTheme="minorHAnsi" w:hAnsiTheme="minorHAnsi" w:cstheme="minorBidi"/>
        </w:rPr>
        <w:t xml:space="preserve"> On June 27, 2013, Governor Brown signed into law Assembly Bill </w:t>
      </w:r>
      <w:r w:rsidR="0037334C" w:rsidRPr="00105FFC">
        <w:rPr>
          <w:rFonts w:asciiTheme="minorHAnsi" w:eastAsiaTheme="minorHAnsi" w:hAnsiTheme="minorHAnsi" w:cstheme="minorBidi"/>
        </w:rPr>
        <w:t>x1-1</w:t>
      </w:r>
      <w:r w:rsidRPr="00105FFC">
        <w:rPr>
          <w:rFonts w:asciiTheme="minorHAnsi" w:eastAsiaTheme="minorHAnsi" w:hAnsiTheme="minorHAnsi" w:cstheme="minorBidi"/>
        </w:rPr>
        <w:t xml:space="preserve">and Senate Bill </w:t>
      </w:r>
      <w:r w:rsidR="0037334C" w:rsidRPr="00105FFC">
        <w:rPr>
          <w:rFonts w:asciiTheme="minorHAnsi" w:eastAsiaTheme="minorHAnsi" w:hAnsiTheme="minorHAnsi" w:cstheme="minorBidi"/>
        </w:rPr>
        <w:t>x</w:t>
      </w:r>
      <w:r w:rsidRPr="00105FFC">
        <w:rPr>
          <w:rFonts w:asciiTheme="minorHAnsi" w:eastAsiaTheme="minorHAnsi" w:hAnsiTheme="minorHAnsi" w:cstheme="minorBidi"/>
        </w:rPr>
        <w:t>1-1, authorizing California to expand the Medi-Cal program to include this optional population effective January 1, 2014. Before implementation of the optional expansion, Medi-Cal primarily provided coverage to individuals with disabilities, low-income children and their parent/caretaker and/or relatives, pregnant women, aged individuals, and individuals with particularly complex medical conditions.</w:t>
      </w:r>
    </w:p>
    <w:p w14:paraId="4006A1A2" w14:textId="77777777" w:rsidR="00B25D7D" w:rsidRPr="00105FFC" w:rsidRDefault="00B25D7D" w:rsidP="00B25D7D">
      <w:pPr>
        <w:spacing w:line="276" w:lineRule="auto"/>
        <w:rPr>
          <w:rFonts w:asciiTheme="minorHAnsi" w:eastAsiaTheme="minorHAnsi" w:hAnsiTheme="minorHAnsi" w:cstheme="minorBidi"/>
        </w:rPr>
      </w:pPr>
    </w:p>
    <w:p w14:paraId="5973A3C2" w14:textId="77777777" w:rsidR="00206F94" w:rsidRPr="00105FFC" w:rsidRDefault="009C7205" w:rsidP="00DE5E3B">
      <w:pPr>
        <w:pStyle w:val="Caption"/>
        <w:spacing w:after="120"/>
        <w:rPr>
          <w:rFonts w:asciiTheme="minorHAnsi" w:hAnsiTheme="minorHAnsi"/>
          <w:b w:val="0"/>
          <w:color w:val="auto"/>
          <w:sz w:val="20"/>
          <w:szCs w:val="20"/>
        </w:rPr>
      </w:pPr>
      <w:bookmarkStart w:id="54" w:name="_Toc458782945"/>
      <w:bookmarkStart w:id="55" w:name="_Toc459285056"/>
      <w:bookmarkStart w:id="56" w:name="_Toc459285247"/>
      <w:bookmarkStart w:id="57" w:name="_Toc459286688"/>
      <w:r w:rsidRPr="00105FFC">
        <w:rPr>
          <w:rFonts w:asciiTheme="minorHAnsi" w:hAnsiTheme="minorHAnsi"/>
          <w:color w:val="auto"/>
          <w:sz w:val="20"/>
          <w:szCs w:val="20"/>
        </w:rPr>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7</w:t>
      </w:r>
      <w:r w:rsidRPr="00105FFC">
        <w:rPr>
          <w:rFonts w:asciiTheme="minorHAnsi" w:hAnsiTheme="minorHAnsi"/>
          <w:color w:val="auto"/>
          <w:sz w:val="20"/>
          <w:szCs w:val="20"/>
        </w:rPr>
        <w:fldChar w:fldCharType="end"/>
      </w:r>
      <w:r w:rsidR="00206F94" w:rsidRPr="00105FFC">
        <w:rPr>
          <w:rFonts w:asciiTheme="minorHAnsi" w:hAnsiTheme="minorHAnsi"/>
          <w:color w:val="auto"/>
          <w:sz w:val="20"/>
          <w:szCs w:val="20"/>
        </w:rPr>
        <w:t xml:space="preserve">: </w:t>
      </w:r>
      <w:r w:rsidR="004874B8" w:rsidRPr="00105FFC">
        <w:rPr>
          <w:rFonts w:asciiTheme="minorHAnsi" w:hAnsiTheme="minorHAnsi"/>
          <w:b w:val="0"/>
          <w:color w:val="auto"/>
          <w:sz w:val="20"/>
          <w:szCs w:val="20"/>
        </w:rPr>
        <w:t>Certified Eligible Medi-Cal Beneficiaries Enrolled in the</w:t>
      </w:r>
      <w:r w:rsidR="00206F94" w:rsidRPr="00105FFC">
        <w:rPr>
          <w:rFonts w:asciiTheme="minorHAnsi" w:hAnsiTheme="minorHAnsi"/>
          <w:b w:val="0"/>
          <w:color w:val="auto"/>
          <w:sz w:val="20"/>
          <w:szCs w:val="20"/>
        </w:rPr>
        <w:t xml:space="preserve"> A</w:t>
      </w:r>
      <w:r w:rsidR="004874B8" w:rsidRPr="00105FFC">
        <w:rPr>
          <w:rFonts w:asciiTheme="minorHAnsi" w:hAnsiTheme="minorHAnsi"/>
          <w:b w:val="0"/>
          <w:color w:val="auto"/>
          <w:sz w:val="20"/>
          <w:szCs w:val="20"/>
        </w:rPr>
        <w:t>CA Expansion Adult</w:t>
      </w:r>
      <w:r w:rsidR="00DE5E3B" w:rsidRPr="00105FFC">
        <w:rPr>
          <w:rFonts w:asciiTheme="minorHAnsi" w:hAnsiTheme="minorHAnsi"/>
          <w:b w:val="0"/>
          <w:color w:val="auto"/>
          <w:sz w:val="20"/>
          <w:szCs w:val="20"/>
        </w:rPr>
        <w:t xml:space="preserve"> Ages 19-64 </w:t>
      </w:r>
      <w:r w:rsidR="004874B8" w:rsidRPr="00105FFC">
        <w:rPr>
          <w:rFonts w:asciiTheme="minorHAnsi" w:hAnsiTheme="minorHAnsi"/>
          <w:b w:val="0"/>
          <w:color w:val="auto"/>
          <w:sz w:val="20"/>
          <w:szCs w:val="20"/>
        </w:rPr>
        <w:t>Aid Category from December 2013-December 2015</w:t>
      </w:r>
      <w:bookmarkEnd w:id="54"/>
      <w:bookmarkEnd w:id="55"/>
      <w:bookmarkEnd w:id="56"/>
      <w:bookmarkEnd w:id="57"/>
    </w:p>
    <w:p w14:paraId="445E367F" w14:textId="77777777" w:rsidR="00206F94" w:rsidRPr="00105FFC" w:rsidRDefault="00206F94" w:rsidP="00DE5E3B">
      <w:pPr>
        <w:spacing w:after="120"/>
        <w:rPr>
          <w:rFonts w:asciiTheme="minorHAnsi" w:eastAsiaTheme="minorHAnsi" w:hAnsiTheme="minorHAnsi" w:cstheme="minorBidi"/>
        </w:rPr>
      </w:pPr>
      <w:r w:rsidRPr="00105FFC">
        <w:rPr>
          <w:rFonts w:asciiTheme="minorHAnsi" w:hAnsiTheme="minorHAnsi"/>
          <w:noProof/>
        </w:rPr>
        <w:lastRenderedPageBreak/>
        <w:drawing>
          <wp:inline distT="0" distB="0" distL="0" distR="0" wp14:anchorId="7089A3BA" wp14:editId="6B5B14BF">
            <wp:extent cx="5943600" cy="2468880"/>
            <wp:effectExtent l="0" t="0" r="0" b="7620"/>
            <wp:docPr id="18" name="Chart 18" descr="2014-01: 1,102,952&#10;2014-02: 1,351,457&#10;2014-03: 1,708,449&#10;2014-04: 1,866,945&#10;2014-05: 1,956,147&#10;2014-06: 2,038,115&#10;2014-07: 2,126,708&#10;2014-08: 2,214,315&#10;2014-09: 2,295,926&#10;2014-10: 2,377,083&#10;2014-11: 2,466,687&#10;2014-12: 2,561,190&#10;2015-01: 2,675,030&#10;2015-02: 2,783,853&#10;2015-03: 2,820,116&#10;2015-04: 2,890,559&#10;2015-05: 2,946,158&#10;2015-06: 3,012,726&#10;2015-07: 3,071,600&#10;2015-08: 3,142,409&#10;2015-09: 3,205,482&#10;2015-10: 3,271,489&#10;2015-11: 3,344,732&#10;2015-12: 3,462,673" title="Certified Eligible Medi-Cal Beneficiaries Enrolled in the ACA Expansion Adult Ages 19-64 Aid Category from December 2013-December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extracted in June 2016. </w:t>
      </w:r>
    </w:p>
    <w:p w14:paraId="6D5D8AFD" w14:textId="77777777" w:rsidR="00206F94" w:rsidRPr="00105FFC" w:rsidRDefault="00206F94" w:rsidP="002D04DA">
      <w:pPr>
        <w:spacing w:after="120" w:line="276" w:lineRule="auto"/>
        <w:rPr>
          <w:rFonts w:asciiTheme="minorHAnsi" w:eastAsiaTheme="minorHAnsi" w:hAnsiTheme="minorHAnsi" w:cstheme="minorBidi"/>
        </w:rPr>
      </w:pPr>
    </w:p>
    <w:p w14:paraId="38A9F87B" w14:textId="77777777" w:rsidR="00B25D7D" w:rsidRPr="00105FFC" w:rsidRDefault="00206F94" w:rsidP="00B25D7D">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ACA optional adult expansion extended coverage for individuals ages 19-64, thus opening the door for millions of newly eligible enrollees. In January 2014, the first month of Medi-Cal eligibility for the optional adult population, more than one million new adults enrolled. By the end of 2014, an additional 1.5 million</w:t>
      </w:r>
      <w:r w:rsidR="009A37B6" w:rsidRPr="00105FFC">
        <w:rPr>
          <w:rFonts w:asciiTheme="minorHAnsi" w:eastAsiaTheme="minorHAnsi" w:hAnsiTheme="minorHAnsi" w:cstheme="minorBidi"/>
        </w:rPr>
        <w:t xml:space="preserve"> adult</w:t>
      </w:r>
      <w:r w:rsidRPr="00105FFC">
        <w:rPr>
          <w:rFonts w:asciiTheme="minorHAnsi" w:eastAsiaTheme="minorHAnsi" w:hAnsiTheme="minorHAnsi" w:cstheme="minorBidi"/>
        </w:rPr>
        <w:t xml:space="preserve"> beneficiaries had enrolled. By the end of 2015, nearly 3.5 million </w:t>
      </w:r>
      <w:r w:rsidR="009A37B6" w:rsidRPr="00105FFC">
        <w:rPr>
          <w:rFonts w:asciiTheme="minorHAnsi" w:eastAsiaTheme="minorHAnsi" w:hAnsiTheme="minorHAnsi" w:cstheme="minorBidi"/>
        </w:rPr>
        <w:t xml:space="preserve">adult </w:t>
      </w:r>
      <w:r w:rsidRPr="00105FFC">
        <w:rPr>
          <w:rFonts w:asciiTheme="minorHAnsi" w:eastAsiaTheme="minorHAnsi" w:hAnsiTheme="minorHAnsi" w:cstheme="minorBidi"/>
        </w:rPr>
        <w:t>beneficiaries were enrolled in Medi-Cal through the ACA im</w:t>
      </w:r>
      <w:r w:rsidR="009A37B6" w:rsidRPr="00105FFC">
        <w:rPr>
          <w:rFonts w:asciiTheme="minorHAnsi" w:eastAsiaTheme="minorHAnsi" w:hAnsiTheme="minorHAnsi" w:cstheme="minorBidi"/>
        </w:rPr>
        <w:t xml:space="preserve">plementation, accounting for approximately 26% </w:t>
      </w:r>
      <w:r w:rsidRPr="00105FFC">
        <w:rPr>
          <w:rFonts w:asciiTheme="minorHAnsi" w:eastAsiaTheme="minorHAnsi" w:hAnsiTheme="minorHAnsi" w:cstheme="minorBidi"/>
        </w:rPr>
        <w:t>of the overall Medi-Cal population</w:t>
      </w:r>
      <w:r w:rsidR="00DE5E3B" w:rsidRPr="00105FFC">
        <w:rPr>
          <w:rFonts w:asciiTheme="minorHAnsi" w:eastAsiaTheme="minorHAnsi" w:hAnsiTheme="minorHAnsi" w:cstheme="minorBidi"/>
        </w:rPr>
        <w:t>.</w:t>
      </w:r>
      <w:r w:rsidR="00EC2753" w:rsidRPr="00105FFC">
        <w:rPr>
          <w:rFonts w:asciiTheme="minorHAnsi" w:eastAsiaTheme="minorHAnsi" w:hAnsiTheme="minorHAnsi" w:cstheme="minorBidi"/>
        </w:rPr>
        <w:t xml:space="preserve"> The Medicaid expansion in California led to a sharp increase in overall Medi-Cal enrollment, and it was primary directed into managed care (Figure 7).</w:t>
      </w:r>
      <w:r w:rsidR="00DE5E3B" w:rsidRPr="00105FFC">
        <w:rPr>
          <w:rFonts w:asciiTheme="minorHAnsi" w:eastAsiaTheme="minorHAnsi" w:hAnsiTheme="minorHAnsi" w:cstheme="minorBidi"/>
        </w:rPr>
        <w:t xml:space="preserve"> </w:t>
      </w:r>
    </w:p>
    <w:p w14:paraId="6BAE682A" w14:textId="77777777" w:rsidR="00206F94" w:rsidRPr="00105FFC" w:rsidRDefault="00206F94" w:rsidP="00B25D7D">
      <w:pPr>
        <w:pStyle w:val="Heading3"/>
        <w:spacing w:before="0" w:line="276" w:lineRule="auto"/>
        <w:rPr>
          <w:rFonts w:eastAsiaTheme="minorHAnsi" w:cstheme="minorBidi"/>
          <w:color w:val="auto"/>
        </w:rPr>
      </w:pPr>
      <w:bookmarkStart w:id="58" w:name="_Toc459287711"/>
      <w:r w:rsidRPr="00105FFC">
        <w:rPr>
          <w:rFonts w:eastAsiaTheme="minorHAnsi"/>
          <w:color w:val="auto"/>
        </w:rPr>
        <w:t>Fee-for-Service: A Changed Landscape</w:t>
      </w:r>
      <w:bookmarkEnd w:id="58"/>
    </w:p>
    <w:p w14:paraId="1CDEF92A" w14:textId="77777777" w:rsidR="00206F94" w:rsidRPr="00105FFC" w:rsidRDefault="00206F94"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Since January 2013</w:t>
      </w:r>
      <w:r w:rsidR="00CC1816" w:rsidRPr="00105FFC">
        <w:rPr>
          <w:rFonts w:asciiTheme="minorHAnsi" w:eastAsiaTheme="minorHAnsi" w:hAnsiTheme="minorHAnsi" w:cstheme="minorBidi"/>
        </w:rPr>
        <w:t>,</w:t>
      </w:r>
      <w:r w:rsidRPr="00105FFC">
        <w:rPr>
          <w:rFonts w:asciiTheme="minorHAnsi" w:eastAsiaTheme="minorHAnsi" w:hAnsiTheme="minorHAnsi" w:cstheme="minorBidi"/>
        </w:rPr>
        <w:t xml:space="preserve"> the</w:t>
      </w:r>
      <w:r w:rsidR="000A3DAE" w:rsidRPr="00105FFC">
        <w:rPr>
          <w:rFonts w:asciiTheme="minorHAnsi" w:eastAsiaTheme="minorHAnsi" w:hAnsiTheme="minorHAnsi" w:cstheme="minorBidi"/>
        </w:rPr>
        <w:t xml:space="preserve"> Medi-Cal program has added more than</w:t>
      </w:r>
      <w:r w:rsidRPr="00105FFC">
        <w:rPr>
          <w:rFonts w:asciiTheme="minorHAnsi" w:eastAsiaTheme="minorHAnsi" w:hAnsiTheme="minorHAnsi" w:cstheme="minorBidi"/>
        </w:rPr>
        <w:t xml:space="preserve"> 5.6 million </w:t>
      </w:r>
      <w:r w:rsidR="000A3DAE" w:rsidRPr="00105FFC">
        <w:rPr>
          <w:rFonts w:asciiTheme="minorHAnsi" w:eastAsiaTheme="minorHAnsi" w:hAnsiTheme="minorHAnsi" w:cstheme="minorBidi"/>
        </w:rPr>
        <w:t>beneficiaries</w:t>
      </w:r>
      <w:r w:rsidRPr="00105FFC">
        <w:rPr>
          <w:rFonts w:asciiTheme="minorHAnsi" w:eastAsiaTheme="minorHAnsi" w:hAnsiTheme="minorHAnsi" w:cstheme="minorBidi"/>
        </w:rPr>
        <w:t xml:space="preserve">. The growth in the Medi-Cal managed care delivery system accounts for 5.3 million of those individuals. Over this same </w:t>
      </w:r>
      <w:r w:rsidR="000A3DAE" w:rsidRPr="00105FFC">
        <w:rPr>
          <w:rFonts w:asciiTheme="minorHAnsi" w:eastAsiaTheme="minorHAnsi" w:hAnsiTheme="minorHAnsi" w:cstheme="minorBidi"/>
        </w:rPr>
        <w:t xml:space="preserve">time </w:t>
      </w:r>
      <w:r w:rsidRPr="00105FFC">
        <w:rPr>
          <w:rFonts w:asciiTheme="minorHAnsi" w:eastAsiaTheme="minorHAnsi" w:hAnsiTheme="minorHAnsi" w:cstheme="minorBidi"/>
        </w:rPr>
        <w:t>period</w:t>
      </w:r>
      <w:r w:rsidR="000A3DAE" w:rsidRPr="00105FFC">
        <w:rPr>
          <w:rFonts w:asciiTheme="minorHAnsi" w:eastAsiaTheme="minorHAnsi" w:hAnsiTheme="minorHAnsi" w:cstheme="minorBidi"/>
        </w:rPr>
        <w:t>, the</w:t>
      </w:r>
      <w:r w:rsidRPr="00105FFC">
        <w:rPr>
          <w:rFonts w:asciiTheme="minorHAnsi" w:eastAsiaTheme="minorHAnsi" w:hAnsiTheme="minorHAnsi" w:cstheme="minorBidi"/>
        </w:rPr>
        <w:t xml:space="preserve"> FFS</w:t>
      </w:r>
      <w:r w:rsidR="000A3DAE" w:rsidRPr="00105FFC">
        <w:rPr>
          <w:rFonts w:asciiTheme="minorHAnsi" w:eastAsiaTheme="minorHAnsi" w:hAnsiTheme="minorHAnsi" w:cstheme="minorBidi"/>
        </w:rPr>
        <w:t xml:space="preserve"> delivery system</w:t>
      </w:r>
      <w:r w:rsidRPr="00105FFC">
        <w:rPr>
          <w:rFonts w:asciiTheme="minorHAnsi" w:eastAsiaTheme="minorHAnsi" w:hAnsiTheme="minorHAnsi" w:cstheme="minorBidi"/>
        </w:rPr>
        <w:t xml:space="preserve"> has grown by just over 200,000 beneficiaries.  </w:t>
      </w:r>
      <w:r w:rsidR="00CC1816" w:rsidRPr="00105FFC">
        <w:rPr>
          <w:rFonts w:asciiTheme="minorHAnsi" w:eastAsiaTheme="minorHAnsi" w:hAnsiTheme="minorHAnsi" w:cstheme="minorBidi"/>
        </w:rPr>
        <w:t>T</w:t>
      </w:r>
      <w:r w:rsidRPr="00105FFC">
        <w:rPr>
          <w:rFonts w:asciiTheme="minorHAnsi" w:eastAsiaTheme="minorHAnsi" w:hAnsiTheme="minorHAnsi" w:cstheme="minorBidi"/>
        </w:rPr>
        <w:t xml:space="preserve">o conduct a meaningful access </w:t>
      </w:r>
      <w:r w:rsidR="00FE1684" w:rsidRPr="00105FFC">
        <w:rPr>
          <w:rFonts w:asciiTheme="minorHAnsi" w:eastAsiaTheme="minorHAnsi" w:hAnsiTheme="minorHAnsi" w:cstheme="minorBidi"/>
        </w:rPr>
        <w:t>analysis,</w:t>
      </w:r>
      <w:r w:rsidR="00CC1816" w:rsidRPr="00105FFC">
        <w:rPr>
          <w:rFonts w:asciiTheme="minorHAnsi" w:eastAsiaTheme="minorHAnsi" w:hAnsiTheme="minorHAnsi" w:cstheme="minorBidi"/>
        </w:rPr>
        <w:t xml:space="preserve"> a number of</w:t>
      </w:r>
      <w:r w:rsidRPr="00105FFC">
        <w:rPr>
          <w:rFonts w:asciiTheme="minorHAnsi" w:eastAsiaTheme="minorHAnsi" w:hAnsiTheme="minorHAnsi" w:cstheme="minorBidi"/>
        </w:rPr>
        <w:t xml:space="preserve"> questions about FFS and its population must be explored before access measures are </w:t>
      </w:r>
      <w:r w:rsidR="00CC1816" w:rsidRPr="00105FFC">
        <w:rPr>
          <w:rFonts w:asciiTheme="minorHAnsi" w:eastAsiaTheme="minorHAnsi" w:hAnsiTheme="minorHAnsi" w:cstheme="minorBidi"/>
        </w:rPr>
        <w:t xml:space="preserve">designed, developed, </w:t>
      </w:r>
      <w:r w:rsidRPr="00105FFC">
        <w:rPr>
          <w:rFonts w:asciiTheme="minorHAnsi" w:eastAsiaTheme="minorHAnsi" w:hAnsiTheme="minorHAnsi" w:cstheme="minorBidi"/>
        </w:rPr>
        <w:t>and interpreted:</w:t>
      </w:r>
    </w:p>
    <w:p w14:paraId="310974EF" w14:textId="77777777" w:rsidR="00206F94" w:rsidRPr="00105FFC" w:rsidRDefault="00206F94" w:rsidP="002D04DA">
      <w:pPr>
        <w:pStyle w:val="ListParagraph"/>
        <w:numPr>
          <w:ilvl w:val="0"/>
          <w:numId w:val="8"/>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If most of the Medi-Cal population is required to enroll in the managed care delivery system, which individuals </w:t>
      </w:r>
      <w:r w:rsidR="008E47E8" w:rsidRPr="00105FFC">
        <w:rPr>
          <w:rFonts w:asciiTheme="minorHAnsi" w:eastAsiaTheme="minorHAnsi" w:hAnsiTheme="minorHAnsi" w:cstheme="minorBidi"/>
        </w:rPr>
        <w:t xml:space="preserve">continue to </w:t>
      </w:r>
      <w:r w:rsidRPr="00105FFC">
        <w:rPr>
          <w:rFonts w:asciiTheme="minorHAnsi" w:eastAsiaTheme="minorHAnsi" w:hAnsiTheme="minorHAnsi" w:cstheme="minorBidi"/>
        </w:rPr>
        <w:t xml:space="preserve">participate in </w:t>
      </w:r>
      <w:r w:rsidR="008E47E8" w:rsidRPr="00105FFC">
        <w:rPr>
          <w:rFonts w:asciiTheme="minorHAnsi" w:eastAsiaTheme="minorHAnsi" w:hAnsiTheme="minorHAnsi" w:cstheme="minorBidi"/>
        </w:rPr>
        <w:t xml:space="preserve">Medi-Cal’s </w:t>
      </w:r>
      <w:r w:rsidRPr="00105FFC">
        <w:rPr>
          <w:rFonts w:asciiTheme="minorHAnsi" w:eastAsiaTheme="minorHAnsi" w:hAnsiTheme="minorHAnsi" w:cstheme="minorBidi"/>
        </w:rPr>
        <w:t xml:space="preserve">FFS </w:t>
      </w:r>
      <w:r w:rsidR="008E47E8" w:rsidRPr="00105FFC">
        <w:rPr>
          <w:rFonts w:asciiTheme="minorHAnsi" w:eastAsiaTheme="minorHAnsi" w:hAnsiTheme="minorHAnsi" w:cstheme="minorBidi"/>
        </w:rPr>
        <w:t xml:space="preserve">delivery </w:t>
      </w:r>
      <w:r w:rsidRPr="00105FFC">
        <w:rPr>
          <w:rFonts w:asciiTheme="minorHAnsi" w:eastAsiaTheme="minorHAnsi" w:hAnsiTheme="minorHAnsi" w:cstheme="minorBidi"/>
        </w:rPr>
        <w:t>system?</w:t>
      </w:r>
    </w:p>
    <w:p w14:paraId="52D7C2E6" w14:textId="77777777" w:rsidR="00206F94" w:rsidRPr="00105FFC" w:rsidRDefault="00206F94" w:rsidP="002D04DA">
      <w:pPr>
        <w:pStyle w:val="ListParagraph"/>
        <w:numPr>
          <w:ilvl w:val="0"/>
          <w:numId w:val="8"/>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Are all FFS beneficiaries entitled to receive the same </w:t>
      </w:r>
      <w:r w:rsidR="008E47E8" w:rsidRPr="00105FFC">
        <w:rPr>
          <w:rFonts w:asciiTheme="minorHAnsi" w:eastAsiaTheme="minorHAnsi" w:hAnsiTheme="minorHAnsi" w:cstheme="minorBidi"/>
        </w:rPr>
        <w:t xml:space="preserve">Medi-Cal </w:t>
      </w:r>
      <w:r w:rsidRPr="00105FFC">
        <w:rPr>
          <w:rFonts w:asciiTheme="minorHAnsi" w:eastAsiaTheme="minorHAnsi" w:hAnsiTheme="minorHAnsi" w:cstheme="minorBidi"/>
        </w:rPr>
        <w:t xml:space="preserve">benefits? </w:t>
      </w:r>
    </w:p>
    <w:p w14:paraId="3A5CD5BC" w14:textId="77777777" w:rsidR="00206F94" w:rsidRPr="00105FFC" w:rsidRDefault="00206F94" w:rsidP="002D04DA">
      <w:pPr>
        <w:pStyle w:val="ListParagraph"/>
        <w:numPr>
          <w:ilvl w:val="0"/>
          <w:numId w:val="8"/>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lastRenderedPageBreak/>
        <w:t xml:space="preserve">What is the nature and duration of </w:t>
      </w:r>
      <w:r w:rsidR="008E47E8" w:rsidRPr="00105FFC">
        <w:rPr>
          <w:rFonts w:asciiTheme="minorHAnsi" w:eastAsiaTheme="minorHAnsi" w:hAnsiTheme="minorHAnsi" w:cstheme="minorBidi"/>
        </w:rPr>
        <w:t xml:space="preserve">FFS delivery system </w:t>
      </w:r>
      <w:r w:rsidRPr="00105FFC">
        <w:rPr>
          <w:rFonts w:asciiTheme="minorHAnsi" w:eastAsiaTheme="minorHAnsi" w:hAnsiTheme="minorHAnsi" w:cstheme="minorBidi"/>
        </w:rPr>
        <w:t>participation?</w:t>
      </w:r>
    </w:p>
    <w:p w14:paraId="16806185" w14:textId="77777777" w:rsidR="00206F94" w:rsidRPr="00105FFC" w:rsidRDefault="00206F94"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Answers to these questions will </w:t>
      </w:r>
      <w:r w:rsidR="002628D5" w:rsidRPr="00105FFC">
        <w:rPr>
          <w:rFonts w:asciiTheme="minorHAnsi" w:eastAsiaTheme="minorHAnsi" w:hAnsiTheme="minorHAnsi" w:cstheme="minorBidi"/>
        </w:rPr>
        <w:t xml:space="preserve">determine </w:t>
      </w:r>
      <w:r w:rsidRPr="00105FFC">
        <w:rPr>
          <w:rFonts w:asciiTheme="minorHAnsi" w:eastAsiaTheme="minorHAnsi" w:hAnsiTheme="minorHAnsi" w:cstheme="minorBidi"/>
        </w:rPr>
        <w:t>how effective access measures can be fo</w:t>
      </w:r>
      <w:r w:rsidR="004E42FD" w:rsidRPr="00105FFC">
        <w:rPr>
          <w:rFonts w:asciiTheme="minorHAnsi" w:eastAsiaTheme="minorHAnsi" w:hAnsiTheme="minorHAnsi" w:cstheme="minorBidi"/>
        </w:rPr>
        <w:t xml:space="preserve">r different subpopulations. </w:t>
      </w:r>
      <w:r w:rsidRPr="00105FFC">
        <w:rPr>
          <w:rFonts w:asciiTheme="minorHAnsi" w:eastAsiaTheme="minorHAnsi" w:hAnsiTheme="minorHAnsi" w:cstheme="minorBidi"/>
        </w:rPr>
        <w:t xml:space="preserve">Information about the nuances of exposure to preventative care, transitory enrollment, and program administration ensure the appropriate context is considered when analyzing </w:t>
      </w:r>
      <w:r w:rsidR="008E47E8" w:rsidRPr="00105FFC">
        <w:rPr>
          <w:rFonts w:asciiTheme="minorHAnsi" w:eastAsiaTheme="minorHAnsi" w:hAnsiTheme="minorHAnsi" w:cstheme="minorBidi"/>
        </w:rPr>
        <w:t xml:space="preserve">and interpreting </w:t>
      </w:r>
      <w:r w:rsidRPr="00105FFC">
        <w:rPr>
          <w:rFonts w:asciiTheme="minorHAnsi" w:eastAsiaTheme="minorHAnsi" w:hAnsiTheme="minorHAnsi" w:cstheme="minorBidi"/>
        </w:rPr>
        <w:t xml:space="preserve">access metrics.  </w:t>
      </w:r>
      <w:r w:rsidR="004151DF" w:rsidRPr="00105FFC">
        <w:rPr>
          <w:rFonts w:asciiTheme="minorHAnsi" w:eastAsiaTheme="minorHAnsi" w:hAnsiTheme="minorHAnsi" w:cstheme="minorBidi"/>
        </w:rPr>
        <w:t>It</w:t>
      </w:r>
      <w:r w:rsidRPr="00105FFC">
        <w:rPr>
          <w:rFonts w:asciiTheme="minorHAnsi" w:eastAsiaTheme="minorHAnsi" w:hAnsiTheme="minorHAnsi" w:cstheme="minorBidi"/>
        </w:rPr>
        <w:t xml:space="preserve"> is only after these questions are explored that a true picture of FFS emerges and a genuine discussion about a</w:t>
      </w:r>
      <w:r w:rsidR="00DE5E3B" w:rsidRPr="00105FFC">
        <w:rPr>
          <w:rFonts w:asciiTheme="minorHAnsi" w:eastAsiaTheme="minorHAnsi" w:hAnsiTheme="minorHAnsi" w:cstheme="minorBidi"/>
        </w:rPr>
        <w:t>ccess to care can be presented.</w:t>
      </w:r>
    </w:p>
    <w:p w14:paraId="5629E516" w14:textId="77777777" w:rsidR="008B6377" w:rsidRPr="00105FFC" w:rsidRDefault="00F85C1A" w:rsidP="00DE5E3B">
      <w:pPr>
        <w:pStyle w:val="Heading2"/>
        <w:spacing w:before="0" w:after="120" w:line="276" w:lineRule="auto"/>
        <w:rPr>
          <w:rFonts w:asciiTheme="minorHAnsi" w:eastAsiaTheme="minorHAnsi" w:hAnsiTheme="minorHAnsi"/>
          <w:color w:val="auto"/>
        </w:rPr>
      </w:pPr>
      <w:bookmarkStart w:id="59" w:name="_Toc459287712"/>
      <w:r w:rsidRPr="00105FFC">
        <w:rPr>
          <w:rFonts w:asciiTheme="minorHAnsi" w:eastAsiaTheme="minorHAnsi" w:hAnsiTheme="minorHAnsi"/>
          <w:color w:val="auto"/>
        </w:rPr>
        <w:t xml:space="preserve">The </w:t>
      </w:r>
      <w:r w:rsidR="008B6377" w:rsidRPr="00105FFC">
        <w:rPr>
          <w:rFonts w:asciiTheme="minorHAnsi" w:eastAsiaTheme="minorHAnsi" w:hAnsiTheme="minorHAnsi"/>
          <w:color w:val="auto"/>
        </w:rPr>
        <w:t>Role of Fee-for-Service in Medi-Cal</w:t>
      </w:r>
      <w:bookmarkEnd w:id="59"/>
    </w:p>
    <w:p w14:paraId="2046588F" w14:textId="77777777" w:rsidR="007A40A7" w:rsidRPr="00105FFC" w:rsidRDefault="007A40A7"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In the early years of Medi-Cal, FFS was the sole delivery system.  It was the single source of care for all Medi-Cal beneficiaries, regardless of the various eligibility pathways they took into the program or the different health</w:t>
      </w:r>
      <w:r w:rsidR="004E42FD" w:rsidRPr="00105FFC">
        <w:rPr>
          <w:rFonts w:asciiTheme="minorHAnsi" w:eastAsiaTheme="minorHAnsi" w:hAnsiTheme="minorHAnsi" w:cstheme="minorBidi"/>
        </w:rPr>
        <w:t xml:space="preserve"> care benefits each was entitled to. </w:t>
      </w:r>
      <w:r w:rsidRPr="00105FFC">
        <w:rPr>
          <w:rFonts w:asciiTheme="minorHAnsi" w:eastAsiaTheme="minorHAnsi" w:hAnsiTheme="minorHAnsi" w:cstheme="minorBidi"/>
        </w:rPr>
        <w:t xml:space="preserve">But with the introduction of the managed care delivery system, and its expansion throughout the state since 1972, the traditional role of FFS </w:t>
      </w:r>
      <w:r w:rsidR="005723F9" w:rsidRPr="00105FFC">
        <w:rPr>
          <w:rFonts w:asciiTheme="minorHAnsi" w:eastAsiaTheme="minorHAnsi" w:hAnsiTheme="minorHAnsi" w:cstheme="minorBidi"/>
        </w:rPr>
        <w:t xml:space="preserve">has evolved. </w:t>
      </w:r>
      <w:r w:rsidRPr="00105FFC">
        <w:rPr>
          <w:rFonts w:asciiTheme="minorHAnsi" w:eastAsiaTheme="minorHAnsi" w:hAnsiTheme="minorHAnsi" w:cstheme="minorBidi"/>
        </w:rPr>
        <w:t xml:space="preserve">  The process of enrolling in a managed care plan, along with the set of services</w:t>
      </w:r>
      <w:r w:rsidR="004E42FD" w:rsidRPr="00105FFC">
        <w:rPr>
          <w:rFonts w:asciiTheme="minorHAnsi" w:eastAsiaTheme="minorHAnsi" w:hAnsiTheme="minorHAnsi" w:cstheme="minorBidi"/>
        </w:rPr>
        <w:t xml:space="preserve"> that</w:t>
      </w:r>
      <w:r w:rsidRPr="00105FFC">
        <w:rPr>
          <w:rFonts w:asciiTheme="minorHAnsi" w:eastAsiaTheme="minorHAnsi" w:hAnsiTheme="minorHAnsi" w:cstheme="minorBidi"/>
        </w:rPr>
        <w:t xml:space="preserve"> plans are contracted to provide, redefined FFS as a system that primarily helps facilitate plan enrollment, </w:t>
      </w:r>
      <w:r w:rsidR="00137F7B" w:rsidRPr="00105FFC">
        <w:rPr>
          <w:rFonts w:asciiTheme="minorHAnsi" w:eastAsiaTheme="minorHAnsi" w:hAnsiTheme="minorHAnsi" w:cstheme="minorBidi"/>
        </w:rPr>
        <w:t xml:space="preserve">provides coverage to select groups who through policy or other circumstances received health care services through Medi-Cal’s FFS delivery system, </w:t>
      </w:r>
      <w:r w:rsidRPr="00105FFC">
        <w:rPr>
          <w:rFonts w:asciiTheme="minorHAnsi" w:eastAsiaTheme="minorHAnsi" w:hAnsiTheme="minorHAnsi" w:cstheme="minorBidi"/>
        </w:rPr>
        <w:t xml:space="preserve">and one that provides services to groups of individuals entitled to differing sets of benefits not aligned with the scope of services provided by contracted plans.  </w:t>
      </w:r>
    </w:p>
    <w:p w14:paraId="45C01814" w14:textId="77777777" w:rsidR="007A40A7" w:rsidRPr="00105FFC" w:rsidRDefault="007A40A7"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FFS system is now defined by the multitude of dissimilar populations it serves.  In essence, although FFS is conceptually thought of as a single system, in order to understand how access to c</w:t>
      </w:r>
      <w:r w:rsidR="004E42FD" w:rsidRPr="00105FFC">
        <w:rPr>
          <w:rFonts w:asciiTheme="minorHAnsi" w:eastAsiaTheme="minorHAnsi" w:hAnsiTheme="minorHAnsi" w:cstheme="minorBidi"/>
        </w:rPr>
        <w:t>are can accurately be evaluated</w:t>
      </w:r>
      <w:r w:rsidR="00F85796" w:rsidRPr="00105FFC">
        <w:rPr>
          <w:rFonts w:asciiTheme="minorHAnsi" w:eastAsiaTheme="minorHAnsi" w:hAnsiTheme="minorHAnsi" w:cstheme="minorBidi"/>
        </w:rPr>
        <w:t>,</w:t>
      </w:r>
      <w:r w:rsidRPr="00105FFC">
        <w:rPr>
          <w:rFonts w:asciiTheme="minorHAnsi" w:eastAsiaTheme="minorHAnsi" w:hAnsiTheme="minorHAnsi" w:cstheme="minorBidi"/>
        </w:rPr>
        <w:t xml:space="preserve"> FFS must be reimagined as a cl</w:t>
      </w:r>
      <w:r w:rsidR="00A20289" w:rsidRPr="00105FFC">
        <w:rPr>
          <w:rFonts w:asciiTheme="minorHAnsi" w:eastAsiaTheme="minorHAnsi" w:hAnsiTheme="minorHAnsi" w:cstheme="minorBidi"/>
        </w:rPr>
        <w:t>uster of mini-delivery systems</w:t>
      </w:r>
      <w:r w:rsidRPr="00105FFC">
        <w:rPr>
          <w:rFonts w:asciiTheme="minorHAnsi" w:eastAsiaTheme="minorHAnsi" w:hAnsiTheme="minorHAnsi" w:cstheme="minorBidi"/>
        </w:rPr>
        <w:t xml:space="preserve"> serving each unique FFS Medi-Cal subpopulation in different way</w:t>
      </w:r>
      <w:r w:rsidR="00F85796" w:rsidRPr="00105FFC">
        <w:rPr>
          <w:rFonts w:asciiTheme="minorHAnsi" w:eastAsiaTheme="minorHAnsi" w:hAnsiTheme="minorHAnsi" w:cstheme="minorBidi"/>
        </w:rPr>
        <w:t>s</w:t>
      </w:r>
      <w:r w:rsidRPr="00105FFC">
        <w:rPr>
          <w:rFonts w:asciiTheme="minorHAnsi" w:eastAsiaTheme="minorHAnsi" w:hAnsiTheme="minorHAnsi" w:cstheme="minorBidi"/>
        </w:rPr>
        <w:t xml:space="preserve">. These groups not only differ in their characteristics and how they interact with the FFS system, </w:t>
      </w:r>
      <w:r w:rsidR="00A20289" w:rsidRPr="00105FFC">
        <w:rPr>
          <w:rFonts w:asciiTheme="minorHAnsi" w:eastAsiaTheme="minorHAnsi" w:hAnsiTheme="minorHAnsi" w:cstheme="minorBidi"/>
        </w:rPr>
        <w:t>but</w:t>
      </w:r>
      <w:r w:rsidRPr="00105FFC">
        <w:rPr>
          <w:rFonts w:asciiTheme="minorHAnsi" w:eastAsiaTheme="minorHAnsi" w:hAnsiTheme="minorHAnsi" w:cstheme="minorBidi"/>
        </w:rPr>
        <w:t xml:space="preserve"> also exhibit varying </w:t>
      </w:r>
      <w:r w:rsidR="008051EB" w:rsidRPr="00105FFC">
        <w:rPr>
          <w:rFonts w:asciiTheme="minorHAnsi" w:eastAsiaTheme="minorHAnsi" w:hAnsiTheme="minorHAnsi" w:cstheme="minorBidi"/>
        </w:rPr>
        <w:t xml:space="preserve">complexities and </w:t>
      </w:r>
      <w:r w:rsidRPr="00105FFC">
        <w:rPr>
          <w:rFonts w:asciiTheme="minorHAnsi" w:eastAsiaTheme="minorHAnsi" w:hAnsiTheme="minorHAnsi" w:cstheme="minorBidi"/>
        </w:rPr>
        <w:t>limitations with res</w:t>
      </w:r>
      <w:r w:rsidR="00DE5E3B" w:rsidRPr="00105FFC">
        <w:rPr>
          <w:rFonts w:asciiTheme="minorHAnsi" w:eastAsiaTheme="minorHAnsi" w:hAnsiTheme="minorHAnsi" w:cstheme="minorBidi"/>
        </w:rPr>
        <w:t>pect to access analysis (Table 3</w:t>
      </w:r>
      <w:r w:rsidRPr="00105FFC">
        <w:rPr>
          <w:rFonts w:asciiTheme="minorHAnsi" w:eastAsiaTheme="minorHAnsi" w:hAnsiTheme="minorHAnsi" w:cstheme="minorBidi"/>
        </w:rPr>
        <w:t>).</w:t>
      </w:r>
    </w:p>
    <w:p w14:paraId="75687E98" w14:textId="77777777" w:rsidR="007A40A7" w:rsidRPr="00105FFC" w:rsidRDefault="007A40A7">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br w:type="page"/>
      </w:r>
    </w:p>
    <w:p w14:paraId="44CD8A6D" w14:textId="77777777" w:rsidR="007A40A7" w:rsidRPr="00105FFC" w:rsidRDefault="007A40A7" w:rsidP="007A40A7">
      <w:pPr>
        <w:pStyle w:val="Caption"/>
        <w:spacing w:after="0"/>
        <w:rPr>
          <w:rFonts w:asciiTheme="minorHAnsi" w:eastAsiaTheme="minorHAnsi" w:hAnsiTheme="minorHAnsi" w:cstheme="minorBidi"/>
          <w:color w:val="auto"/>
          <w:sz w:val="20"/>
          <w:szCs w:val="20"/>
        </w:rPr>
      </w:pPr>
      <w:bookmarkStart w:id="60" w:name="_Toc458783078"/>
      <w:bookmarkStart w:id="61" w:name="_Toc459285148"/>
      <w:r w:rsidRPr="00105FFC">
        <w:rPr>
          <w:rFonts w:asciiTheme="minorHAnsi" w:hAnsiTheme="minorHAnsi"/>
          <w:color w:val="auto"/>
          <w:sz w:val="20"/>
          <w:szCs w:val="20"/>
        </w:rPr>
        <w:lastRenderedPageBreak/>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3</w:t>
      </w:r>
      <w:r w:rsidRPr="00105FFC">
        <w:rPr>
          <w:rFonts w:asciiTheme="minorHAnsi" w:hAnsiTheme="minorHAnsi"/>
          <w:color w:val="auto"/>
          <w:sz w:val="20"/>
          <w:szCs w:val="20"/>
        </w:rPr>
        <w:fldChar w:fldCharType="end"/>
      </w:r>
      <w:r w:rsidRPr="00105FFC">
        <w:rPr>
          <w:rFonts w:asciiTheme="minorHAnsi" w:eastAsiaTheme="minorHAnsi" w:hAnsiTheme="minorHAnsi" w:cstheme="minorBidi"/>
          <w:color w:val="auto"/>
          <w:sz w:val="20"/>
          <w:szCs w:val="20"/>
        </w:rPr>
        <w:t xml:space="preserve">: </w:t>
      </w:r>
      <w:r w:rsidRPr="00105FFC">
        <w:rPr>
          <w:rFonts w:asciiTheme="minorHAnsi" w:eastAsiaTheme="minorHAnsi" w:hAnsiTheme="minorHAnsi" w:cstheme="minorBidi"/>
          <w:b w:val="0"/>
          <w:color w:val="auto"/>
          <w:sz w:val="20"/>
          <w:szCs w:val="20"/>
        </w:rPr>
        <w:t>FFS</w:t>
      </w:r>
      <w:r w:rsidRPr="00105FFC">
        <w:rPr>
          <w:rFonts w:asciiTheme="minorHAnsi" w:eastAsiaTheme="minorHAnsi" w:hAnsiTheme="minorHAnsi" w:cstheme="minorBidi"/>
          <w:color w:val="auto"/>
          <w:sz w:val="20"/>
          <w:szCs w:val="20"/>
        </w:rPr>
        <w:t xml:space="preserve"> </w:t>
      </w:r>
      <w:r w:rsidRPr="00105FFC">
        <w:rPr>
          <w:rFonts w:asciiTheme="minorHAnsi" w:eastAsiaTheme="minorHAnsi" w:hAnsiTheme="minorHAnsi" w:cstheme="minorBidi"/>
          <w:b w:val="0"/>
          <w:color w:val="auto"/>
          <w:sz w:val="20"/>
          <w:szCs w:val="20"/>
        </w:rPr>
        <w:t>Administrative Categories and Access Limitations</w:t>
      </w:r>
      <w:bookmarkEnd w:id="60"/>
      <w:bookmarkEnd w:id="61"/>
    </w:p>
    <w:tbl>
      <w:tblPr>
        <w:tblStyle w:val="LightGrid-Accent1"/>
        <w:tblW w:w="0" w:type="auto"/>
        <w:tblLook w:val="04A0" w:firstRow="1" w:lastRow="0" w:firstColumn="1" w:lastColumn="0" w:noHBand="0" w:noVBand="1"/>
      </w:tblPr>
      <w:tblGrid>
        <w:gridCol w:w="2088"/>
        <w:gridCol w:w="3780"/>
        <w:gridCol w:w="3708"/>
      </w:tblGrid>
      <w:tr w:rsidR="007A40A7" w:rsidRPr="00105FFC" w14:paraId="7DB5E14F" w14:textId="77777777" w:rsidTr="00073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1C443F28" w14:textId="77777777" w:rsidR="007A40A7" w:rsidRPr="00105FFC" w:rsidRDefault="007A40A7" w:rsidP="00FE1684">
            <w:pPr>
              <w:jc w:val="center"/>
              <w:rPr>
                <w:rFonts w:asciiTheme="minorHAnsi" w:hAnsiTheme="minorHAnsi"/>
                <w:b w:val="0"/>
                <w:sz w:val="22"/>
                <w:szCs w:val="22"/>
              </w:rPr>
            </w:pPr>
            <w:r w:rsidRPr="00105FFC">
              <w:rPr>
                <w:rFonts w:asciiTheme="minorHAnsi" w:hAnsiTheme="minorHAnsi"/>
                <w:sz w:val="22"/>
                <w:szCs w:val="22"/>
              </w:rPr>
              <w:t xml:space="preserve">Administrative </w:t>
            </w:r>
            <w:r w:rsidR="00FE1684" w:rsidRPr="00105FFC">
              <w:rPr>
                <w:rFonts w:asciiTheme="minorHAnsi" w:hAnsiTheme="minorHAnsi"/>
                <w:sz w:val="22"/>
                <w:szCs w:val="22"/>
              </w:rPr>
              <w:t>Subgroup</w:t>
            </w:r>
          </w:p>
        </w:tc>
        <w:tc>
          <w:tcPr>
            <w:tcW w:w="3780" w:type="dxa"/>
            <w:vAlign w:val="center"/>
          </w:tcPr>
          <w:p w14:paraId="0137A6EB" w14:textId="77777777" w:rsidR="007A40A7" w:rsidRPr="00105FFC" w:rsidRDefault="007A40A7" w:rsidP="00D75F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105FFC">
              <w:rPr>
                <w:rFonts w:asciiTheme="minorHAnsi" w:hAnsiTheme="minorHAnsi"/>
                <w:sz w:val="22"/>
                <w:szCs w:val="22"/>
              </w:rPr>
              <w:t>Description of Category</w:t>
            </w:r>
          </w:p>
        </w:tc>
        <w:tc>
          <w:tcPr>
            <w:tcW w:w="3708" w:type="dxa"/>
            <w:vAlign w:val="center"/>
          </w:tcPr>
          <w:p w14:paraId="4F0B407D" w14:textId="77777777" w:rsidR="007A40A7" w:rsidRPr="00105FFC" w:rsidRDefault="007A40A7" w:rsidP="00D75F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105FFC">
              <w:rPr>
                <w:rFonts w:asciiTheme="minorHAnsi" w:hAnsiTheme="minorHAnsi"/>
                <w:sz w:val="22"/>
                <w:szCs w:val="22"/>
              </w:rPr>
              <w:t>General Limitations in Access Analysis</w:t>
            </w:r>
          </w:p>
        </w:tc>
      </w:tr>
      <w:tr w:rsidR="007A40A7" w:rsidRPr="00105FFC" w14:paraId="56578987" w14:textId="77777777" w:rsidTr="007A40A7">
        <w:trPr>
          <w:cnfStyle w:val="000000100000" w:firstRow="0" w:lastRow="0" w:firstColumn="0" w:lastColumn="0" w:oddVBand="0" w:evenVBand="0" w:oddHBand="1" w:evenHBand="0" w:firstRowFirstColumn="0" w:firstRowLastColumn="0" w:lastRowFirstColumn="0" w:lastRowLastColumn="0"/>
          <w:trHeight w:val="2303"/>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4591A090" w14:textId="77777777" w:rsidR="007A40A7" w:rsidRPr="00105FFC" w:rsidRDefault="007A40A7" w:rsidP="00D75F8D">
            <w:pPr>
              <w:jc w:val="center"/>
              <w:rPr>
                <w:rFonts w:asciiTheme="minorHAnsi" w:hAnsiTheme="minorHAnsi"/>
                <w:b w:val="0"/>
                <w:sz w:val="22"/>
                <w:szCs w:val="22"/>
              </w:rPr>
            </w:pPr>
            <w:r w:rsidRPr="00105FFC">
              <w:rPr>
                <w:rFonts w:asciiTheme="minorHAnsi" w:hAnsiTheme="minorHAnsi"/>
                <w:b w:val="0"/>
                <w:sz w:val="22"/>
                <w:szCs w:val="22"/>
              </w:rPr>
              <w:t>Mandatory Managed Care</w:t>
            </w:r>
          </w:p>
        </w:tc>
        <w:tc>
          <w:tcPr>
            <w:tcW w:w="3780" w:type="dxa"/>
            <w:vAlign w:val="center"/>
          </w:tcPr>
          <w:p w14:paraId="7EC9A0BB" w14:textId="77777777" w:rsidR="007A40A7" w:rsidRPr="00105FFC" w:rsidRDefault="00500099" w:rsidP="00D75F8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Individuals</w:t>
            </w:r>
            <w:r w:rsidR="007A40A7" w:rsidRPr="00105FFC">
              <w:rPr>
                <w:rFonts w:asciiTheme="minorHAnsi" w:hAnsiTheme="minorHAnsi"/>
                <w:sz w:val="22"/>
                <w:szCs w:val="22"/>
              </w:rPr>
              <w:t xml:space="preserve"> in aid codes that require enrollment in a managed care plan. They are temporarily placed in FFS while they wait to r</w:t>
            </w:r>
            <w:r w:rsidRPr="00105FFC">
              <w:rPr>
                <w:rFonts w:asciiTheme="minorHAnsi" w:hAnsiTheme="minorHAnsi"/>
                <w:sz w:val="22"/>
                <w:szCs w:val="22"/>
              </w:rPr>
              <w:t>eceive informational</w:t>
            </w:r>
            <w:r w:rsidR="007A40A7" w:rsidRPr="00105FFC">
              <w:rPr>
                <w:rFonts w:asciiTheme="minorHAnsi" w:hAnsiTheme="minorHAnsi"/>
                <w:sz w:val="22"/>
                <w:szCs w:val="22"/>
              </w:rPr>
              <w:t xml:space="preserve"> materials and complete their health</w:t>
            </w:r>
            <w:r w:rsidR="002E5BCA" w:rsidRPr="00105FFC">
              <w:rPr>
                <w:rFonts w:asciiTheme="minorHAnsi" w:hAnsiTheme="minorHAnsi"/>
                <w:sz w:val="22"/>
                <w:szCs w:val="22"/>
              </w:rPr>
              <w:t xml:space="preserve"> plan selection (approximately three</w:t>
            </w:r>
            <w:r w:rsidR="007A40A7" w:rsidRPr="00105FFC">
              <w:rPr>
                <w:rFonts w:asciiTheme="minorHAnsi" w:hAnsiTheme="minorHAnsi"/>
                <w:sz w:val="22"/>
                <w:szCs w:val="22"/>
              </w:rPr>
              <w:t xml:space="preserve"> months).</w:t>
            </w:r>
          </w:p>
        </w:tc>
        <w:tc>
          <w:tcPr>
            <w:tcW w:w="3708" w:type="dxa"/>
            <w:vAlign w:val="center"/>
          </w:tcPr>
          <w:p w14:paraId="18281FC5" w14:textId="77777777" w:rsidR="007A40A7" w:rsidRPr="00105FFC" w:rsidRDefault="007A40A7" w:rsidP="00D75F8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 xml:space="preserve">With individuals only in the FFS system temporarily, it is problematic to interpret access, especially preventative care, because the individual has not had adequate time to interact with the system.    </w:t>
            </w:r>
          </w:p>
        </w:tc>
      </w:tr>
      <w:tr w:rsidR="007A40A7" w:rsidRPr="00105FFC" w14:paraId="08A34EF9" w14:textId="77777777" w:rsidTr="007A40A7">
        <w:trPr>
          <w:cnfStyle w:val="000000010000" w:firstRow="0" w:lastRow="0" w:firstColumn="0" w:lastColumn="0" w:oddVBand="0" w:evenVBand="0" w:oddHBand="0" w:evenHBand="1" w:firstRowFirstColumn="0" w:firstRowLastColumn="0" w:lastRowFirstColumn="0" w:lastRowLastColumn="0"/>
          <w:trHeight w:val="2159"/>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743EC63" w14:textId="77777777" w:rsidR="007A40A7" w:rsidRPr="00105FFC" w:rsidRDefault="002E5BCA" w:rsidP="00D75F8D">
            <w:pPr>
              <w:jc w:val="center"/>
              <w:rPr>
                <w:rFonts w:asciiTheme="minorHAnsi" w:hAnsiTheme="minorHAnsi"/>
                <w:b w:val="0"/>
                <w:sz w:val="22"/>
                <w:szCs w:val="22"/>
              </w:rPr>
            </w:pPr>
            <w:r w:rsidRPr="00105FFC">
              <w:rPr>
                <w:rFonts w:asciiTheme="minorHAnsi" w:hAnsiTheme="minorHAnsi"/>
                <w:b w:val="0"/>
                <w:sz w:val="22"/>
                <w:szCs w:val="22"/>
              </w:rPr>
              <w:t>Restricted-</w:t>
            </w:r>
            <w:r w:rsidR="007A40A7" w:rsidRPr="00105FFC">
              <w:rPr>
                <w:rFonts w:asciiTheme="minorHAnsi" w:hAnsiTheme="minorHAnsi"/>
                <w:b w:val="0"/>
                <w:sz w:val="22"/>
                <w:szCs w:val="22"/>
              </w:rPr>
              <w:t>Scope</w:t>
            </w:r>
          </w:p>
        </w:tc>
        <w:tc>
          <w:tcPr>
            <w:tcW w:w="3780" w:type="dxa"/>
            <w:vAlign w:val="center"/>
          </w:tcPr>
          <w:p w14:paraId="03D084D5" w14:textId="77777777" w:rsidR="007A40A7" w:rsidRPr="00105FFC" w:rsidRDefault="00500099" w:rsidP="00D13725">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Individuals</w:t>
            </w:r>
            <w:r w:rsidR="007A40A7" w:rsidRPr="00105FFC">
              <w:rPr>
                <w:rFonts w:asciiTheme="minorHAnsi" w:hAnsiTheme="minorHAnsi"/>
                <w:sz w:val="22"/>
                <w:szCs w:val="22"/>
              </w:rPr>
              <w:t xml:space="preserve"> in aid codes that restrict benefits. This group primarily con</w:t>
            </w:r>
            <w:r w:rsidRPr="00105FFC">
              <w:rPr>
                <w:rFonts w:asciiTheme="minorHAnsi" w:hAnsiTheme="minorHAnsi"/>
                <w:sz w:val="22"/>
                <w:szCs w:val="22"/>
              </w:rPr>
              <w:t xml:space="preserve">sists of beneficiaries without </w:t>
            </w:r>
            <w:r w:rsidR="00D13725" w:rsidRPr="00105FFC">
              <w:rPr>
                <w:rFonts w:asciiTheme="minorHAnsi" w:hAnsiTheme="minorHAnsi"/>
                <w:sz w:val="22"/>
                <w:szCs w:val="22"/>
              </w:rPr>
              <w:t>SIS</w:t>
            </w:r>
            <w:r w:rsidRPr="00105FFC">
              <w:rPr>
                <w:rFonts w:asciiTheme="minorHAnsi" w:hAnsiTheme="minorHAnsi"/>
                <w:sz w:val="22"/>
                <w:szCs w:val="22"/>
              </w:rPr>
              <w:t xml:space="preserve"> (u</w:t>
            </w:r>
            <w:r w:rsidR="007A40A7" w:rsidRPr="00105FFC">
              <w:rPr>
                <w:rFonts w:asciiTheme="minorHAnsi" w:hAnsiTheme="minorHAnsi"/>
                <w:sz w:val="22"/>
                <w:szCs w:val="22"/>
              </w:rPr>
              <w:t>ndocumented</w:t>
            </w:r>
            <w:r w:rsidRPr="00105FFC">
              <w:rPr>
                <w:rFonts w:asciiTheme="minorHAnsi" w:hAnsiTheme="minorHAnsi"/>
                <w:sz w:val="22"/>
                <w:szCs w:val="22"/>
              </w:rPr>
              <w:t xml:space="preserve"> immigrants</w:t>
            </w:r>
            <w:r w:rsidR="007A40A7" w:rsidRPr="00105FFC">
              <w:rPr>
                <w:rFonts w:asciiTheme="minorHAnsi" w:hAnsiTheme="minorHAnsi"/>
                <w:sz w:val="22"/>
                <w:szCs w:val="22"/>
              </w:rPr>
              <w:t>) who qualify for pregnancy-related and emergency services</w:t>
            </w:r>
            <w:r w:rsidRPr="00105FFC">
              <w:rPr>
                <w:rFonts w:asciiTheme="minorHAnsi" w:hAnsiTheme="minorHAnsi"/>
                <w:sz w:val="22"/>
                <w:szCs w:val="22"/>
              </w:rPr>
              <w:t xml:space="preserve"> only</w:t>
            </w:r>
            <w:r w:rsidR="007A40A7" w:rsidRPr="00105FFC">
              <w:rPr>
                <w:rFonts w:asciiTheme="minorHAnsi" w:hAnsiTheme="minorHAnsi"/>
                <w:sz w:val="22"/>
                <w:szCs w:val="22"/>
              </w:rPr>
              <w:t>.</w:t>
            </w:r>
            <w:r w:rsidR="00CE3128" w:rsidRPr="00105FFC">
              <w:rPr>
                <w:rFonts w:asciiTheme="minorHAnsi" w:hAnsiTheme="minorHAnsi"/>
                <w:sz w:val="22"/>
                <w:szCs w:val="22"/>
              </w:rPr>
              <w:t xml:space="preserve"> Other subpopulations in this category include beneficiaries receiving treatment for specific conditions such as breast and cervical cancer or tuberculosis; and incarcerated individuals who </w:t>
            </w:r>
            <w:r w:rsidR="007F2CBD" w:rsidRPr="00105FFC">
              <w:rPr>
                <w:rFonts w:asciiTheme="minorHAnsi" w:hAnsiTheme="minorHAnsi"/>
                <w:sz w:val="22"/>
                <w:szCs w:val="22"/>
              </w:rPr>
              <w:t>have access to acute hospital inpatient services only.</w:t>
            </w:r>
            <w:r w:rsidR="00CE3128" w:rsidRPr="00105FFC">
              <w:rPr>
                <w:rFonts w:asciiTheme="minorHAnsi" w:hAnsiTheme="minorHAnsi"/>
                <w:sz w:val="22"/>
                <w:szCs w:val="22"/>
              </w:rPr>
              <w:t xml:space="preserve"> </w:t>
            </w:r>
            <w:r w:rsidR="007A40A7" w:rsidRPr="00105FFC">
              <w:rPr>
                <w:rFonts w:asciiTheme="minorHAnsi" w:hAnsiTheme="minorHAnsi"/>
                <w:sz w:val="22"/>
                <w:szCs w:val="22"/>
              </w:rPr>
              <w:t xml:space="preserve"> </w:t>
            </w:r>
          </w:p>
        </w:tc>
        <w:tc>
          <w:tcPr>
            <w:tcW w:w="3708" w:type="dxa"/>
            <w:vAlign w:val="center"/>
          </w:tcPr>
          <w:p w14:paraId="7184A463" w14:textId="77777777" w:rsidR="007A40A7" w:rsidRPr="00105FFC" w:rsidRDefault="007A40A7" w:rsidP="00D75F8D">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Access analyses can only focus on the specific services the individual can receive. As an example, preven</w:t>
            </w:r>
            <w:r w:rsidR="006F24B7" w:rsidRPr="00105FFC">
              <w:rPr>
                <w:rFonts w:asciiTheme="minorHAnsi" w:hAnsiTheme="minorHAnsi"/>
                <w:sz w:val="22"/>
                <w:szCs w:val="22"/>
              </w:rPr>
              <w:t>ta</w:t>
            </w:r>
            <w:r w:rsidRPr="00105FFC">
              <w:rPr>
                <w:rFonts w:asciiTheme="minorHAnsi" w:hAnsiTheme="minorHAnsi"/>
                <w:sz w:val="22"/>
                <w:szCs w:val="22"/>
              </w:rPr>
              <w:t xml:space="preserve">tive care cannot be examined since these beneficiaries </w:t>
            </w:r>
            <w:r w:rsidR="00E03092" w:rsidRPr="00105FFC">
              <w:rPr>
                <w:rFonts w:asciiTheme="minorHAnsi" w:hAnsiTheme="minorHAnsi"/>
                <w:sz w:val="22"/>
                <w:szCs w:val="22"/>
              </w:rPr>
              <w:t xml:space="preserve">generally </w:t>
            </w:r>
            <w:r w:rsidRPr="00105FFC">
              <w:rPr>
                <w:rFonts w:asciiTheme="minorHAnsi" w:hAnsiTheme="minorHAnsi"/>
                <w:sz w:val="22"/>
                <w:szCs w:val="22"/>
              </w:rPr>
              <w:t>do not qualify for prevent</w:t>
            </w:r>
            <w:r w:rsidR="006F24B7" w:rsidRPr="00105FFC">
              <w:rPr>
                <w:rFonts w:asciiTheme="minorHAnsi" w:hAnsiTheme="minorHAnsi"/>
                <w:sz w:val="22"/>
                <w:szCs w:val="22"/>
              </w:rPr>
              <w:t>at</w:t>
            </w:r>
            <w:r w:rsidRPr="00105FFC">
              <w:rPr>
                <w:rFonts w:asciiTheme="minorHAnsi" w:hAnsiTheme="minorHAnsi"/>
                <w:sz w:val="22"/>
                <w:szCs w:val="22"/>
              </w:rPr>
              <w:t xml:space="preserve">ive services.    </w:t>
            </w:r>
          </w:p>
        </w:tc>
      </w:tr>
      <w:tr w:rsidR="007A40A7" w:rsidRPr="00105FFC" w14:paraId="6A49A5AC" w14:textId="77777777" w:rsidTr="007A4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C19543C" w14:textId="77777777" w:rsidR="007A40A7" w:rsidRPr="00105FFC" w:rsidRDefault="007A40A7" w:rsidP="00D75F8D">
            <w:pPr>
              <w:jc w:val="center"/>
              <w:rPr>
                <w:rFonts w:asciiTheme="minorHAnsi" w:hAnsiTheme="minorHAnsi"/>
                <w:b w:val="0"/>
                <w:sz w:val="22"/>
                <w:szCs w:val="22"/>
              </w:rPr>
            </w:pPr>
            <w:r w:rsidRPr="00105FFC">
              <w:rPr>
                <w:rFonts w:asciiTheme="minorHAnsi" w:hAnsiTheme="minorHAnsi"/>
                <w:b w:val="0"/>
                <w:sz w:val="22"/>
                <w:szCs w:val="22"/>
              </w:rPr>
              <w:t>Dual</w:t>
            </w:r>
            <w:r w:rsidR="002E5BCA" w:rsidRPr="00105FFC">
              <w:rPr>
                <w:rFonts w:asciiTheme="minorHAnsi" w:hAnsiTheme="minorHAnsi"/>
                <w:b w:val="0"/>
                <w:sz w:val="22"/>
                <w:szCs w:val="22"/>
              </w:rPr>
              <w:t xml:space="preserve"> Eligible</w:t>
            </w:r>
          </w:p>
        </w:tc>
        <w:tc>
          <w:tcPr>
            <w:tcW w:w="3780" w:type="dxa"/>
            <w:vAlign w:val="center"/>
          </w:tcPr>
          <w:p w14:paraId="72C18152" w14:textId="77777777" w:rsidR="007A40A7" w:rsidRPr="00105FFC" w:rsidRDefault="00500099" w:rsidP="00D75F8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Individuals who</w:t>
            </w:r>
            <w:r w:rsidR="007A40A7" w:rsidRPr="00105FFC">
              <w:rPr>
                <w:rFonts w:asciiTheme="minorHAnsi" w:hAnsiTheme="minorHAnsi"/>
                <w:sz w:val="22"/>
                <w:szCs w:val="22"/>
              </w:rPr>
              <w:t xml:space="preserve"> a</w:t>
            </w:r>
            <w:r w:rsidRPr="00105FFC">
              <w:rPr>
                <w:rFonts w:asciiTheme="minorHAnsi" w:hAnsiTheme="minorHAnsi"/>
                <w:sz w:val="22"/>
                <w:szCs w:val="22"/>
              </w:rPr>
              <w:t>re enrolled in both</w:t>
            </w:r>
            <w:r w:rsidRPr="00105FFC">
              <w:rPr>
                <w:rFonts w:asciiTheme="minorHAnsi" w:hAnsiTheme="minorHAnsi"/>
                <w:sz w:val="22"/>
                <w:szCs w:val="22"/>
              </w:rPr>
              <w:br/>
            </w:r>
            <w:r w:rsidR="007A40A7" w:rsidRPr="00105FFC">
              <w:rPr>
                <w:rFonts w:asciiTheme="minorHAnsi" w:hAnsiTheme="minorHAnsi"/>
                <w:sz w:val="22"/>
                <w:szCs w:val="22"/>
              </w:rPr>
              <w:t xml:space="preserve">Medi-Cal and Medicare. </w:t>
            </w:r>
          </w:p>
        </w:tc>
        <w:tc>
          <w:tcPr>
            <w:tcW w:w="3708" w:type="dxa"/>
            <w:vAlign w:val="center"/>
          </w:tcPr>
          <w:p w14:paraId="048B2CFD" w14:textId="77777777" w:rsidR="007A40A7" w:rsidRPr="00105FFC" w:rsidRDefault="007A40A7" w:rsidP="00D75F8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Medicare is the primary payer, responsible for directing care for the individual. Medi-Cal on</w:t>
            </w:r>
            <w:r w:rsidR="006F24B7" w:rsidRPr="00105FFC">
              <w:rPr>
                <w:rFonts w:asciiTheme="minorHAnsi" w:hAnsiTheme="minorHAnsi"/>
                <w:sz w:val="22"/>
                <w:szCs w:val="22"/>
              </w:rPr>
              <w:t>ly provides co-payment</w:t>
            </w:r>
            <w:r w:rsidR="00CE3128" w:rsidRPr="00105FFC">
              <w:rPr>
                <w:rFonts w:asciiTheme="minorHAnsi" w:hAnsiTheme="minorHAnsi"/>
                <w:sz w:val="22"/>
                <w:szCs w:val="22"/>
              </w:rPr>
              <w:t xml:space="preserve"> and cost-sharing coverage, </w:t>
            </w:r>
            <w:r w:rsidR="006F24B7" w:rsidRPr="00105FFC">
              <w:rPr>
                <w:rFonts w:asciiTheme="minorHAnsi" w:hAnsiTheme="minorHAnsi"/>
                <w:sz w:val="22"/>
                <w:szCs w:val="22"/>
              </w:rPr>
              <w:t>long-</w:t>
            </w:r>
            <w:r w:rsidRPr="00105FFC">
              <w:rPr>
                <w:rFonts w:asciiTheme="minorHAnsi" w:hAnsiTheme="minorHAnsi"/>
                <w:sz w:val="22"/>
                <w:szCs w:val="22"/>
              </w:rPr>
              <w:t>term care services</w:t>
            </w:r>
            <w:r w:rsidR="00CE3128" w:rsidRPr="00105FFC">
              <w:rPr>
                <w:rFonts w:asciiTheme="minorHAnsi" w:hAnsiTheme="minorHAnsi"/>
                <w:sz w:val="22"/>
                <w:szCs w:val="22"/>
              </w:rPr>
              <w:t>, and wrap-around services that are not part of the Medicare benefits package but are covered by Medi-Cal</w:t>
            </w:r>
            <w:r w:rsidRPr="00105FFC">
              <w:rPr>
                <w:rFonts w:asciiTheme="minorHAnsi" w:hAnsiTheme="minorHAnsi"/>
                <w:sz w:val="22"/>
                <w:szCs w:val="22"/>
              </w:rPr>
              <w:t xml:space="preserve">. As a result, examining utilization and access for these individuals would be a reflection of the Medicare system rather than Medi-Cal.    </w:t>
            </w:r>
          </w:p>
        </w:tc>
      </w:tr>
      <w:tr w:rsidR="007A40A7" w:rsidRPr="00105FFC" w14:paraId="680B5609" w14:textId="77777777" w:rsidTr="007A4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665A76E" w14:textId="77777777" w:rsidR="007A40A7" w:rsidRPr="00105FFC" w:rsidRDefault="002E5BCA" w:rsidP="00D75F8D">
            <w:pPr>
              <w:jc w:val="center"/>
              <w:rPr>
                <w:rFonts w:asciiTheme="minorHAnsi" w:hAnsiTheme="minorHAnsi"/>
                <w:b w:val="0"/>
                <w:sz w:val="22"/>
                <w:szCs w:val="22"/>
              </w:rPr>
            </w:pPr>
            <w:r w:rsidRPr="00105FFC">
              <w:rPr>
                <w:rFonts w:asciiTheme="minorHAnsi" w:hAnsiTheme="minorHAnsi"/>
                <w:b w:val="0"/>
                <w:sz w:val="22"/>
                <w:szCs w:val="22"/>
              </w:rPr>
              <w:t>Share-of-</w:t>
            </w:r>
            <w:r w:rsidR="007A40A7" w:rsidRPr="00105FFC">
              <w:rPr>
                <w:rFonts w:asciiTheme="minorHAnsi" w:hAnsiTheme="minorHAnsi"/>
                <w:b w:val="0"/>
                <w:sz w:val="22"/>
                <w:szCs w:val="22"/>
              </w:rPr>
              <w:t>Cost (SOC)</w:t>
            </w:r>
          </w:p>
        </w:tc>
        <w:tc>
          <w:tcPr>
            <w:tcW w:w="3780" w:type="dxa"/>
            <w:vAlign w:val="center"/>
          </w:tcPr>
          <w:p w14:paraId="24D4E8AD" w14:textId="77777777" w:rsidR="007A40A7" w:rsidRPr="00105FFC" w:rsidRDefault="00500099" w:rsidP="00D75F8D">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 xml:space="preserve">Individuals who </w:t>
            </w:r>
            <w:r w:rsidR="00F14CC3" w:rsidRPr="00105FFC">
              <w:rPr>
                <w:rFonts w:asciiTheme="minorHAnsi" w:hAnsiTheme="minorHAnsi"/>
                <w:sz w:val="22"/>
                <w:szCs w:val="22"/>
              </w:rPr>
              <w:t>must pay a specified amount out-of-</w:t>
            </w:r>
            <w:r w:rsidR="007A40A7" w:rsidRPr="00105FFC">
              <w:rPr>
                <w:rFonts w:asciiTheme="minorHAnsi" w:hAnsiTheme="minorHAnsi"/>
                <w:sz w:val="22"/>
                <w:szCs w:val="22"/>
              </w:rPr>
              <w:t xml:space="preserve">pocket before they are entitled to Medi-Cal benefits. The SOC requirement resets each month.    </w:t>
            </w:r>
          </w:p>
        </w:tc>
        <w:tc>
          <w:tcPr>
            <w:tcW w:w="3708" w:type="dxa"/>
            <w:vAlign w:val="center"/>
          </w:tcPr>
          <w:p w14:paraId="16EEF3CA" w14:textId="77777777" w:rsidR="007A40A7" w:rsidRPr="00105FFC" w:rsidRDefault="007A40A7" w:rsidP="00762A2D">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 xml:space="preserve">These individuals may have experienced periods of sporadic Medi-Cal enrollment depending on whether or not they fulfilled their SOC, and therefore may not have had a period of meaningful exposure to </w:t>
            </w:r>
            <w:r w:rsidR="006F24B7" w:rsidRPr="00105FFC">
              <w:rPr>
                <w:rFonts w:asciiTheme="minorHAnsi" w:hAnsiTheme="minorHAnsi"/>
                <w:sz w:val="22"/>
                <w:szCs w:val="22"/>
              </w:rPr>
              <w:t xml:space="preserve">the </w:t>
            </w:r>
            <w:r w:rsidRPr="00105FFC">
              <w:rPr>
                <w:rFonts w:asciiTheme="minorHAnsi" w:hAnsiTheme="minorHAnsi"/>
                <w:sz w:val="22"/>
                <w:szCs w:val="22"/>
              </w:rPr>
              <w:t>FFS</w:t>
            </w:r>
            <w:r w:rsidR="006F24B7" w:rsidRPr="00105FFC">
              <w:rPr>
                <w:rFonts w:asciiTheme="minorHAnsi" w:hAnsiTheme="minorHAnsi"/>
                <w:sz w:val="22"/>
                <w:szCs w:val="22"/>
              </w:rPr>
              <w:t xml:space="preserve"> delivery</w:t>
            </w:r>
            <w:r w:rsidRPr="00105FFC">
              <w:rPr>
                <w:rFonts w:asciiTheme="minorHAnsi" w:hAnsiTheme="minorHAnsi"/>
                <w:sz w:val="22"/>
                <w:szCs w:val="22"/>
              </w:rPr>
              <w:t xml:space="preserve"> system. </w:t>
            </w:r>
            <w:r w:rsidR="00D75025" w:rsidRPr="00105FFC">
              <w:rPr>
                <w:rFonts w:asciiTheme="minorHAnsi" w:hAnsiTheme="minorHAnsi"/>
                <w:sz w:val="22"/>
                <w:szCs w:val="22"/>
              </w:rPr>
              <w:t>For example, in June of 2015, of the 345,</w:t>
            </w:r>
            <w:r w:rsidR="00762A2D" w:rsidRPr="00105FFC">
              <w:rPr>
                <w:rFonts w:asciiTheme="minorHAnsi" w:hAnsiTheme="minorHAnsi"/>
                <w:sz w:val="22"/>
                <w:szCs w:val="22"/>
              </w:rPr>
              <w:t>092</w:t>
            </w:r>
            <w:r w:rsidR="00D75025" w:rsidRPr="00105FFC">
              <w:rPr>
                <w:rFonts w:asciiTheme="minorHAnsi" w:hAnsiTheme="minorHAnsi"/>
                <w:sz w:val="22"/>
                <w:szCs w:val="22"/>
              </w:rPr>
              <w:t xml:space="preserve"> individuals </w:t>
            </w:r>
            <w:r w:rsidR="00D75025" w:rsidRPr="00105FFC">
              <w:rPr>
                <w:rFonts w:asciiTheme="minorHAnsi" w:hAnsiTheme="minorHAnsi"/>
                <w:sz w:val="22"/>
                <w:szCs w:val="22"/>
              </w:rPr>
              <w:lastRenderedPageBreak/>
              <w:t xml:space="preserve">with a SOC of $1 or more, only </w:t>
            </w:r>
            <w:r w:rsidR="007F2CBD" w:rsidRPr="00105FFC">
              <w:rPr>
                <w:rFonts w:asciiTheme="minorHAnsi" w:hAnsiTheme="minorHAnsi"/>
                <w:sz w:val="22"/>
                <w:szCs w:val="22"/>
              </w:rPr>
              <w:t>7</w:t>
            </w:r>
            <w:r w:rsidR="00D75025" w:rsidRPr="00105FFC">
              <w:rPr>
                <w:rFonts w:asciiTheme="minorHAnsi" w:hAnsiTheme="minorHAnsi"/>
                <w:sz w:val="22"/>
                <w:szCs w:val="22"/>
              </w:rPr>
              <w:t>2,843 people m</w:t>
            </w:r>
            <w:r w:rsidR="007F2CBD" w:rsidRPr="00105FFC">
              <w:rPr>
                <w:rFonts w:asciiTheme="minorHAnsi" w:hAnsiTheme="minorHAnsi"/>
                <w:sz w:val="22"/>
                <w:szCs w:val="22"/>
              </w:rPr>
              <w:t>et their SOC each month.</w:t>
            </w:r>
          </w:p>
        </w:tc>
      </w:tr>
      <w:tr w:rsidR="007A40A7" w:rsidRPr="00105FFC" w14:paraId="4BADFA88" w14:textId="77777777" w:rsidTr="007A4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15F08651" w14:textId="77777777" w:rsidR="007A40A7" w:rsidRPr="00105FFC" w:rsidRDefault="002E5BCA" w:rsidP="00D75F8D">
            <w:pPr>
              <w:jc w:val="center"/>
              <w:rPr>
                <w:rFonts w:asciiTheme="minorHAnsi" w:hAnsiTheme="minorHAnsi"/>
                <w:b w:val="0"/>
                <w:sz w:val="22"/>
                <w:szCs w:val="22"/>
              </w:rPr>
            </w:pPr>
            <w:r w:rsidRPr="00105FFC">
              <w:rPr>
                <w:rFonts w:asciiTheme="minorHAnsi" w:hAnsiTheme="minorHAnsi"/>
                <w:b w:val="0"/>
                <w:sz w:val="22"/>
                <w:szCs w:val="22"/>
              </w:rPr>
              <w:lastRenderedPageBreak/>
              <w:t>FFS Full-Scope</w:t>
            </w:r>
            <w:r w:rsidRPr="00105FFC">
              <w:rPr>
                <w:rFonts w:asciiTheme="minorHAnsi" w:hAnsiTheme="minorHAnsi"/>
                <w:b w:val="0"/>
                <w:sz w:val="22"/>
                <w:szCs w:val="22"/>
              </w:rPr>
              <w:br/>
              <w:t>Medi-Cal Only</w:t>
            </w:r>
            <w:r w:rsidRPr="00105FFC">
              <w:rPr>
                <w:rFonts w:asciiTheme="minorHAnsi" w:hAnsiTheme="minorHAnsi"/>
                <w:b w:val="0"/>
                <w:sz w:val="22"/>
                <w:szCs w:val="22"/>
              </w:rPr>
              <w:br/>
            </w:r>
            <w:r w:rsidR="007A40A7" w:rsidRPr="00105FFC">
              <w:rPr>
                <w:rFonts w:asciiTheme="minorHAnsi" w:hAnsiTheme="minorHAnsi"/>
                <w:b w:val="0"/>
                <w:sz w:val="22"/>
                <w:szCs w:val="22"/>
              </w:rPr>
              <w:t>(No SOC, No</w:t>
            </w:r>
            <w:r w:rsidRPr="00105FFC">
              <w:rPr>
                <w:rFonts w:asciiTheme="minorHAnsi" w:hAnsiTheme="minorHAnsi"/>
                <w:b w:val="0"/>
                <w:sz w:val="22"/>
                <w:szCs w:val="22"/>
              </w:rPr>
              <w:t>n-</w:t>
            </w:r>
            <w:r w:rsidR="007A40A7" w:rsidRPr="00105FFC">
              <w:rPr>
                <w:rFonts w:asciiTheme="minorHAnsi" w:hAnsiTheme="minorHAnsi"/>
                <w:b w:val="0"/>
                <w:sz w:val="22"/>
                <w:szCs w:val="22"/>
              </w:rPr>
              <w:t>Dual)</w:t>
            </w:r>
          </w:p>
        </w:tc>
        <w:tc>
          <w:tcPr>
            <w:tcW w:w="3780" w:type="dxa"/>
            <w:vAlign w:val="center"/>
          </w:tcPr>
          <w:p w14:paraId="475D8C3F" w14:textId="77777777" w:rsidR="007A40A7" w:rsidRPr="00105FFC" w:rsidRDefault="007A40A7" w:rsidP="00543D1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 xml:space="preserve">Individuals entitled to </w:t>
            </w:r>
            <w:r w:rsidR="00543D1A" w:rsidRPr="00105FFC">
              <w:rPr>
                <w:rFonts w:asciiTheme="minorHAnsi" w:hAnsiTheme="minorHAnsi"/>
                <w:sz w:val="22"/>
                <w:szCs w:val="22"/>
              </w:rPr>
              <w:t xml:space="preserve">state </w:t>
            </w:r>
            <w:r w:rsidR="00FE1684" w:rsidRPr="00105FFC">
              <w:rPr>
                <w:rFonts w:asciiTheme="minorHAnsi" w:hAnsiTheme="minorHAnsi"/>
                <w:sz w:val="22"/>
                <w:szCs w:val="22"/>
              </w:rPr>
              <w:t>plan full</w:t>
            </w:r>
            <w:r w:rsidRPr="00105FFC">
              <w:rPr>
                <w:rFonts w:asciiTheme="minorHAnsi" w:hAnsiTheme="minorHAnsi"/>
                <w:sz w:val="22"/>
                <w:szCs w:val="22"/>
              </w:rPr>
              <w:t xml:space="preserve"> scope Medi-Cal benefits, but </w:t>
            </w:r>
            <w:r w:rsidR="006F24B7" w:rsidRPr="00105FFC">
              <w:rPr>
                <w:rFonts w:asciiTheme="minorHAnsi" w:hAnsiTheme="minorHAnsi"/>
                <w:sz w:val="22"/>
                <w:szCs w:val="22"/>
              </w:rPr>
              <w:t xml:space="preserve">who </w:t>
            </w:r>
            <w:r w:rsidRPr="00105FFC">
              <w:rPr>
                <w:rFonts w:asciiTheme="minorHAnsi" w:hAnsiTheme="minorHAnsi"/>
                <w:sz w:val="22"/>
                <w:szCs w:val="22"/>
              </w:rPr>
              <w:t xml:space="preserve">are not required to enroll in a managed care plan and do not have Medicare coverage or a SOC requirement. </w:t>
            </w:r>
          </w:p>
        </w:tc>
        <w:tc>
          <w:tcPr>
            <w:tcW w:w="3708" w:type="dxa"/>
            <w:vAlign w:val="center"/>
          </w:tcPr>
          <w:p w14:paraId="6ADA16EA" w14:textId="77777777" w:rsidR="007A40A7" w:rsidRPr="00105FFC" w:rsidRDefault="006F24B7" w:rsidP="00D75F8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These individuals represent mixed el</w:t>
            </w:r>
            <w:r w:rsidR="007A40A7" w:rsidRPr="00105FFC">
              <w:rPr>
                <w:rFonts w:asciiTheme="minorHAnsi" w:hAnsiTheme="minorHAnsi"/>
                <w:sz w:val="22"/>
                <w:szCs w:val="22"/>
              </w:rPr>
              <w:t>i</w:t>
            </w:r>
            <w:r w:rsidRPr="00105FFC">
              <w:rPr>
                <w:rFonts w:asciiTheme="minorHAnsi" w:hAnsiTheme="minorHAnsi"/>
                <w:sz w:val="22"/>
                <w:szCs w:val="22"/>
              </w:rPr>
              <w:t>gi</w:t>
            </w:r>
            <w:r w:rsidR="007A40A7" w:rsidRPr="00105FFC">
              <w:rPr>
                <w:rFonts w:asciiTheme="minorHAnsi" w:hAnsiTheme="minorHAnsi"/>
                <w:sz w:val="22"/>
                <w:szCs w:val="22"/>
              </w:rPr>
              <w:t>bility pathways, needs, and administrative enrollment options. The heterogeneou</w:t>
            </w:r>
            <w:r w:rsidRPr="00105FFC">
              <w:rPr>
                <w:rFonts w:asciiTheme="minorHAnsi" w:hAnsiTheme="minorHAnsi"/>
                <w:sz w:val="22"/>
                <w:szCs w:val="22"/>
              </w:rPr>
              <w:t>s nature of these groups result</w:t>
            </w:r>
            <w:r w:rsidR="007A40A7" w:rsidRPr="00105FFC">
              <w:rPr>
                <w:rFonts w:asciiTheme="minorHAnsi" w:hAnsiTheme="minorHAnsi"/>
                <w:sz w:val="22"/>
                <w:szCs w:val="22"/>
              </w:rPr>
              <w:t xml:space="preserve"> in small subpopulations that cannot be meaningfully examined individually.  </w:t>
            </w:r>
          </w:p>
        </w:tc>
      </w:tr>
      <w:tr w:rsidR="00661B1F" w:rsidRPr="00105FFC" w14:paraId="613751E2" w14:textId="77777777" w:rsidTr="007A4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C71000E" w14:textId="77777777" w:rsidR="00661B1F" w:rsidRPr="00105FFC" w:rsidRDefault="00661B1F" w:rsidP="00D75F8D">
            <w:pPr>
              <w:jc w:val="center"/>
              <w:rPr>
                <w:rFonts w:asciiTheme="minorHAnsi" w:hAnsiTheme="minorHAnsi"/>
                <w:b w:val="0"/>
                <w:sz w:val="22"/>
                <w:szCs w:val="22"/>
              </w:rPr>
            </w:pPr>
            <w:r w:rsidRPr="00105FFC">
              <w:rPr>
                <w:rFonts w:asciiTheme="minorHAnsi" w:hAnsiTheme="minorHAnsi"/>
                <w:b w:val="0"/>
                <w:sz w:val="22"/>
                <w:szCs w:val="22"/>
              </w:rPr>
              <w:t>Individuals who are determined eligible for Medi-Cal for retroactive months-of-eligibility</w:t>
            </w:r>
          </w:p>
        </w:tc>
        <w:tc>
          <w:tcPr>
            <w:tcW w:w="3780" w:type="dxa"/>
            <w:vAlign w:val="center"/>
          </w:tcPr>
          <w:p w14:paraId="461C1252" w14:textId="77777777" w:rsidR="00661B1F" w:rsidRPr="00105FFC" w:rsidRDefault="00361026" w:rsidP="00D75F8D">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These are individuals are determined eligible for Medi-Cal generally after experiencing a medical event.  Prior to the event, the individual had not applied for Medi-Cal coverage.</w:t>
            </w:r>
          </w:p>
        </w:tc>
        <w:tc>
          <w:tcPr>
            <w:tcW w:w="3708" w:type="dxa"/>
            <w:vAlign w:val="center"/>
          </w:tcPr>
          <w:p w14:paraId="3DF7A9BB" w14:textId="77777777" w:rsidR="00661B1F" w:rsidRPr="00105FFC" w:rsidRDefault="00361026" w:rsidP="00D75F8D">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This population introduced complexities when evaluating health care outcomes, etc.  Medi-Cal’s delivery system generally had no influence on the health event, as they were not eligible for the program until after the health event.</w:t>
            </w:r>
          </w:p>
        </w:tc>
      </w:tr>
    </w:tbl>
    <w:p w14:paraId="224D3AF9" w14:textId="77777777" w:rsidR="007A40A7" w:rsidRPr="00105FFC" w:rsidRDefault="007A40A7" w:rsidP="007A40A7">
      <w:pPr>
        <w:pStyle w:val="Caption"/>
        <w:spacing w:after="0"/>
        <w:rPr>
          <w:rFonts w:asciiTheme="minorHAnsi" w:eastAsiaTheme="minorHAnsi" w:hAnsiTheme="minorHAnsi" w:cstheme="minorBidi"/>
        </w:rPr>
      </w:pPr>
    </w:p>
    <w:p w14:paraId="07DC1D34" w14:textId="77777777" w:rsidR="007A40A7" w:rsidRPr="00105FFC" w:rsidRDefault="007A40A7" w:rsidP="00B25D7D">
      <w:pPr>
        <w:spacing w:line="276" w:lineRule="auto"/>
        <w:rPr>
          <w:rFonts w:asciiTheme="minorHAnsi" w:eastAsiaTheme="minorHAnsi" w:hAnsiTheme="minorHAnsi" w:cstheme="minorBidi"/>
          <w:b/>
          <w:bCs/>
          <w:color w:val="4F81BD" w:themeColor="accent1"/>
          <w:sz w:val="18"/>
          <w:szCs w:val="18"/>
        </w:rPr>
      </w:pPr>
    </w:p>
    <w:p w14:paraId="225916F4" w14:textId="77777777" w:rsidR="00B25D7D" w:rsidRPr="00105FFC" w:rsidRDefault="000D70C9" w:rsidP="00B43BB5">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Looking at FFS enrollment by the administrati</w:t>
      </w:r>
      <w:r w:rsidR="008D2D5D" w:rsidRPr="00105FFC">
        <w:rPr>
          <w:rFonts w:asciiTheme="minorHAnsi" w:eastAsiaTheme="minorHAnsi" w:hAnsiTheme="minorHAnsi" w:cstheme="minorBidi"/>
        </w:rPr>
        <w:t>ve categories defined in Table 3</w:t>
      </w:r>
      <w:r w:rsidRPr="00105FFC">
        <w:rPr>
          <w:rFonts w:asciiTheme="minorHAnsi" w:eastAsiaTheme="minorHAnsi" w:hAnsiTheme="minorHAnsi" w:cstheme="minorBidi"/>
        </w:rPr>
        <w:t xml:space="preserve"> reveals the </w:t>
      </w:r>
      <w:r w:rsidR="00DC53C0" w:rsidRPr="00105FFC">
        <w:rPr>
          <w:rFonts w:asciiTheme="minorHAnsi" w:eastAsiaTheme="minorHAnsi" w:hAnsiTheme="minorHAnsi" w:cstheme="minorBidi"/>
        </w:rPr>
        <w:t xml:space="preserve">various roles </w:t>
      </w:r>
      <w:r w:rsidR="00486512" w:rsidRPr="00105FFC">
        <w:rPr>
          <w:rFonts w:asciiTheme="minorHAnsi" w:eastAsiaTheme="minorHAnsi" w:hAnsiTheme="minorHAnsi" w:cstheme="minorBidi"/>
        </w:rPr>
        <w:t>FFS fills</w:t>
      </w:r>
      <w:r w:rsidR="00DC53C0" w:rsidRPr="00105FFC">
        <w:rPr>
          <w:rFonts w:asciiTheme="minorHAnsi" w:eastAsiaTheme="minorHAnsi" w:hAnsiTheme="minorHAnsi" w:cstheme="minorBidi"/>
        </w:rPr>
        <w:t>. Figure 8</w:t>
      </w:r>
      <w:r w:rsidRPr="00105FFC">
        <w:rPr>
          <w:rFonts w:asciiTheme="minorHAnsi" w:eastAsiaTheme="minorHAnsi" w:hAnsiTheme="minorHAnsi" w:cstheme="minorBidi"/>
        </w:rPr>
        <w:t xml:space="preserve"> reflects</w:t>
      </w:r>
      <w:r w:rsidR="00D85078" w:rsidRPr="00105FFC">
        <w:rPr>
          <w:rFonts w:asciiTheme="minorHAnsi" w:eastAsiaTheme="minorHAnsi" w:hAnsiTheme="minorHAnsi" w:cstheme="minorBidi"/>
        </w:rPr>
        <w:t xml:space="preserve"> enrollment for individuals</w:t>
      </w:r>
      <w:r w:rsidRPr="00105FFC">
        <w:rPr>
          <w:rFonts w:asciiTheme="minorHAnsi" w:eastAsiaTheme="minorHAnsi" w:hAnsiTheme="minorHAnsi" w:cstheme="minorBidi"/>
        </w:rPr>
        <w:t xml:space="preserve"> </w:t>
      </w:r>
      <w:r w:rsidR="00486512" w:rsidRPr="00105FFC">
        <w:rPr>
          <w:rFonts w:asciiTheme="minorHAnsi" w:eastAsiaTheme="minorHAnsi" w:hAnsiTheme="minorHAnsi" w:cstheme="minorBidi"/>
        </w:rPr>
        <w:t xml:space="preserve">who were </w:t>
      </w:r>
      <w:r w:rsidRPr="00105FFC">
        <w:rPr>
          <w:rFonts w:asciiTheme="minorHAnsi" w:eastAsiaTheme="minorHAnsi" w:hAnsiTheme="minorHAnsi" w:cstheme="minorBidi"/>
        </w:rPr>
        <w:t>ever enrolled</w:t>
      </w:r>
      <w:r w:rsidR="00D85078" w:rsidRPr="00105FFC">
        <w:rPr>
          <w:rFonts w:asciiTheme="minorHAnsi" w:eastAsiaTheme="minorHAnsi" w:hAnsiTheme="minorHAnsi" w:cstheme="minorBidi"/>
        </w:rPr>
        <w:t xml:space="preserve"> in FFS</w:t>
      </w:r>
      <w:r w:rsidRPr="00105FFC">
        <w:rPr>
          <w:rFonts w:asciiTheme="minorHAnsi" w:eastAsiaTheme="minorHAnsi" w:hAnsiTheme="minorHAnsi" w:cstheme="minorBidi"/>
        </w:rPr>
        <w:t>, for any dura</w:t>
      </w:r>
      <w:r w:rsidR="00DC53C0" w:rsidRPr="00105FFC">
        <w:rPr>
          <w:rFonts w:asciiTheme="minorHAnsi" w:eastAsiaTheme="minorHAnsi" w:hAnsiTheme="minorHAnsi" w:cstheme="minorBidi"/>
        </w:rPr>
        <w:t xml:space="preserve">tion, throughout 2015. </w:t>
      </w:r>
      <w:r w:rsidRPr="00105FFC">
        <w:rPr>
          <w:rFonts w:asciiTheme="minorHAnsi" w:eastAsiaTheme="minorHAnsi" w:hAnsiTheme="minorHAnsi" w:cstheme="minorBidi"/>
        </w:rPr>
        <w:t>Nearly 60% of individuals who interacted with the FFS system were in aid codes that require enrollment in managed care</w:t>
      </w:r>
      <w:r w:rsidR="00661B1F" w:rsidRPr="00105FFC">
        <w:rPr>
          <w:rFonts w:asciiTheme="minorHAnsi" w:eastAsiaTheme="minorHAnsi" w:hAnsiTheme="minorHAnsi" w:cstheme="minorBidi"/>
        </w:rPr>
        <w:t xml:space="preserve"> and in the process of transitioning to Medi-Cal’s managed care delivery system</w:t>
      </w:r>
      <w:r w:rsidRPr="00105FFC">
        <w:rPr>
          <w:rFonts w:asciiTheme="minorHAnsi" w:eastAsiaTheme="minorHAnsi" w:hAnsiTheme="minorHAnsi" w:cstheme="minorBidi"/>
        </w:rPr>
        <w:t xml:space="preserve">. Another </w:t>
      </w:r>
      <w:r w:rsidR="00D85078" w:rsidRPr="00105FFC">
        <w:rPr>
          <w:rFonts w:asciiTheme="minorHAnsi" w:eastAsiaTheme="minorHAnsi" w:hAnsiTheme="minorHAnsi" w:cstheme="minorBidi"/>
        </w:rPr>
        <w:t>19</w:t>
      </w:r>
      <w:r w:rsidRPr="00105FFC">
        <w:rPr>
          <w:rFonts w:asciiTheme="minorHAnsi" w:eastAsiaTheme="minorHAnsi" w:hAnsiTheme="minorHAnsi" w:cstheme="minorBidi"/>
        </w:rPr>
        <w:t xml:space="preserve">% </w:t>
      </w:r>
      <w:r w:rsidR="00486512" w:rsidRPr="00105FFC">
        <w:rPr>
          <w:rFonts w:asciiTheme="minorHAnsi" w:eastAsiaTheme="minorHAnsi" w:hAnsiTheme="minorHAnsi" w:cstheme="minorBidi"/>
        </w:rPr>
        <w:t>are</w:t>
      </w:r>
      <w:r w:rsidRPr="00105FFC">
        <w:rPr>
          <w:rFonts w:asciiTheme="minorHAnsi" w:eastAsiaTheme="minorHAnsi" w:hAnsiTheme="minorHAnsi" w:cstheme="minorBidi"/>
        </w:rPr>
        <w:t xml:space="preserve"> beneficiaries restricted to</w:t>
      </w:r>
      <w:r w:rsidR="00D85078" w:rsidRPr="00105FFC">
        <w:rPr>
          <w:rFonts w:asciiTheme="minorHAnsi" w:eastAsiaTheme="minorHAnsi" w:hAnsiTheme="minorHAnsi" w:cstheme="minorBidi"/>
        </w:rPr>
        <w:t xml:space="preserve"> </w:t>
      </w:r>
      <w:r w:rsidRPr="00105FFC">
        <w:rPr>
          <w:rFonts w:asciiTheme="minorHAnsi" w:eastAsiaTheme="minorHAnsi" w:hAnsiTheme="minorHAnsi" w:cstheme="minorBidi"/>
        </w:rPr>
        <w:t xml:space="preserve">pregnancy-related and emergency services. Beneficiaries dually eligible for Medi-Cal and Medicare represented just over 10% of the </w:t>
      </w:r>
      <w:r w:rsidR="00B31523" w:rsidRPr="00105FFC">
        <w:rPr>
          <w:rFonts w:asciiTheme="minorHAnsi" w:eastAsiaTheme="minorHAnsi" w:hAnsiTheme="minorHAnsi" w:cstheme="minorBidi"/>
        </w:rPr>
        <w:t>population, and those with a Share-of-Cost (SOC)</w:t>
      </w:r>
      <w:r w:rsidRPr="00105FFC">
        <w:rPr>
          <w:rFonts w:asciiTheme="minorHAnsi" w:eastAsiaTheme="minorHAnsi" w:hAnsiTheme="minorHAnsi" w:cstheme="minorBidi"/>
        </w:rPr>
        <w:t xml:space="preserve"> accounted for less than 1% of all </w:t>
      </w:r>
      <w:r w:rsidR="00D85078" w:rsidRPr="00105FFC">
        <w:rPr>
          <w:rFonts w:asciiTheme="minorHAnsi" w:eastAsiaTheme="minorHAnsi" w:hAnsiTheme="minorHAnsi" w:cstheme="minorBidi"/>
        </w:rPr>
        <w:t>FFS beneficiaries</w:t>
      </w:r>
      <w:r w:rsidRPr="00105FFC">
        <w:rPr>
          <w:rFonts w:asciiTheme="minorHAnsi" w:eastAsiaTheme="minorHAnsi" w:hAnsiTheme="minorHAnsi" w:cstheme="minorBidi"/>
        </w:rPr>
        <w:t>. Finall</w:t>
      </w:r>
      <w:r w:rsidR="00B31523" w:rsidRPr="00105FFC">
        <w:rPr>
          <w:rFonts w:asciiTheme="minorHAnsi" w:eastAsiaTheme="minorHAnsi" w:hAnsiTheme="minorHAnsi" w:cstheme="minorBidi"/>
        </w:rPr>
        <w:t>y, individuals entitled to full-</w:t>
      </w:r>
      <w:r w:rsidRPr="00105FFC">
        <w:rPr>
          <w:rFonts w:asciiTheme="minorHAnsi" w:eastAsiaTheme="minorHAnsi" w:hAnsiTheme="minorHAnsi" w:cstheme="minorBidi"/>
        </w:rPr>
        <w:t>scope Medi-Cal, but without Medi</w:t>
      </w:r>
      <w:r w:rsidR="00D85078" w:rsidRPr="00105FFC">
        <w:rPr>
          <w:rFonts w:asciiTheme="minorHAnsi" w:eastAsiaTheme="minorHAnsi" w:hAnsiTheme="minorHAnsi" w:cstheme="minorBidi"/>
        </w:rPr>
        <w:t>care coverage or a SOC</w:t>
      </w:r>
      <w:r w:rsidRPr="00105FFC">
        <w:rPr>
          <w:rFonts w:asciiTheme="minorHAnsi" w:eastAsiaTheme="minorHAnsi" w:hAnsiTheme="minorHAnsi" w:cstheme="minorBidi"/>
        </w:rPr>
        <w:t xml:space="preserve"> obligation, accounted for approximately 10% of individuals </w:t>
      </w:r>
      <w:r w:rsidR="00D85078" w:rsidRPr="00105FFC">
        <w:rPr>
          <w:rFonts w:asciiTheme="minorHAnsi" w:eastAsiaTheme="minorHAnsi" w:hAnsiTheme="minorHAnsi" w:cstheme="minorBidi"/>
        </w:rPr>
        <w:t>enrolled</w:t>
      </w:r>
      <w:r w:rsidRPr="00105FFC">
        <w:rPr>
          <w:rFonts w:asciiTheme="minorHAnsi" w:eastAsiaTheme="minorHAnsi" w:hAnsiTheme="minorHAnsi" w:cstheme="minorBidi"/>
        </w:rPr>
        <w:t xml:space="preserve"> in FFS</w:t>
      </w:r>
      <w:r w:rsidR="003C3BCE" w:rsidRPr="00105FFC">
        <w:rPr>
          <w:rFonts w:asciiTheme="minorHAnsi" w:eastAsiaTheme="minorHAnsi" w:hAnsiTheme="minorHAnsi" w:cstheme="minorBidi"/>
        </w:rPr>
        <w:t xml:space="preserve"> (Figure 8)</w:t>
      </w:r>
      <w:r w:rsidRPr="00105FFC">
        <w:rPr>
          <w:rFonts w:asciiTheme="minorHAnsi" w:eastAsiaTheme="minorHAnsi" w:hAnsiTheme="minorHAnsi" w:cstheme="minorBidi"/>
        </w:rPr>
        <w:t>.</w:t>
      </w:r>
    </w:p>
    <w:p w14:paraId="4ED257EB" w14:textId="77777777" w:rsidR="008B6377" w:rsidRPr="00105FFC" w:rsidRDefault="00D75F8D" w:rsidP="00B25D7D">
      <w:pPr>
        <w:pStyle w:val="Caption"/>
        <w:spacing w:after="0"/>
        <w:rPr>
          <w:rFonts w:asciiTheme="minorHAnsi" w:eastAsiaTheme="minorHAnsi" w:hAnsiTheme="minorHAnsi" w:cstheme="minorBidi"/>
          <w:b w:val="0"/>
          <w:color w:val="auto"/>
          <w:sz w:val="20"/>
          <w:szCs w:val="20"/>
        </w:rPr>
      </w:pPr>
      <w:bookmarkStart w:id="62" w:name="_Toc458782946"/>
      <w:bookmarkStart w:id="63" w:name="_Toc459285057"/>
      <w:bookmarkStart w:id="64" w:name="_Toc459285248"/>
      <w:bookmarkStart w:id="65" w:name="_Toc459286689"/>
      <w:r w:rsidRPr="00105FFC">
        <w:rPr>
          <w:rFonts w:asciiTheme="minorHAnsi" w:hAnsiTheme="minorHAnsi"/>
          <w:color w:val="auto"/>
          <w:sz w:val="20"/>
          <w:szCs w:val="20"/>
        </w:rPr>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8</w:t>
      </w:r>
      <w:r w:rsidRPr="00105FFC">
        <w:rPr>
          <w:rFonts w:asciiTheme="minorHAnsi" w:hAnsiTheme="minorHAnsi"/>
          <w:color w:val="auto"/>
          <w:sz w:val="20"/>
          <w:szCs w:val="20"/>
        </w:rPr>
        <w:fldChar w:fldCharType="end"/>
      </w:r>
      <w:r w:rsidR="008B6377" w:rsidRPr="00105FFC">
        <w:rPr>
          <w:rFonts w:asciiTheme="minorHAnsi" w:eastAsiaTheme="minorHAnsi" w:hAnsiTheme="minorHAnsi" w:cstheme="minorBidi"/>
          <w:b w:val="0"/>
          <w:color w:val="auto"/>
          <w:sz w:val="20"/>
          <w:szCs w:val="20"/>
        </w:rPr>
        <w:t>:</w:t>
      </w:r>
      <w:r w:rsidR="008B6377" w:rsidRPr="00105FFC">
        <w:rPr>
          <w:rFonts w:asciiTheme="minorHAnsi" w:eastAsiaTheme="minorHAnsi" w:hAnsiTheme="minorHAnsi" w:cstheme="minorBidi"/>
          <w:color w:val="auto"/>
          <w:sz w:val="20"/>
          <w:szCs w:val="20"/>
        </w:rPr>
        <w:t xml:space="preserve"> </w:t>
      </w:r>
      <w:r w:rsidR="008B6377" w:rsidRPr="00105FFC">
        <w:rPr>
          <w:rFonts w:asciiTheme="minorHAnsi" w:eastAsiaTheme="minorHAnsi" w:hAnsiTheme="minorHAnsi" w:cstheme="minorBidi"/>
          <w:b w:val="0"/>
          <w:color w:val="auto"/>
          <w:sz w:val="20"/>
          <w:szCs w:val="20"/>
        </w:rPr>
        <w:t xml:space="preserve">Distribution of </w:t>
      </w:r>
      <w:r w:rsidR="00DC53C0" w:rsidRPr="00105FFC">
        <w:rPr>
          <w:rFonts w:asciiTheme="minorHAnsi" w:eastAsiaTheme="minorHAnsi" w:hAnsiTheme="minorHAnsi" w:cstheme="minorBidi"/>
          <w:b w:val="0"/>
          <w:color w:val="auto"/>
          <w:sz w:val="20"/>
          <w:szCs w:val="20"/>
        </w:rPr>
        <w:t xml:space="preserve">Certified Eligible </w:t>
      </w:r>
      <w:r w:rsidR="00750F0B" w:rsidRPr="00105FFC">
        <w:rPr>
          <w:rFonts w:asciiTheme="minorHAnsi" w:eastAsiaTheme="minorHAnsi" w:hAnsiTheme="minorHAnsi" w:cstheme="minorBidi"/>
          <w:b w:val="0"/>
          <w:color w:val="auto"/>
          <w:sz w:val="20"/>
          <w:szCs w:val="20"/>
        </w:rPr>
        <w:t xml:space="preserve">FFS </w:t>
      </w:r>
      <w:r w:rsidR="00DC53C0" w:rsidRPr="00105FFC">
        <w:rPr>
          <w:rFonts w:asciiTheme="minorHAnsi" w:eastAsiaTheme="minorHAnsi" w:hAnsiTheme="minorHAnsi" w:cstheme="minorBidi"/>
          <w:b w:val="0"/>
          <w:color w:val="auto"/>
          <w:sz w:val="20"/>
          <w:szCs w:val="20"/>
        </w:rPr>
        <w:t>Medi-Ca</w:t>
      </w:r>
      <w:r w:rsidR="00750F0B" w:rsidRPr="00105FFC">
        <w:rPr>
          <w:rFonts w:asciiTheme="minorHAnsi" w:eastAsiaTheme="minorHAnsi" w:hAnsiTheme="minorHAnsi" w:cstheme="minorBidi"/>
          <w:b w:val="0"/>
          <w:color w:val="auto"/>
          <w:sz w:val="20"/>
          <w:szCs w:val="20"/>
        </w:rPr>
        <w:t>l</w:t>
      </w:r>
      <w:r w:rsidR="008B6377" w:rsidRPr="00105FFC">
        <w:rPr>
          <w:rFonts w:asciiTheme="minorHAnsi" w:eastAsiaTheme="minorHAnsi" w:hAnsiTheme="minorHAnsi" w:cstheme="minorBidi"/>
          <w:b w:val="0"/>
          <w:color w:val="auto"/>
          <w:sz w:val="20"/>
          <w:szCs w:val="20"/>
        </w:rPr>
        <w:t xml:space="preserve"> Beneficiaries</w:t>
      </w:r>
      <w:r w:rsidR="00DC53C0" w:rsidRPr="00105FFC">
        <w:rPr>
          <w:rFonts w:asciiTheme="minorHAnsi" w:eastAsiaTheme="minorHAnsi" w:hAnsiTheme="minorHAnsi" w:cstheme="minorBidi"/>
          <w:b w:val="0"/>
          <w:color w:val="auto"/>
          <w:sz w:val="20"/>
          <w:szCs w:val="20"/>
        </w:rPr>
        <w:t xml:space="preserve"> </w:t>
      </w:r>
      <w:r w:rsidR="003C3BCE" w:rsidRPr="00105FFC">
        <w:rPr>
          <w:rFonts w:asciiTheme="minorHAnsi" w:eastAsiaTheme="minorHAnsi" w:hAnsiTheme="minorHAnsi" w:cstheme="minorBidi"/>
          <w:b w:val="0"/>
          <w:color w:val="auto"/>
          <w:sz w:val="20"/>
          <w:szCs w:val="20"/>
        </w:rPr>
        <w:t xml:space="preserve">who were Enrolled at any Point </w:t>
      </w:r>
      <w:r w:rsidR="00DC53C0" w:rsidRPr="00105FFC">
        <w:rPr>
          <w:rFonts w:asciiTheme="minorHAnsi" w:eastAsiaTheme="minorHAnsi" w:hAnsiTheme="minorHAnsi" w:cstheme="minorBidi"/>
          <w:b w:val="0"/>
          <w:color w:val="auto"/>
          <w:sz w:val="20"/>
          <w:szCs w:val="20"/>
        </w:rPr>
        <w:t>in 2015,</w:t>
      </w:r>
      <w:r w:rsidR="008B6377" w:rsidRPr="00105FFC">
        <w:rPr>
          <w:rFonts w:asciiTheme="minorHAnsi" w:eastAsiaTheme="minorHAnsi" w:hAnsiTheme="minorHAnsi" w:cstheme="minorBidi"/>
          <w:b w:val="0"/>
          <w:color w:val="auto"/>
          <w:sz w:val="20"/>
          <w:szCs w:val="20"/>
        </w:rPr>
        <w:t xml:space="preserve"> by Administrative Category</w:t>
      </w:r>
      <w:bookmarkEnd w:id="62"/>
      <w:bookmarkEnd w:id="63"/>
      <w:bookmarkEnd w:id="64"/>
      <w:bookmarkEnd w:id="65"/>
    </w:p>
    <w:p w14:paraId="7683C4EF" w14:textId="77777777" w:rsidR="006944F3" w:rsidRPr="00105FFC" w:rsidRDefault="008B6377" w:rsidP="00B25D7D">
      <w:pPr>
        <w:rPr>
          <w:rFonts w:asciiTheme="minorHAnsi" w:eastAsiaTheme="minorHAnsi" w:hAnsiTheme="minorHAnsi" w:cstheme="minorBidi"/>
          <w:sz w:val="20"/>
          <w:szCs w:val="20"/>
        </w:rPr>
      </w:pPr>
      <w:r w:rsidRPr="00105FFC">
        <w:rPr>
          <w:rFonts w:asciiTheme="minorHAnsi" w:eastAsiaTheme="minorHAnsi" w:hAnsiTheme="minorHAnsi" w:cstheme="minorBidi"/>
          <w:noProof/>
          <w:sz w:val="22"/>
          <w:szCs w:val="22"/>
        </w:rPr>
        <w:lastRenderedPageBreak/>
        <w:drawing>
          <wp:inline distT="0" distB="0" distL="0" distR="0" wp14:anchorId="2037DF18" wp14:editId="1A76715D">
            <wp:extent cx="5943600" cy="2468880"/>
            <wp:effectExtent l="0" t="0" r="0" b="7620"/>
            <wp:docPr id="4" name="Chart 4" descr="Mandatory Managed Care: FFS Beneficiaries 3,866,587 59.9%&#10;&#10;Medicare: FFS Beneficiaries 693,467; Percentage 10.7%&#10;&#10;Share of Cost: FFS Beneficiaries 23,425; Percentage 0.4%&#10;&#10;Restricted Scope: FFS Beneficiaries 1,243,004; Percentage 19.2%&#10;&#10;Remaining FFS Full-Scope Medi-Cal Only with no SOC: FFS Beneficiaries 631,709; Percentage 9.8%&#10;" title="Distribution of Certified Eligible FFS Medi-Cal Beneficiaries who were Enrolled at any Point in 2015, by Administrative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w:t>
      </w:r>
      <w:r w:rsidR="00486512" w:rsidRPr="00105FFC">
        <w:rPr>
          <w:rFonts w:asciiTheme="minorHAnsi" w:eastAsiaTheme="minorHAnsi" w:hAnsiTheme="minorHAnsi" w:cstheme="minorBidi"/>
          <w:sz w:val="16"/>
          <w:szCs w:val="16"/>
        </w:rPr>
        <w:t>r 2015 and extracted in May 2016</w:t>
      </w:r>
      <w:r w:rsidRPr="00105FFC">
        <w:rPr>
          <w:rFonts w:asciiTheme="minorHAnsi" w:eastAsiaTheme="minorHAnsi" w:hAnsiTheme="minorHAnsi" w:cstheme="minorBidi"/>
          <w:sz w:val="16"/>
          <w:szCs w:val="16"/>
        </w:rPr>
        <w:t xml:space="preserve">. </w:t>
      </w:r>
      <w:r w:rsidR="006944F3" w:rsidRPr="00105FFC">
        <w:rPr>
          <w:rFonts w:asciiTheme="minorHAnsi" w:eastAsiaTheme="minorHAnsi" w:hAnsiTheme="minorHAnsi" w:cstheme="minorBidi"/>
          <w:sz w:val="16"/>
          <w:szCs w:val="16"/>
        </w:rPr>
        <w:t>The Share of Cost (SOC) category includes those individuals in a SOC aid code with a SOC of $1 or greater.</w:t>
      </w:r>
      <w:r w:rsidR="006944F3" w:rsidRPr="00105FFC">
        <w:rPr>
          <w:rFonts w:asciiTheme="minorHAnsi" w:eastAsiaTheme="minorHAnsi" w:hAnsiTheme="minorHAnsi" w:cstheme="minorBidi"/>
          <w:sz w:val="20"/>
          <w:szCs w:val="20"/>
        </w:rPr>
        <w:t xml:space="preserve"> </w:t>
      </w:r>
    </w:p>
    <w:p w14:paraId="3826FA9D" w14:textId="77777777" w:rsidR="00B25D7D" w:rsidRPr="00105FFC" w:rsidRDefault="00B25D7D" w:rsidP="00B25D7D">
      <w:pPr>
        <w:spacing w:line="276" w:lineRule="auto"/>
        <w:rPr>
          <w:rFonts w:asciiTheme="minorHAnsi" w:eastAsiaTheme="minorHAnsi" w:hAnsiTheme="minorHAnsi" w:cstheme="minorBidi"/>
        </w:rPr>
      </w:pPr>
    </w:p>
    <w:p w14:paraId="4A692131" w14:textId="77777777" w:rsidR="00D75F8D" w:rsidRPr="00105FFC" w:rsidRDefault="00486512" w:rsidP="00B25D7D">
      <w:pPr>
        <w:spacing w:line="276" w:lineRule="auto"/>
        <w:rPr>
          <w:rFonts w:asciiTheme="minorHAnsi" w:eastAsiaTheme="minorHAnsi" w:hAnsiTheme="minorHAnsi" w:cstheme="minorBidi"/>
        </w:rPr>
      </w:pPr>
      <w:r w:rsidRPr="00105FFC">
        <w:rPr>
          <w:rFonts w:asciiTheme="minorHAnsi" w:eastAsiaTheme="minorHAnsi" w:hAnsiTheme="minorHAnsi" w:cstheme="minorBidi"/>
        </w:rPr>
        <w:t>A discussion of each</w:t>
      </w:r>
      <w:r w:rsidR="00D75F8D" w:rsidRPr="00105FFC">
        <w:rPr>
          <w:rFonts w:asciiTheme="minorHAnsi" w:eastAsiaTheme="minorHAnsi" w:hAnsiTheme="minorHAnsi" w:cstheme="minorBidi"/>
        </w:rPr>
        <w:t xml:space="preserve"> administrative catego</w:t>
      </w:r>
      <w:r w:rsidRPr="00105FFC">
        <w:rPr>
          <w:rFonts w:asciiTheme="minorHAnsi" w:eastAsiaTheme="minorHAnsi" w:hAnsiTheme="minorHAnsi" w:cstheme="minorBidi"/>
        </w:rPr>
        <w:t>ry</w:t>
      </w:r>
      <w:r w:rsidR="00D75F8D" w:rsidRPr="00105FFC">
        <w:rPr>
          <w:rFonts w:asciiTheme="minorHAnsi" w:eastAsiaTheme="minorHAnsi" w:hAnsiTheme="minorHAnsi" w:cstheme="minorBidi"/>
        </w:rPr>
        <w:t xml:space="preserve"> provides additional context that helps inform the unique challenges when considering access in the FFS system. It also elaborates on important factors that DHCS used to guide the methodology for access analyses.</w:t>
      </w:r>
    </w:p>
    <w:p w14:paraId="3E2B2B91" w14:textId="77777777" w:rsidR="00B25D7D" w:rsidRPr="00105FFC" w:rsidRDefault="00B25D7D" w:rsidP="00B25D7D">
      <w:pPr>
        <w:spacing w:line="276" w:lineRule="auto"/>
        <w:rPr>
          <w:rFonts w:asciiTheme="minorHAnsi" w:eastAsiaTheme="minorHAnsi" w:hAnsiTheme="minorHAnsi" w:cstheme="minorBidi"/>
        </w:rPr>
      </w:pPr>
    </w:p>
    <w:p w14:paraId="1933408E" w14:textId="77777777" w:rsidR="008B6377" w:rsidRPr="00105FFC" w:rsidRDefault="008B6377" w:rsidP="00B25D7D">
      <w:pPr>
        <w:pStyle w:val="Heading3"/>
        <w:spacing w:before="0" w:line="276" w:lineRule="auto"/>
        <w:rPr>
          <w:rFonts w:eastAsiaTheme="minorHAnsi"/>
        </w:rPr>
      </w:pPr>
      <w:bookmarkStart w:id="66" w:name="_Toc459287713"/>
      <w:r w:rsidRPr="00105FFC">
        <w:rPr>
          <w:rFonts w:eastAsiaTheme="minorHAnsi"/>
        </w:rPr>
        <w:t>Ma</w:t>
      </w:r>
      <w:r w:rsidR="00D75F8D" w:rsidRPr="00105FFC">
        <w:rPr>
          <w:rFonts w:eastAsiaTheme="minorHAnsi"/>
        </w:rPr>
        <w:t>ndatory Ma</w:t>
      </w:r>
      <w:r w:rsidRPr="00105FFC">
        <w:rPr>
          <w:rFonts w:eastAsiaTheme="minorHAnsi"/>
        </w:rPr>
        <w:t>naged Care</w:t>
      </w:r>
      <w:bookmarkEnd w:id="66"/>
    </w:p>
    <w:p w14:paraId="5E404A1F" w14:textId="77777777" w:rsidR="00B25D7D" w:rsidRPr="00105FFC" w:rsidRDefault="00B25D7D" w:rsidP="00B25D7D">
      <w:pPr>
        <w:rPr>
          <w:rFonts w:asciiTheme="minorHAnsi" w:eastAsiaTheme="minorHAnsi" w:hAnsiTheme="minorHAnsi"/>
        </w:rPr>
      </w:pPr>
    </w:p>
    <w:p w14:paraId="63686C7D" w14:textId="77777777" w:rsidR="00750F0B" w:rsidRPr="00105FFC" w:rsidRDefault="00D75F8D" w:rsidP="002D04DA">
      <w:pPr>
        <w:spacing w:after="120" w:line="276" w:lineRule="auto"/>
        <w:contextualSpacing/>
        <w:rPr>
          <w:rFonts w:asciiTheme="minorHAnsi" w:eastAsiaTheme="minorHAnsi" w:hAnsiTheme="minorHAnsi" w:cstheme="minorBidi"/>
        </w:rPr>
      </w:pPr>
      <w:r w:rsidRPr="00105FFC">
        <w:rPr>
          <w:rFonts w:asciiTheme="minorHAnsi" w:eastAsiaTheme="minorHAnsi" w:hAnsiTheme="minorHAnsi" w:cstheme="minorBidi"/>
        </w:rPr>
        <w:t>When a person first enrolls in Medi-Cal, several factors affect which delivery sy</w:t>
      </w:r>
      <w:r w:rsidR="00750F0B" w:rsidRPr="00105FFC">
        <w:rPr>
          <w:rFonts w:asciiTheme="minorHAnsi" w:eastAsiaTheme="minorHAnsi" w:hAnsiTheme="minorHAnsi" w:cstheme="minorBidi"/>
        </w:rPr>
        <w:t xml:space="preserve">stem they will be enrolled in. </w:t>
      </w:r>
      <w:r w:rsidRPr="00105FFC">
        <w:rPr>
          <w:rFonts w:asciiTheme="minorHAnsi" w:eastAsiaTheme="minorHAnsi" w:hAnsiTheme="minorHAnsi" w:cstheme="minorBidi"/>
        </w:rPr>
        <w:t>Some groups are mandatorily enrol</w:t>
      </w:r>
      <w:r w:rsidR="00750F0B" w:rsidRPr="00105FFC">
        <w:rPr>
          <w:rFonts w:asciiTheme="minorHAnsi" w:eastAsiaTheme="minorHAnsi" w:hAnsiTheme="minorHAnsi" w:cstheme="minorBidi"/>
        </w:rPr>
        <w:t>led in managed care based on a</w:t>
      </w:r>
      <w:r w:rsidRPr="00105FFC">
        <w:rPr>
          <w:rFonts w:asciiTheme="minorHAnsi" w:eastAsiaTheme="minorHAnsi" w:hAnsiTheme="minorHAnsi" w:cstheme="minorBidi"/>
        </w:rPr>
        <w:t xml:space="preserve"> combination of their aid categories (determined by how a beneficiary qualifies for Medi-Cal), their county of residence, and their enrollment status in Medicare</w:t>
      </w:r>
      <w:r w:rsidR="00132BED" w:rsidRPr="00105FFC">
        <w:rPr>
          <w:rFonts w:asciiTheme="minorHAnsi" w:eastAsiaTheme="minorHAnsi" w:hAnsiTheme="minorHAnsi" w:cstheme="minorBidi"/>
        </w:rPr>
        <w:t>.</w:t>
      </w:r>
      <w:r w:rsidRPr="00105FFC">
        <w:rPr>
          <w:rFonts w:asciiTheme="minorHAnsi" w:eastAsiaTheme="minorHAnsi" w:hAnsiTheme="minorHAnsi" w:cstheme="minorBidi"/>
        </w:rPr>
        <w:t xml:space="preserve"> (See </w:t>
      </w:r>
      <w:r w:rsidR="00132BED" w:rsidRPr="00105FFC">
        <w:rPr>
          <w:rFonts w:asciiTheme="minorHAnsi" w:eastAsiaTheme="minorHAnsi" w:hAnsiTheme="minorHAnsi" w:cstheme="minorBidi"/>
        </w:rPr>
        <w:t>Appendix C</w:t>
      </w:r>
      <w:r w:rsidRPr="00105FFC">
        <w:rPr>
          <w:rFonts w:asciiTheme="minorHAnsi" w:eastAsiaTheme="minorHAnsi" w:hAnsiTheme="minorHAnsi" w:cstheme="minorBidi"/>
        </w:rPr>
        <w:t xml:space="preserve"> for a detailed m</w:t>
      </w:r>
      <w:r w:rsidR="00132BED" w:rsidRPr="00105FFC">
        <w:rPr>
          <w:rFonts w:asciiTheme="minorHAnsi" w:eastAsiaTheme="minorHAnsi" w:hAnsiTheme="minorHAnsi" w:cstheme="minorBidi"/>
        </w:rPr>
        <w:t>atrix of aid code enrollment.)</w:t>
      </w:r>
      <w:r w:rsidR="00750F0B" w:rsidRPr="00105FFC">
        <w:rPr>
          <w:rFonts w:asciiTheme="minorHAnsi" w:eastAsiaTheme="minorHAnsi" w:hAnsiTheme="minorHAnsi" w:cstheme="minorBidi"/>
        </w:rPr>
        <w:t xml:space="preserve"> </w:t>
      </w:r>
      <w:r w:rsidRPr="00105FFC">
        <w:rPr>
          <w:rFonts w:asciiTheme="minorHAnsi" w:eastAsiaTheme="minorHAnsi" w:hAnsiTheme="minorHAnsi" w:cstheme="minorBidi"/>
        </w:rPr>
        <w:t xml:space="preserve">This group accounted for 78% of all </w:t>
      </w:r>
      <w:r w:rsidR="00750F0B" w:rsidRPr="00105FFC">
        <w:rPr>
          <w:rFonts w:asciiTheme="minorHAnsi" w:eastAsiaTheme="minorHAnsi" w:hAnsiTheme="minorHAnsi" w:cstheme="minorBidi"/>
        </w:rPr>
        <w:t>certified eligible beneficiaries</w:t>
      </w:r>
      <w:r w:rsidRPr="00105FFC">
        <w:rPr>
          <w:rFonts w:asciiTheme="minorHAnsi" w:eastAsiaTheme="minorHAnsi" w:hAnsiTheme="minorHAnsi" w:cstheme="minorBidi"/>
        </w:rPr>
        <w:t xml:space="preserve"> to ever enroll in Medi-Cal in 2015 (Figure 9).</w:t>
      </w:r>
    </w:p>
    <w:p w14:paraId="3816E076" w14:textId="77777777" w:rsidR="008B6377" w:rsidRPr="00105FFC" w:rsidRDefault="003E0D4C" w:rsidP="001A3F08">
      <w:pPr>
        <w:pStyle w:val="Caption"/>
        <w:spacing w:after="0"/>
        <w:rPr>
          <w:rFonts w:asciiTheme="minorHAnsi" w:eastAsiaTheme="minorHAnsi" w:hAnsiTheme="minorHAnsi" w:cstheme="minorBidi"/>
          <w:color w:val="auto"/>
          <w:sz w:val="20"/>
          <w:szCs w:val="20"/>
        </w:rPr>
      </w:pPr>
      <w:bookmarkStart w:id="67" w:name="_Toc458782947"/>
      <w:bookmarkStart w:id="68" w:name="_Toc459285058"/>
      <w:bookmarkStart w:id="69" w:name="_Toc459285249"/>
      <w:bookmarkStart w:id="70" w:name="_Toc459286690"/>
      <w:r w:rsidRPr="00105FFC">
        <w:rPr>
          <w:rFonts w:asciiTheme="minorHAnsi" w:hAnsiTheme="minorHAnsi"/>
          <w:color w:val="auto"/>
          <w:sz w:val="20"/>
          <w:szCs w:val="20"/>
        </w:rPr>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9</w:t>
      </w:r>
      <w:r w:rsidRPr="00105FFC">
        <w:rPr>
          <w:rFonts w:asciiTheme="minorHAnsi" w:hAnsiTheme="minorHAnsi"/>
          <w:color w:val="auto"/>
          <w:sz w:val="20"/>
          <w:szCs w:val="20"/>
        </w:rPr>
        <w:fldChar w:fldCharType="end"/>
      </w:r>
      <w:r w:rsidR="008B6377" w:rsidRPr="00105FFC">
        <w:rPr>
          <w:rFonts w:asciiTheme="minorHAnsi" w:eastAsiaTheme="minorHAnsi" w:hAnsiTheme="minorHAnsi" w:cstheme="minorBidi"/>
          <w:b w:val="0"/>
          <w:color w:val="auto"/>
          <w:sz w:val="20"/>
          <w:szCs w:val="20"/>
        </w:rPr>
        <w:t>:</w:t>
      </w:r>
      <w:r w:rsidR="008B6377" w:rsidRPr="00105FFC">
        <w:rPr>
          <w:rFonts w:asciiTheme="minorHAnsi" w:eastAsiaTheme="minorHAnsi" w:hAnsiTheme="minorHAnsi" w:cstheme="minorBidi"/>
          <w:color w:val="auto"/>
          <w:sz w:val="20"/>
          <w:szCs w:val="20"/>
        </w:rPr>
        <w:t xml:space="preserve"> </w:t>
      </w:r>
      <w:r w:rsidR="008B6377" w:rsidRPr="00105FFC">
        <w:rPr>
          <w:rFonts w:asciiTheme="minorHAnsi" w:eastAsiaTheme="minorHAnsi" w:hAnsiTheme="minorHAnsi" w:cstheme="minorBidi"/>
          <w:b w:val="0"/>
          <w:color w:val="auto"/>
          <w:sz w:val="20"/>
          <w:szCs w:val="20"/>
        </w:rPr>
        <w:t>Dis</w:t>
      </w:r>
      <w:r w:rsidR="00750F0B" w:rsidRPr="00105FFC">
        <w:rPr>
          <w:rFonts w:asciiTheme="minorHAnsi" w:eastAsiaTheme="minorHAnsi" w:hAnsiTheme="minorHAnsi" w:cstheme="minorBidi"/>
          <w:b w:val="0"/>
          <w:color w:val="auto"/>
          <w:sz w:val="20"/>
          <w:szCs w:val="20"/>
        </w:rPr>
        <w:t xml:space="preserve">tribution of Certified Eligible FFS Medi-Cal </w:t>
      </w:r>
      <w:r w:rsidR="008B6377" w:rsidRPr="00105FFC">
        <w:rPr>
          <w:rFonts w:asciiTheme="minorHAnsi" w:eastAsiaTheme="minorHAnsi" w:hAnsiTheme="minorHAnsi" w:cstheme="minorBidi"/>
          <w:b w:val="0"/>
          <w:color w:val="auto"/>
          <w:sz w:val="20"/>
          <w:szCs w:val="20"/>
        </w:rPr>
        <w:t>Beneficiaries</w:t>
      </w:r>
      <w:r w:rsidR="00750F0B" w:rsidRPr="00105FFC">
        <w:rPr>
          <w:rFonts w:asciiTheme="minorHAnsi" w:eastAsiaTheme="minorHAnsi" w:hAnsiTheme="minorHAnsi" w:cstheme="minorBidi"/>
          <w:b w:val="0"/>
          <w:color w:val="auto"/>
          <w:sz w:val="20"/>
          <w:szCs w:val="20"/>
        </w:rPr>
        <w:t xml:space="preserve"> in 2015,</w:t>
      </w:r>
      <w:r w:rsidR="008B6377" w:rsidRPr="00105FFC">
        <w:rPr>
          <w:rFonts w:asciiTheme="minorHAnsi" w:eastAsiaTheme="minorHAnsi" w:hAnsiTheme="minorHAnsi" w:cstheme="minorBidi"/>
          <w:b w:val="0"/>
          <w:color w:val="auto"/>
          <w:sz w:val="20"/>
          <w:szCs w:val="20"/>
        </w:rPr>
        <w:t xml:space="preserve"> by Managed Care Requirements</w:t>
      </w:r>
      <w:bookmarkEnd w:id="67"/>
      <w:bookmarkEnd w:id="68"/>
      <w:bookmarkEnd w:id="69"/>
      <w:bookmarkEnd w:id="70"/>
    </w:p>
    <w:p w14:paraId="60ADDBAB" w14:textId="77777777" w:rsidR="003E0D4C" w:rsidRPr="00105FFC" w:rsidRDefault="008B6377" w:rsidP="001A3F08">
      <w:pPr>
        <w:rPr>
          <w:rFonts w:asciiTheme="minorHAnsi" w:eastAsiaTheme="minorHAnsi" w:hAnsiTheme="minorHAnsi" w:cstheme="minorBidi"/>
          <w:sz w:val="20"/>
          <w:szCs w:val="20"/>
        </w:rPr>
      </w:pPr>
      <w:r w:rsidRPr="00105FFC">
        <w:rPr>
          <w:rFonts w:asciiTheme="minorHAnsi" w:eastAsiaTheme="minorHAnsi" w:hAnsiTheme="minorHAnsi" w:cstheme="minorBidi"/>
          <w:noProof/>
          <w:sz w:val="22"/>
          <w:szCs w:val="22"/>
        </w:rPr>
        <w:lastRenderedPageBreak/>
        <w:drawing>
          <wp:inline distT="0" distB="0" distL="0" distR="0" wp14:anchorId="4CE7C7DD" wp14:editId="72EB4345">
            <wp:extent cx="5943600" cy="2468880"/>
            <wp:effectExtent l="0" t="0" r="0" b="7620"/>
            <wp:docPr id="6" name="Chart 6" descr="Mandatory Managed Care: FFS Beneficiaries 11,634,701; Percentage 78%&#10;&#10;Mandatory FFS: FFS Beneficiaries 1,857,384; Percentage 13%&#10;&#10;Voluntary – Either Managed Care or FFS: FFS Beneficiaries 1,322,000; Percentage 9%&#10;&#10;Other: FFS Beneficiaries 1,782; Percentage &lt;1%&#10;" title="Distribution of Certified Eligible FFS Medi-Cal Beneficiaries in 2015, by Managed Care Require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w:t>
      </w:r>
      <w:r w:rsidR="00750F0B" w:rsidRPr="00105FFC">
        <w:rPr>
          <w:rFonts w:asciiTheme="minorHAnsi" w:eastAsiaTheme="minorHAnsi" w:hAnsiTheme="minorHAnsi" w:cstheme="minorBidi"/>
          <w:sz w:val="16"/>
          <w:szCs w:val="16"/>
        </w:rPr>
        <w:t>r 2015 and extracted in May 2016</w:t>
      </w:r>
      <w:r w:rsidRPr="00105FFC">
        <w:rPr>
          <w:rFonts w:asciiTheme="minorHAnsi" w:eastAsiaTheme="minorHAnsi" w:hAnsiTheme="minorHAnsi" w:cstheme="minorBidi"/>
          <w:sz w:val="16"/>
          <w:szCs w:val="16"/>
        </w:rPr>
        <w:t>.</w:t>
      </w:r>
      <w:r w:rsidRPr="00105FFC">
        <w:rPr>
          <w:rFonts w:asciiTheme="minorHAnsi" w:eastAsiaTheme="minorHAnsi" w:hAnsiTheme="minorHAnsi" w:cstheme="minorBidi"/>
          <w:sz w:val="20"/>
          <w:szCs w:val="20"/>
        </w:rPr>
        <w:t xml:space="preserve"> </w:t>
      </w:r>
    </w:p>
    <w:p w14:paraId="08D10FEF" w14:textId="77777777" w:rsidR="001A3F08" w:rsidRPr="00105FFC" w:rsidRDefault="001A3F08" w:rsidP="001A3F08">
      <w:pPr>
        <w:rPr>
          <w:rFonts w:asciiTheme="minorHAnsi" w:eastAsiaTheme="minorHAnsi" w:hAnsiTheme="minorHAnsi" w:cs="Tahoma"/>
          <w:sz w:val="20"/>
          <w:szCs w:val="20"/>
        </w:rPr>
      </w:pPr>
    </w:p>
    <w:p w14:paraId="575CEB03" w14:textId="77777777" w:rsidR="00750F0B" w:rsidRPr="00105FFC" w:rsidRDefault="00D75F8D"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Health plan enrollment choices vary by county, both in the number </w:t>
      </w:r>
      <w:r w:rsidR="00750F0B" w:rsidRPr="00105FFC">
        <w:rPr>
          <w:rFonts w:asciiTheme="minorHAnsi" w:eastAsiaTheme="minorHAnsi" w:hAnsiTheme="minorHAnsi" w:cstheme="minorBidi"/>
        </w:rPr>
        <w:t xml:space="preserve">and types </w:t>
      </w:r>
      <w:r w:rsidRPr="00105FFC">
        <w:rPr>
          <w:rFonts w:asciiTheme="minorHAnsi" w:eastAsiaTheme="minorHAnsi" w:hAnsiTheme="minorHAnsi" w:cstheme="minorBidi"/>
        </w:rPr>
        <w:t>of plans available. Some counties, such as Sacramento, have a managed care model that can offer f</w:t>
      </w:r>
      <w:r w:rsidR="00132BED" w:rsidRPr="00105FFC">
        <w:rPr>
          <w:rFonts w:asciiTheme="minorHAnsi" w:eastAsiaTheme="minorHAnsi" w:hAnsiTheme="minorHAnsi" w:cstheme="minorBidi"/>
        </w:rPr>
        <w:t>our or more health plan choices</w:t>
      </w:r>
      <w:r w:rsidRPr="00105FFC">
        <w:rPr>
          <w:rFonts w:asciiTheme="minorHAnsi" w:eastAsiaTheme="minorHAnsi" w:hAnsiTheme="minorHAnsi" w:cstheme="minorBidi"/>
        </w:rPr>
        <w:t>. Other counties, such San Mateo, have a single Medi-Cal managed care plan. Regardless of the number of health plan choices an individual may have, when they become eligible in an aid code requiring managed care enrollment they must enroll in a health plan. If a plan is not selected, then the state makes an assignment (beneficiaries can switch plans at any time in cou</w:t>
      </w:r>
      <w:r w:rsidR="00750F0B" w:rsidRPr="00105FFC">
        <w:rPr>
          <w:rFonts w:asciiTheme="minorHAnsi" w:eastAsiaTheme="minorHAnsi" w:hAnsiTheme="minorHAnsi" w:cstheme="minorBidi"/>
        </w:rPr>
        <w:t>nties with more than one plan).</w:t>
      </w:r>
    </w:p>
    <w:p w14:paraId="22B0ABDB" w14:textId="77777777" w:rsidR="00D75F8D" w:rsidRPr="00105FFC" w:rsidRDefault="00D75F8D"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A</w:t>
      </w:r>
      <w:r w:rsidR="00750F0B" w:rsidRPr="00105FFC">
        <w:rPr>
          <w:rFonts w:asciiTheme="minorHAnsi" w:eastAsiaTheme="minorHAnsi" w:hAnsiTheme="minorHAnsi" w:cstheme="minorBidi"/>
        </w:rPr>
        <w:t>n individual</w:t>
      </w:r>
      <w:r w:rsidRPr="00105FFC">
        <w:rPr>
          <w:rFonts w:asciiTheme="minorHAnsi" w:eastAsiaTheme="minorHAnsi" w:hAnsiTheme="minorHAnsi" w:cstheme="minorBidi"/>
        </w:rPr>
        <w:t xml:space="preserve"> may request an exemption from being mandatorily enrolled in managed care for certain medical reasons such as an acute condition, pregnancy, terminal illness, the care of a newborn</w:t>
      </w:r>
      <w:r w:rsidR="002201F5" w:rsidRPr="00105FFC">
        <w:rPr>
          <w:rFonts w:asciiTheme="minorHAnsi" w:eastAsiaTheme="minorHAnsi" w:hAnsiTheme="minorHAnsi" w:cstheme="minorBidi"/>
        </w:rPr>
        <w:t xml:space="preserve"> child, and the performance of </w:t>
      </w:r>
      <w:r w:rsidRPr="00105FFC">
        <w:rPr>
          <w:rFonts w:asciiTheme="minorHAnsi" w:eastAsiaTheme="minorHAnsi" w:hAnsiTheme="minorHAnsi" w:cstheme="minorBidi"/>
        </w:rPr>
        <w:t>previously planned surgeries. But in general, outside of the medical exemption process, a beneficiary in a managed care aid code cannot remain in FFS.</w:t>
      </w:r>
      <w:r w:rsidR="001358AE" w:rsidRPr="00105FFC">
        <w:rPr>
          <w:rFonts w:asciiTheme="minorHAnsi" w:eastAsiaTheme="minorHAnsi" w:hAnsiTheme="minorHAnsi" w:cstheme="minorBidi"/>
        </w:rPr>
        <w:t xml:space="preserve">  </w:t>
      </w:r>
    </w:p>
    <w:p w14:paraId="6EBDBB42" w14:textId="77777777" w:rsidR="001A3F08" w:rsidRPr="00105FFC" w:rsidRDefault="001A3F08" w:rsidP="001A3F08">
      <w:pPr>
        <w:spacing w:line="276" w:lineRule="auto"/>
        <w:rPr>
          <w:rFonts w:asciiTheme="minorHAnsi" w:hAnsiTheme="minorHAnsi"/>
          <w:b/>
          <w:bCs/>
          <w:sz w:val="18"/>
          <w:szCs w:val="18"/>
        </w:rPr>
      </w:pPr>
    </w:p>
    <w:p w14:paraId="7FC5D6D9" w14:textId="77777777" w:rsidR="001F2D87" w:rsidRPr="00105FFC" w:rsidRDefault="001F2D87" w:rsidP="001A3F08">
      <w:pPr>
        <w:pStyle w:val="Caption"/>
        <w:spacing w:after="0"/>
        <w:rPr>
          <w:rFonts w:asciiTheme="minorHAnsi" w:eastAsiaTheme="minorHAnsi" w:hAnsiTheme="minorHAnsi" w:cstheme="minorBidi"/>
          <w:b w:val="0"/>
          <w:color w:val="auto"/>
          <w:sz w:val="20"/>
          <w:szCs w:val="20"/>
        </w:rPr>
      </w:pPr>
      <w:bookmarkStart w:id="71" w:name="_Toc458782948"/>
      <w:bookmarkStart w:id="72" w:name="_Toc459285059"/>
      <w:bookmarkStart w:id="73" w:name="_Toc459285250"/>
      <w:bookmarkStart w:id="74" w:name="_Toc459286691"/>
      <w:r w:rsidRPr="00105FFC">
        <w:rPr>
          <w:rFonts w:asciiTheme="minorHAnsi" w:hAnsiTheme="minorHAnsi"/>
          <w:color w:val="auto"/>
          <w:sz w:val="20"/>
          <w:szCs w:val="20"/>
        </w:rPr>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10</w:t>
      </w:r>
      <w:r w:rsidRPr="00105FFC">
        <w:rPr>
          <w:rFonts w:asciiTheme="minorHAnsi" w:hAnsiTheme="minorHAnsi"/>
          <w:color w:val="auto"/>
          <w:sz w:val="20"/>
          <w:szCs w:val="20"/>
        </w:rPr>
        <w:fldChar w:fldCharType="end"/>
      </w:r>
      <w:r w:rsidR="008B6377" w:rsidRPr="00105FFC">
        <w:rPr>
          <w:rFonts w:asciiTheme="minorHAnsi" w:eastAsiaTheme="minorHAnsi" w:hAnsiTheme="minorHAnsi" w:cstheme="minorBidi"/>
          <w:b w:val="0"/>
          <w:color w:val="auto"/>
          <w:sz w:val="20"/>
          <w:szCs w:val="20"/>
        </w:rPr>
        <w:t>:</w:t>
      </w:r>
      <w:r w:rsidR="008B6377" w:rsidRPr="00105FFC">
        <w:rPr>
          <w:rFonts w:asciiTheme="minorHAnsi" w:eastAsiaTheme="minorHAnsi" w:hAnsiTheme="minorHAnsi" w:cstheme="minorBidi"/>
          <w:color w:val="auto"/>
          <w:sz w:val="20"/>
          <w:szCs w:val="20"/>
        </w:rPr>
        <w:t xml:space="preserve"> </w:t>
      </w:r>
      <w:r w:rsidR="008B6377" w:rsidRPr="00105FFC">
        <w:rPr>
          <w:rFonts w:asciiTheme="minorHAnsi" w:eastAsiaTheme="minorHAnsi" w:hAnsiTheme="minorHAnsi" w:cstheme="minorBidi"/>
          <w:b w:val="0"/>
          <w:color w:val="auto"/>
          <w:sz w:val="20"/>
          <w:szCs w:val="20"/>
        </w:rPr>
        <w:t xml:space="preserve">Distribution of </w:t>
      </w:r>
      <w:r w:rsidR="00750F0B" w:rsidRPr="00105FFC">
        <w:rPr>
          <w:rFonts w:asciiTheme="minorHAnsi" w:eastAsiaTheme="minorHAnsi" w:hAnsiTheme="minorHAnsi" w:cstheme="minorBidi"/>
          <w:b w:val="0"/>
          <w:color w:val="auto"/>
          <w:sz w:val="20"/>
          <w:szCs w:val="20"/>
        </w:rPr>
        <w:t>Certified Eligible FFS Medi-Cal</w:t>
      </w:r>
      <w:r w:rsidR="008B6377" w:rsidRPr="00105FFC">
        <w:rPr>
          <w:rFonts w:asciiTheme="minorHAnsi" w:eastAsiaTheme="minorHAnsi" w:hAnsiTheme="minorHAnsi" w:cstheme="minorBidi"/>
          <w:b w:val="0"/>
          <w:color w:val="auto"/>
          <w:sz w:val="20"/>
          <w:szCs w:val="20"/>
        </w:rPr>
        <w:t xml:space="preserve"> Beneficiaries</w:t>
      </w:r>
      <w:r w:rsidR="00750F0B" w:rsidRPr="00105FFC">
        <w:rPr>
          <w:rFonts w:asciiTheme="minorHAnsi" w:eastAsiaTheme="minorHAnsi" w:hAnsiTheme="minorHAnsi" w:cstheme="minorBidi"/>
          <w:b w:val="0"/>
          <w:color w:val="auto"/>
          <w:sz w:val="20"/>
          <w:szCs w:val="20"/>
        </w:rPr>
        <w:t xml:space="preserve"> in 2015,</w:t>
      </w:r>
      <w:r w:rsidR="008B6377" w:rsidRPr="00105FFC">
        <w:rPr>
          <w:rFonts w:asciiTheme="minorHAnsi" w:eastAsiaTheme="minorHAnsi" w:hAnsiTheme="minorHAnsi" w:cstheme="minorBidi"/>
          <w:b w:val="0"/>
          <w:color w:val="auto"/>
          <w:sz w:val="20"/>
          <w:szCs w:val="20"/>
        </w:rPr>
        <w:t xml:space="preserve"> by Number of Months Assigned to FFS</w:t>
      </w:r>
      <w:bookmarkEnd w:id="71"/>
      <w:bookmarkEnd w:id="72"/>
      <w:bookmarkEnd w:id="73"/>
      <w:bookmarkEnd w:id="74"/>
    </w:p>
    <w:p w14:paraId="63D0370B" w14:textId="77777777" w:rsidR="008B6377" w:rsidRPr="00105FFC" w:rsidRDefault="00AD633A" w:rsidP="002D04DA">
      <w:pPr>
        <w:spacing w:after="120"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noProof/>
          <w:sz w:val="22"/>
          <w:szCs w:val="22"/>
        </w:rPr>
        <w:lastRenderedPageBreak/>
        <w:drawing>
          <wp:inline distT="0" distB="0" distL="0" distR="0" wp14:anchorId="4680B40A" wp14:editId="5287B4C8">
            <wp:extent cx="5943600" cy="3223260"/>
            <wp:effectExtent l="0" t="0" r="0" b="15240"/>
            <wp:docPr id="23" name="Chart 23" descr="Month 1: Mandatory Managed Care 3,866,587; Dual 693,467; Share of Cost 23,425; Restricted Scope 1,243,004; FFS Full-Scope Medi-Cal Only (No SOC, No Dual) 631,709&#10;&#10;Month 4: Mandatory Managed Care 1,536,036; Dual 511,991; Share of Cost 9,568; Restricted Scope 1,109,981; FFS Full-Scope Medi-Cal Only (No SOC, No Dual) 278,888&#10;&#10;Month 6: Mandatory Managed Care 903,614; Dual 420,513; Share of Cost 7,171; Restricted Scope 1,030,640; FFS Full-Scope Medi-Cal Only (No SOC, No Dual) 231,028&#10;&#10;Month 11: Mandatory Managed Care 400,578; Dual 324,429; Share of Cost 3,875; Restricted Scope 816,664; FFS Full-Scope Medi-Cal Only (No SOC, No Dual) 167,664&#10;" title="Distribution of Certified Eligible FFS Medi-Cal Beneficiaries in 2015, by Number of Months Assigned to FF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DC96B5" w14:textId="77777777" w:rsidR="008B6377" w:rsidRPr="00105FFC" w:rsidRDefault="008B6377" w:rsidP="001A3F08">
      <w:pPr>
        <w:rPr>
          <w:rFonts w:asciiTheme="minorHAnsi" w:eastAsiaTheme="minorHAnsi" w:hAnsiTheme="minorHAnsi" w:cs="Tahoma"/>
          <w:sz w:val="16"/>
          <w:szCs w:val="16"/>
        </w:rPr>
      </w:pP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w:t>
      </w:r>
      <w:r w:rsidR="00750F0B" w:rsidRPr="00105FFC">
        <w:rPr>
          <w:rFonts w:asciiTheme="minorHAnsi" w:eastAsiaTheme="minorHAnsi" w:hAnsiTheme="minorHAnsi" w:cstheme="minorBidi"/>
          <w:sz w:val="16"/>
          <w:szCs w:val="16"/>
        </w:rPr>
        <w:t>r 2015 and extracted in May 2016</w:t>
      </w:r>
      <w:r w:rsidRPr="00105FFC">
        <w:rPr>
          <w:rFonts w:asciiTheme="minorHAnsi" w:eastAsiaTheme="minorHAnsi" w:hAnsiTheme="minorHAnsi" w:cstheme="minorBidi"/>
          <w:sz w:val="16"/>
          <w:szCs w:val="16"/>
        </w:rPr>
        <w:t xml:space="preserve">. </w:t>
      </w:r>
    </w:p>
    <w:p w14:paraId="3A8E854E" w14:textId="77777777" w:rsidR="001A3F08" w:rsidRPr="00105FFC" w:rsidRDefault="001A3F08" w:rsidP="001A3F08">
      <w:pPr>
        <w:spacing w:line="276" w:lineRule="auto"/>
        <w:contextualSpacing/>
        <w:rPr>
          <w:rFonts w:asciiTheme="minorHAnsi" w:eastAsiaTheme="minorHAnsi" w:hAnsiTheme="minorHAnsi" w:cstheme="minorBidi"/>
        </w:rPr>
      </w:pPr>
    </w:p>
    <w:p w14:paraId="089CDC3A" w14:textId="77777777" w:rsidR="00D75F8D" w:rsidRPr="00105FFC" w:rsidRDefault="00D75F8D" w:rsidP="002D04DA">
      <w:pPr>
        <w:spacing w:after="120" w:line="276" w:lineRule="auto"/>
        <w:contextualSpacing/>
        <w:rPr>
          <w:rFonts w:asciiTheme="minorHAnsi" w:eastAsiaTheme="minorHAnsi" w:hAnsiTheme="minorHAnsi" w:cstheme="minorBidi"/>
        </w:rPr>
      </w:pPr>
      <w:r w:rsidRPr="00105FFC">
        <w:rPr>
          <w:rFonts w:asciiTheme="minorHAnsi" w:eastAsiaTheme="minorHAnsi" w:hAnsiTheme="minorHAnsi" w:cstheme="minorBidi"/>
        </w:rPr>
        <w:t xml:space="preserve">In 2015, </w:t>
      </w:r>
      <w:r w:rsidR="00750F0B" w:rsidRPr="00105FFC">
        <w:rPr>
          <w:rFonts w:asciiTheme="minorHAnsi" w:eastAsiaTheme="minorHAnsi" w:hAnsiTheme="minorHAnsi" w:cstheme="minorBidi"/>
        </w:rPr>
        <w:t>more than</w:t>
      </w:r>
      <w:r w:rsidRPr="00105FFC">
        <w:rPr>
          <w:rFonts w:asciiTheme="minorHAnsi" w:eastAsiaTheme="minorHAnsi" w:hAnsiTheme="minorHAnsi" w:cstheme="minorBidi"/>
        </w:rPr>
        <w:t xml:space="preserve"> 3.8 million </w:t>
      </w:r>
      <w:r w:rsidR="003D4594" w:rsidRPr="00105FFC">
        <w:rPr>
          <w:rFonts w:asciiTheme="minorHAnsi" w:eastAsiaTheme="minorHAnsi" w:hAnsiTheme="minorHAnsi" w:cstheme="minorBidi"/>
        </w:rPr>
        <w:t xml:space="preserve">eligibles enrolled in a managed care mandatory aid code </w:t>
      </w:r>
      <w:r w:rsidRPr="00105FFC">
        <w:rPr>
          <w:rFonts w:asciiTheme="minorHAnsi" w:eastAsiaTheme="minorHAnsi" w:hAnsiTheme="minorHAnsi" w:cstheme="minorBidi"/>
        </w:rPr>
        <w:t>pa</w:t>
      </w:r>
      <w:r w:rsidR="00750F0B" w:rsidRPr="00105FFC">
        <w:rPr>
          <w:rFonts w:asciiTheme="minorHAnsi" w:eastAsiaTheme="minorHAnsi" w:hAnsiTheme="minorHAnsi" w:cstheme="minorBidi"/>
        </w:rPr>
        <w:t>rticipated in FFS for at least one month, representing 60% of FFS enrollment. But after 11</w:t>
      </w:r>
      <w:r w:rsidRPr="00105FFC">
        <w:rPr>
          <w:rFonts w:asciiTheme="minorHAnsi" w:eastAsiaTheme="minorHAnsi" w:hAnsiTheme="minorHAnsi" w:cstheme="minorBidi"/>
        </w:rPr>
        <w:t xml:space="preserve"> month</w:t>
      </w:r>
      <w:r w:rsidR="00750F0B" w:rsidRPr="00105FFC">
        <w:rPr>
          <w:rFonts w:asciiTheme="minorHAnsi" w:eastAsiaTheme="minorHAnsi" w:hAnsiTheme="minorHAnsi" w:cstheme="minorBidi"/>
        </w:rPr>
        <w:t>s</w:t>
      </w:r>
      <w:r w:rsidRPr="00105FFC">
        <w:rPr>
          <w:rFonts w:asciiTheme="minorHAnsi" w:eastAsiaTheme="minorHAnsi" w:hAnsiTheme="minorHAnsi" w:cstheme="minorBidi"/>
        </w:rPr>
        <w:t xml:space="preserve">, that number drops by 3.4 million and represents only 24% of FFS enrollment (Figure </w:t>
      </w:r>
      <w:r w:rsidR="001358AE" w:rsidRPr="00105FFC">
        <w:rPr>
          <w:rFonts w:asciiTheme="minorHAnsi" w:eastAsiaTheme="minorHAnsi" w:hAnsiTheme="minorHAnsi" w:cstheme="minorBidi"/>
        </w:rPr>
        <w:t>10</w:t>
      </w:r>
      <w:r w:rsidR="00067336" w:rsidRPr="00105FFC">
        <w:rPr>
          <w:rFonts w:asciiTheme="minorHAnsi" w:eastAsiaTheme="minorHAnsi" w:hAnsiTheme="minorHAnsi" w:cstheme="minorBidi"/>
        </w:rPr>
        <w:t xml:space="preserve">). </w:t>
      </w:r>
      <w:r w:rsidRPr="00105FFC">
        <w:rPr>
          <w:rFonts w:asciiTheme="minorHAnsi" w:eastAsiaTheme="minorHAnsi" w:hAnsiTheme="minorHAnsi" w:cstheme="minorBidi"/>
        </w:rPr>
        <w:t>Individuals participating in FFS for a short period of time use services differently than those with lon</w:t>
      </w:r>
      <w:r w:rsidR="00750F0B" w:rsidRPr="00105FFC">
        <w:rPr>
          <w:rFonts w:asciiTheme="minorHAnsi" w:eastAsiaTheme="minorHAnsi" w:hAnsiTheme="minorHAnsi" w:cstheme="minorBidi"/>
        </w:rPr>
        <w:t>ger continuous enrollment. For</w:t>
      </w:r>
      <w:r w:rsidRPr="00105FFC">
        <w:rPr>
          <w:rFonts w:asciiTheme="minorHAnsi" w:eastAsiaTheme="minorHAnsi" w:hAnsiTheme="minorHAnsi" w:cstheme="minorBidi"/>
        </w:rPr>
        <w:t xml:space="preserve"> example, in </w:t>
      </w:r>
      <w:r w:rsidR="00750F0B" w:rsidRPr="00105FFC">
        <w:rPr>
          <w:rFonts w:asciiTheme="minorHAnsi" w:eastAsiaTheme="minorHAnsi" w:hAnsiTheme="minorHAnsi" w:cstheme="minorBidi"/>
        </w:rPr>
        <w:t>State Fiscal Year (S</w:t>
      </w:r>
      <w:r w:rsidRPr="00105FFC">
        <w:rPr>
          <w:rFonts w:asciiTheme="minorHAnsi" w:eastAsiaTheme="minorHAnsi" w:hAnsiTheme="minorHAnsi" w:cstheme="minorBidi"/>
        </w:rPr>
        <w:t>FY</w:t>
      </w:r>
      <w:r w:rsidR="00750F0B" w:rsidRPr="00105FFC">
        <w:rPr>
          <w:rFonts w:asciiTheme="minorHAnsi" w:eastAsiaTheme="minorHAnsi" w:hAnsiTheme="minorHAnsi" w:cstheme="minorBidi"/>
        </w:rPr>
        <w:t>)</w:t>
      </w:r>
      <w:r w:rsidRPr="00105FFC">
        <w:rPr>
          <w:rFonts w:asciiTheme="minorHAnsi" w:eastAsiaTheme="minorHAnsi" w:hAnsiTheme="minorHAnsi" w:cstheme="minorBidi"/>
        </w:rPr>
        <w:t xml:space="preserve"> 2014-15 the rat</w:t>
      </w:r>
      <w:r w:rsidR="00750F0B" w:rsidRPr="00105FFC">
        <w:rPr>
          <w:rFonts w:asciiTheme="minorHAnsi" w:eastAsiaTheme="minorHAnsi" w:hAnsiTheme="minorHAnsi" w:cstheme="minorBidi"/>
        </w:rPr>
        <w:t>e of utilization for services from</w:t>
      </w:r>
      <w:r w:rsidRPr="00105FFC">
        <w:rPr>
          <w:rFonts w:asciiTheme="minorHAnsi" w:eastAsiaTheme="minorHAnsi" w:hAnsiTheme="minorHAnsi" w:cstheme="minorBidi"/>
        </w:rPr>
        <w:t xml:space="preserve"> primary care providers was more than double </w:t>
      </w:r>
      <w:r w:rsidR="00750F0B" w:rsidRPr="00105FFC">
        <w:rPr>
          <w:rFonts w:asciiTheme="minorHAnsi" w:eastAsiaTheme="minorHAnsi" w:hAnsiTheme="minorHAnsi" w:cstheme="minorBidi"/>
        </w:rPr>
        <w:t>among beneficiaries</w:t>
      </w:r>
      <w:r w:rsidRPr="00105FFC">
        <w:rPr>
          <w:rFonts w:asciiTheme="minorHAnsi" w:eastAsiaTheme="minorHAnsi" w:hAnsiTheme="minorHAnsi" w:cstheme="minorBidi"/>
        </w:rPr>
        <w:t xml:space="preserve"> with at least 11 months of enr</w:t>
      </w:r>
      <w:r w:rsidR="00750F0B" w:rsidRPr="00105FFC">
        <w:rPr>
          <w:rFonts w:asciiTheme="minorHAnsi" w:eastAsiaTheme="minorHAnsi" w:hAnsiTheme="minorHAnsi" w:cstheme="minorBidi"/>
        </w:rPr>
        <w:t>ollment compared to those with three</w:t>
      </w:r>
      <w:r w:rsidRPr="00105FFC">
        <w:rPr>
          <w:rFonts w:asciiTheme="minorHAnsi" w:eastAsiaTheme="minorHAnsi" w:hAnsiTheme="minorHAnsi" w:cstheme="minorBidi"/>
        </w:rPr>
        <w:t xml:space="preserve"> or fewer months of enrollment in FFS</w:t>
      </w:r>
      <w:r w:rsidR="00291AFD" w:rsidRPr="00105FFC">
        <w:rPr>
          <w:rFonts w:asciiTheme="minorHAnsi" w:eastAsiaTheme="minorHAnsi" w:hAnsiTheme="minorHAnsi" w:cstheme="minorBidi"/>
        </w:rPr>
        <w:t xml:space="preserve"> (Figure 11)</w:t>
      </w:r>
      <w:r w:rsidRPr="00105FFC">
        <w:rPr>
          <w:rFonts w:asciiTheme="minorHAnsi" w:eastAsiaTheme="minorHAnsi" w:hAnsiTheme="minorHAnsi" w:cstheme="minorBidi"/>
        </w:rPr>
        <w:t>.</w:t>
      </w:r>
    </w:p>
    <w:p w14:paraId="04B95D36" w14:textId="77777777" w:rsidR="001358AE" w:rsidRPr="00105FFC" w:rsidRDefault="001358AE" w:rsidP="002D04DA">
      <w:pPr>
        <w:spacing w:after="120" w:line="276" w:lineRule="auto"/>
        <w:contextualSpacing/>
        <w:rPr>
          <w:rFonts w:asciiTheme="minorHAnsi" w:eastAsiaTheme="minorHAnsi" w:hAnsiTheme="minorHAnsi" w:cstheme="minorBidi"/>
        </w:rPr>
      </w:pPr>
      <w:r w:rsidRPr="00105FFC">
        <w:rPr>
          <w:rFonts w:asciiTheme="minorHAnsi" w:eastAsiaTheme="minorHAnsi" w:hAnsiTheme="minorHAnsi" w:cstheme="minorBidi"/>
        </w:rPr>
        <w:br w:type="page"/>
      </w:r>
    </w:p>
    <w:p w14:paraId="5639A6AD" w14:textId="77777777" w:rsidR="00AD633A" w:rsidRPr="00105FFC" w:rsidRDefault="00AD633A" w:rsidP="001A3F08">
      <w:pPr>
        <w:pStyle w:val="Caption"/>
        <w:spacing w:after="0"/>
        <w:rPr>
          <w:rFonts w:asciiTheme="minorHAnsi" w:eastAsiaTheme="minorHAnsi" w:hAnsiTheme="minorHAnsi" w:cstheme="minorBidi"/>
          <w:sz w:val="20"/>
          <w:szCs w:val="20"/>
        </w:rPr>
      </w:pPr>
      <w:bookmarkStart w:id="75" w:name="_Toc458782949"/>
      <w:bookmarkStart w:id="76" w:name="_Toc459285060"/>
      <w:bookmarkStart w:id="77" w:name="_Toc459285251"/>
      <w:bookmarkStart w:id="78" w:name="_Toc459286692"/>
      <w:r w:rsidRPr="00105FFC">
        <w:rPr>
          <w:rFonts w:asciiTheme="minorHAnsi" w:hAnsiTheme="minorHAnsi"/>
          <w:color w:val="auto"/>
          <w:sz w:val="20"/>
          <w:szCs w:val="20"/>
        </w:rPr>
        <w:lastRenderedPageBreak/>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11</w:t>
      </w:r>
      <w:r w:rsidRPr="00105FFC">
        <w:rPr>
          <w:rFonts w:asciiTheme="minorHAnsi" w:hAnsiTheme="minorHAnsi"/>
          <w:color w:val="auto"/>
          <w:sz w:val="20"/>
          <w:szCs w:val="20"/>
        </w:rPr>
        <w:fldChar w:fldCharType="end"/>
      </w:r>
      <w:r w:rsidRPr="00105FFC">
        <w:rPr>
          <w:rFonts w:asciiTheme="minorHAnsi" w:eastAsiaTheme="minorHAnsi" w:hAnsiTheme="minorHAnsi" w:cstheme="minorBidi"/>
          <w:color w:val="auto"/>
          <w:sz w:val="20"/>
          <w:szCs w:val="20"/>
        </w:rPr>
        <w:t xml:space="preserve">: </w:t>
      </w:r>
      <w:r w:rsidR="00291AFD" w:rsidRPr="00105FFC">
        <w:rPr>
          <w:rFonts w:asciiTheme="minorHAnsi" w:eastAsiaTheme="minorHAnsi" w:hAnsiTheme="minorHAnsi" w:cstheme="minorBidi"/>
          <w:b w:val="0"/>
          <w:color w:val="auto"/>
          <w:sz w:val="20"/>
          <w:szCs w:val="20"/>
        </w:rPr>
        <w:t xml:space="preserve">Primary Care Service </w:t>
      </w:r>
      <w:r w:rsidR="00E8773C" w:rsidRPr="00105FFC">
        <w:rPr>
          <w:rFonts w:asciiTheme="minorHAnsi" w:eastAsiaTheme="minorHAnsi" w:hAnsiTheme="minorHAnsi" w:cstheme="minorBidi"/>
          <w:b w:val="0"/>
          <w:color w:val="auto"/>
          <w:sz w:val="20"/>
          <w:szCs w:val="20"/>
        </w:rPr>
        <w:t>Visits</w:t>
      </w:r>
      <w:r w:rsidRPr="00105FFC">
        <w:rPr>
          <w:rFonts w:asciiTheme="minorHAnsi" w:eastAsiaTheme="minorHAnsi" w:hAnsiTheme="minorHAnsi" w:cstheme="minorBidi"/>
          <w:b w:val="0"/>
          <w:color w:val="auto"/>
          <w:sz w:val="20"/>
          <w:szCs w:val="20"/>
        </w:rPr>
        <w:t xml:space="preserve"> </w:t>
      </w:r>
      <w:r w:rsidR="00291AFD" w:rsidRPr="00105FFC">
        <w:rPr>
          <w:rFonts w:asciiTheme="minorHAnsi" w:eastAsiaTheme="minorHAnsi" w:hAnsiTheme="minorHAnsi" w:cstheme="minorBidi"/>
          <w:b w:val="0"/>
          <w:color w:val="auto"/>
          <w:sz w:val="20"/>
          <w:szCs w:val="20"/>
        </w:rPr>
        <w:t>Rate per 1,000 Member Months among Certified Eligible FFS Medi-Cal Beneficiaries in</w:t>
      </w:r>
      <w:r w:rsidRPr="00105FFC">
        <w:rPr>
          <w:rFonts w:asciiTheme="minorHAnsi" w:eastAsiaTheme="minorHAnsi" w:hAnsiTheme="minorHAnsi" w:cstheme="minorBidi"/>
          <w:b w:val="0"/>
          <w:color w:val="auto"/>
          <w:sz w:val="20"/>
          <w:szCs w:val="20"/>
        </w:rPr>
        <w:t xml:space="preserve"> </w:t>
      </w:r>
      <w:r w:rsidR="00291AFD" w:rsidRPr="00105FFC">
        <w:rPr>
          <w:rFonts w:asciiTheme="minorHAnsi" w:eastAsiaTheme="minorHAnsi" w:hAnsiTheme="minorHAnsi" w:cstheme="minorBidi"/>
          <w:b w:val="0"/>
          <w:color w:val="auto"/>
          <w:sz w:val="20"/>
          <w:szCs w:val="20"/>
        </w:rPr>
        <w:t>S</w:t>
      </w:r>
      <w:r w:rsidRPr="00105FFC">
        <w:rPr>
          <w:rFonts w:asciiTheme="minorHAnsi" w:eastAsiaTheme="minorHAnsi" w:hAnsiTheme="minorHAnsi" w:cstheme="minorBidi"/>
          <w:b w:val="0"/>
          <w:color w:val="auto"/>
          <w:sz w:val="20"/>
          <w:szCs w:val="20"/>
        </w:rPr>
        <w:t>FY 2014-15</w:t>
      </w:r>
      <w:r w:rsidR="00291AFD" w:rsidRPr="00105FFC">
        <w:rPr>
          <w:rFonts w:asciiTheme="minorHAnsi" w:eastAsiaTheme="minorHAnsi" w:hAnsiTheme="minorHAnsi" w:cstheme="minorBidi"/>
          <w:b w:val="0"/>
          <w:color w:val="auto"/>
          <w:sz w:val="20"/>
          <w:szCs w:val="20"/>
        </w:rPr>
        <w:t>, by Length of FFS Enrollment</w:t>
      </w:r>
      <w:bookmarkEnd w:id="75"/>
      <w:bookmarkEnd w:id="76"/>
      <w:bookmarkEnd w:id="77"/>
      <w:bookmarkEnd w:id="78"/>
    </w:p>
    <w:p w14:paraId="7CBC0E50" w14:textId="77777777" w:rsidR="00AD633A" w:rsidRPr="00105FFC" w:rsidRDefault="00AD633A" w:rsidP="001A3F08">
      <w:pPr>
        <w:rPr>
          <w:rFonts w:asciiTheme="minorHAnsi" w:eastAsiaTheme="minorHAnsi" w:hAnsiTheme="minorHAnsi" w:cstheme="minorBidi"/>
          <w:sz w:val="16"/>
          <w:szCs w:val="16"/>
        </w:rPr>
      </w:pPr>
      <w:r w:rsidRPr="00105FFC">
        <w:rPr>
          <w:rFonts w:asciiTheme="minorHAnsi" w:hAnsiTheme="minorHAnsi"/>
          <w:noProof/>
        </w:rPr>
        <w:drawing>
          <wp:inline distT="0" distB="0" distL="0" distR="0" wp14:anchorId="3B2F2BA2" wp14:editId="1BA9AA90">
            <wp:extent cx="5943600" cy="2468880"/>
            <wp:effectExtent l="0" t="0" r="0" b="7620"/>
            <wp:docPr id="24" name="Chart 24" descr="3 or less months: 123.4 primary care visits per 1,000 member months&#10;&#10;11 or more months: 270.0 primary care visits per 1,000 member months" title="Primary Care Service Visits Rate per 1,000 Member Months among Certified Eligible FFS Medi-Cal Beneficiaries in SFY 2014-15, by Length of FFS Enroll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w:t>
      </w:r>
      <w:r w:rsidR="00291AFD" w:rsidRPr="00105FFC">
        <w:rPr>
          <w:rFonts w:asciiTheme="minorHAnsi" w:eastAsiaTheme="minorHAnsi" w:hAnsiTheme="minorHAnsi" w:cstheme="minorBidi"/>
          <w:sz w:val="16"/>
          <w:szCs w:val="16"/>
        </w:rPr>
        <w:t xml:space="preserve">and claims </w:t>
      </w:r>
      <w:r w:rsidRPr="00105FFC">
        <w:rPr>
          <w:rFonts w:asciiTheme="minorHAnsi" w:eastAsiaTheme="minorHAnsi" w:hAnsiTheme="minorHAnsi" w:cstheme="minorBidi"/>
          <w:sz w:val="16"/>
          <w:szCs w:val="16"/>
        </w:rPr>
        <w:t xml:space="preserve">tables for </w:t>
      </w:r>
      <w:r w:rsidR="00291AFD" w:rsidRPr="00105FFC">
        <w:rPr>
          <w:rFonts w:asciiTheme="minorHAnsi" w:eastAsiaTheme="minorHAnsi" w:hAnsiTheme="minorHAnsi" w:cstheme="minorBidi"/>
          <w:sz w:val="16"/>
          <w:szCs w:val="16"/>
        </w:rPr>
        <w:t>SFY 2014-15 and extracted in July 2016</w:t>
      </w:r>
      <w:r w:rsidRPr="00105FFC">
        <w:rPr>
          <w:rFonts w:asciiTheme="minorHAnsi" w:eastAsiaTheme="minorHAnsi" w:hAnsiTheme="minorHAnsi" w:cstheme="minorBidi"/>
          <w:sz w:val="16"/>
          <w:szCs w:val="16"/>
        </w:rPr>
        <w:t xml:space="preserve">. </w:t>
      </w:r>
    </w:p>
    <w:p w14:paraId="557E209A" w14:textId="77777777" w:rsidR="0084754E" w:rsidRPr="00105FFC" w:rsidRDefault="0084754E" w:rsidP="001358AE">
      <w:pPr>
        <w:spacing w:after="120"/>
        <w:rPr>
          <w:rFonts w:asciiTheme="minorHAnsi" w:eastAsiaTheme="minorHAnsi" w:hAnsiTheme="minorHAnsi" w:cstheme="minorBidi"/>
          <w:sz w:val="16"/>
          <w:szCs w:val="16"/>
        </w:rPr>
      </w:pPr>
      <w:r w:rsidRPr="00105FFC">
        <w:rPr>
          <w:rFonts w:asciiTheme="minorHAnsi" w:eastAsiaTheme="minorHAnsi" w:hAnsiTheme="minorHAnsi" w:cstheme="minorBidi"/>
          <w:b/>
          <w:sz w:val="16"/>
          <w:szCs w:val="16"/>
        </w:rPr>
        <w:t>Note:</w:t>
      </w:r>
      <w:r w:rsidRPr="00105FFC">
        <w:rPr>
          <w:rFonts w:asciiTheme="minorHAnsi" w:eastAsiaTheme="minorHAnsi" w:hAnsiTheme="minorHAnsi" w:cstheme="minorBidi"/>
          <w:sz w:val="16"/>
          <w:szCs w:val="16"/>
        </w:rPr>
        <w:t xml:space="preserve"> Primary care providers include physicians, physician groups, and clinics with the following classifications: general practice, family practice, gynecology, obstetrics, obstetrics-gynecology, preventive, pediatrics, internal medicine, rural health clinic/federally qualified health center, free clinic, community clinic, multispecialty clinic, clinic exempt from licensure, county clinics not associated with hospital, otherwise undesignated clinic, tribal health.</w:t>
      </w:r>
    </w:p>
    <w:p w14:paraId="62B5926E" w14:textId="77777777" w:rsidR="001A3F08" w:rsidRPr="00105FFC" w:rsidRDefault="001A3F08" w:rsidP="001A3F08">
      <w:pPr>
        <w:spacing w:line="276" w:lineRule="auto"/>
        <w:rPr>
          <w:rFonts w:asciiTheme="minorHAnsi" w:eastAsiaTheme="minorHAnsi" w:hAnsiTheme="minorHAnsi" w:cstheme="minorBidi"/>
        </w:rPr>
      </w:pPr>
    </w:p>
    <w:p w14:paraId="6ABF61AC" w14:textId="77777777" w:rsidR="00796B5E" w:rsidRPr="00105FFC" w:rsidRDefault="00AD633A"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Given the short duration of FFS enrollment for most mandatory managed care enrollees, evaluating access to care </w:t>
      </w:r>
      <w:r w:rsidR="00D13725" w:rsidRPr="00105FFC">
        <w:rPr>
          <w:rFonts w:asciiTheme="minorHAnsi" w:eastAsiaTheme="minorHAnsi" w:hAnsiTheme="minorHAnsi" w:cstheme="minorBidi"/>
        </w:rPr>
        <w:t xml:space="preserve">is problematic. </w:t>
      </w:r>
      <w:r w:rsidRPr="00105FFC">
        <w:rPr>
          <w:rFonts w:asciiTheme="minorHAnsi" w:eastAsiaTheme="minorHAnsi" w:hAnsiTheme="minorHAnsi" w:cstheme="minorBidi"/>
        </w:rPr>
        <w:t>These individuals enter FFS with unknown health</w:t>
      </w:r>
      <w:r w:rsidR="00D13725" w:rsidRPr="00105FFC">
        <w:rPr>
          <w:rFonts w:asciiTheme="minorHAnsi" w:eastAsiaTheme="minorHAnsi" w:hAnsiTheme="minorHAnsi" w:cstheme="minorBidi"/>
        </w:rPr>
        <w:t xml:space="preserve"> </w:t>
      </w:r>
      <w:r w:rsidRPr="00105FFC">
        <w:rPr>
          <w:rFonts w:asciiTheme="minorHAnsi" w:eastAsiaTheme="minorHAnsi" w:hAnsiTheme="minorHAnsi" w:cstheme="minorBidi"/>
        </w:rPr>
        <w:t xml:space="preserve">care needs, and then transition into Medi-Cal managed care before establishing any consistent exposure to the </w:t>
      </w:r>
      <w:r w:rsidR="00D13725" w:rsidRPr="00105FFC">
        <w:rPr>
          <w:rFonts w:asciiTheme="minorHAnsi" w:eastAsiaTheme="minorHAnsi" w:hAnsiTheme="minorHAnsi" w:cstheme="minorBidi"/>
        </w:rPr>
        <w:t xml:space="preserve">FFS </w:t>
      </w:r>
      <w:r w:rsidRPr="00105FFC">
        <w:rPr>
          <w:rFonts w:asciiTheme="minorHAnsi" w:eastAsiaTheme="minorHAnsi" w:hAnsiTheme="minorHAnsi" w:cstheme="minorBidi"/>
        </w:rPr>
        <w:t xml:space="preserve">system that would allow DHCS to examine their access to services. A meaningful access analysis, and any potential intervention for this population, requires a longer duration of continuous FFS enrollment.    </w:t>
      </w:r>
    </w:p>
    <w:p w14:paraId="4B12E9E9" w14:textId="77777777" w:rsidR="001A3F08" w:rsidRPr="00105FFC" w:rsidRDefault="001A3F08" w:rsidP="001A3F08">
      <w:pPr>
        <w:spacing w:line="276" w:lineRule="auto"/>
        <w:rPr>
          <w:rFonts w:asciiTheme="minorHAnsi" w:eastAsiaTheme="minorHAnsi" w:hAnsiTheme="minorHAnsi" w:cstheme="minorBidi"/>
        </w:rPr>
      </w:pPr>
    </w:p>
    <w:p w14:paraId="2FA47519" w14:textId="77777777" w:rsidR="00796B5E" w:rsidRPr="00105FFC" w:rsidRDefault="00D13725" w:rsidP="001358AE">
      <w:pPr>
        <w:pStyle w:val="Heading3"/>
        <w:spacing w:before="0" w:after="120" w:line="276" w:lineRule="auto"/>
        <w:rPr>
          <w:rFonts w:eastAsiaTheme="minorHAnsi"/>
        </w:rPr>
      </w:pPr>
      <w:bookmarkStart w:id="79" w:name="_Toc459287714"/>
      <w:r w:rsidRPr="00105FFC">
        <w:rPr>
          <w:rFonts w:eastAsiaTheme="minorHAnsi"/>
        </w:rPr>
        <w:t xml:space="preserve">Restricted </w:t>
      </w:r>
      <w:r w:rsidR="00796B5E" w:rsidRPr="00105FFC">
        <w:rPr>
          <w:rFonts w:eastAsiaTheme="minorHAnsi"/>
        </w:rPr>
        <w:t>Scope</w:t>
      </w:r>
      <w:bookmarkEnd w:id="79"/>
    </w:p>
    <w:p w14:paraId="532D17AC" w14:textId="77777777" w:rsidR="00796B5E" w:rsidRPr="00105FFC" w:rsidRDefault="00796B5E"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largest administrative group with the longest continuous e</w:t>
      </w:r>
      <w:r w:rsidR="00D13725" w:rsidRPr="00105FFC">
        <w:rPr>
          <w:rFonts w:asciiTheme="minorHAnsi" w:eastAsiaTheme="minorHAnsi" w:hAnsiTheme="minorHAnsi" w:cstheme="minorBidi"/>
        </w:rPr>
        <w:t xml:space="preserve">nrollment in </w:t>
      </w:r>
      <w:r w:rsidR="00E8773C" w:rsidRPr="00105FFC">
        <w:rPr>
          <w:rFonts w:asciiTheme="minorHAnsi" w:eastAsiaTheme="minorHAnsi" w:hAnsiTheme="minorHAnsi" w:cstheme="minorBidi"/>
        </w:rPr>
        <w:t xml:space="preserve">Medi-Cal’s </w:t>
      </w:r>
      <w:r w:rsidR="00D13725" w:rsidRPr="00105FFC">
        <w:rPr>
          <w:rFonts w:asciiTheme="minorHAnsi" w:eastAsiaTheme="minorHAnsi" w:hAnsiTheme="minorHAnsi" w:cstheme="minorBidi"/>
        </w:rPr>
        <w:t>FFS</w:t>
      </w:r>
      <w:r w:rsidR="00E8773C" w:rsidRPr="00105FFC">
        <w:rPr>
          <w:rFonts w:asciiTheme="minorHAnsi" w:eastAsiaTheme="minorHAnsi" w:hAnsiTheme="minorHAnsi" w:cstheme="minorBidi"/>
        </w:rPr>
        <w:t xml:space="preserve"> delivery system</w:t>
      </w:r>
      <w:r w:rsidR="00D13725" w:rsidRPr="00105FFC">
        <w:rPr>
          <w:rFonts w:asciiTheme="minorHAnsi" w:eastAsiaTheme="minorHAnsi" w:hAnsiTheme="minorHAnsi" w:cstheme="minorBidi"/>
        </w:rPr>
        <w:t xml:space="preserve"> includes individuals</w:t>
      </w:r>
      <w:r w:rsidRPr="00105FFC">
        <w:rPr>
          <w:rFonts w:asciiTheme="minorHAnsi" w:eastAsiaTheme="minorHAnsi" w:hAnsiTheme="minorHAnsi" w:cstheme="minorBidi"/>
        </w:rPr>
        <w:t xml:space="preserve"> whose Medi-Cal coverage is restricted</w:t>
      </w:r>
      <w:r w:rsidR="00D13725" w:rsidRPr="00105FFC">
        <w:rPr>
          <w:rFonts w:asciiTheme="minorHAnsi" w:eastAsiaTheme="minorHAnsi" w:hAnsiTheme="minorHAnsi" w:cstheme="minorBidi"/>
        </w:rPr>
        <w:t xml:space="preserve"> to a limited set of services (restricted s</w:t>
      </w:r>
      <w:r w:rsidRPr="00105FFC">
        <w:rPr>
          <w:rFonts w:asciiTheme="minorHAnsi" w:eastAsiaTheme="minorHAnsi" w:hAnsiTheme="minorHAnsi" w:cstheme="minorBidi"/>
        </w:rPr>
        <w:t xml:space="preserve">cope).  Individuals without </w:t>
      </w:r>
      <w:r w:rsidR="00E8773C" w:rsidRPr="00105FFC">
        <w:rPr>
          <w:rFonts w:asciiTheme="minorHAnsi" w:eastAsiaTheme="minorHAnsi" w:hAnsiTheme="minorHAnsi" w:cstheme="minorBidi"/>
        </w:rPr>
        <w:t>satisfactory immigration status (</w:t>
      </w:r>
      <w:r w:rsidR="00D13725" w:rsidRPr="00105FFC">
        <w:rPr>
          <w:rFonts w:asciiTheme="minorHAnsi" w:eastAsiaTheme="minorHAnsi" w:hAnsiTheme="minorHAnsi" w:cstheme="minorBidi"/>
        </w:rPr>
        <w:t>SIS</w:t>
      </w:r>
      <w:r w:rsidR="00E8773C" w:rsidRPr="00105FFC">
        <w:rPr>
          <w:rFonts w:asciiTheme="minorHAnsi" w:eastAsiaTheme="minorHAnsi" w:hAnsiTheme="minorHAnsi" w:cstheme="minorBidi"/>
        </w:rPr>
        <w:t>) enrolled</w:t>
      </w:r>
      <w:r w:rsidRPr="00105FFC">
        <w:rPr>
          <w:rFonts w:asciiTheme="minorHAnsi" w:eastAsiaTheme="minorHAnsi" w:hAnsiTheme="minorHAnsi" w:cstheme="minorBidi"/>
        </w:rPr>
        <w:t xml:space="preserve"> in the Undocumented aid category </w:t>
      </w:r>
      <w:r w:rsidR="00D13725" w:rsidRPr="00105FFC">
        <w:rPr>
          <w:rFonts w:asciiTheme="minorHAnsi" w:eastAsiaTheme="minorHAnsi" w:hAnsiTheme="minorHAnsi" w:cstheme="minorBidi"/>
        </w:rPr>
        <w:t>comprise</w:t>
      </w:r>
      <w:r w:rsidRPr="00105FFC">
        <w:rPr>
          <w:rFonts w:asciiTheme="minorHAnsi" w:eastAsiaTheme="minorHAnsi" w:hAnsiTheme="minorHAnsi" w:cstheme="minorBidi"/>
        </w:rPr>
        <w:t xml:space="preserve"> 94% of the restrict</w:t>
      </w:r>
      <w:r w:rsidR="00D13725" w:rsidRPr="00105FFC">
        <w:rPr>
          <w:rFonts w:asciiTheme="minorHAnsi" w:eastAsiaTheme="minorHAnsi" w:hAnsiTheme="minorHAnsi" w:cstheme="minorBidi"/>
        </w:rPr>
        <w:t>ed-</w:t>
      </w:r>
      <w:r w:rsidR="00291AFD" w:rsidRPr="00105FFC">
        <w:rPr>
          <w:rFonts w:asciiTheme="minorHAnsi" w:eastAsiaTheme="minorHAnsi" w:hAnsiTheme="minorHAnsi" w:cstheme="minorBidi"/>
        </w:rPr>
        <w:t>scope beneficiaries in FFS (Figure 12)</w:t>
      </w:r>
      <w:r w:rsidRPr="00105FFC">
        <w:rPr>
          <w:rFonts w:asciiTheme="minorHAnsi" w:eastAsiaTheme="minorHAnsi" w:hAnsiTheme="minorHAnsi" w:cstheme="minorBidi"/>
        </w:rPr>
        <w:t>. Medi-Cal coverage for these beneficiaries is restricted to emergency and pregnancy-related</w:t>
      </w:r>
      <w:r w:rsidR="007F2CBD" w:rsidRPr="00105FFC">
        <w:rPr>
          <w:rFonts w:asciiTheme="minorHAnsi" w:eastAsiaTheme="minorHAnsi" w:hAnsiTheme="minorHAnsi" w:cstheme="minorBidi"/>
        </w:rPr>
        <w:t xml:space="preserve"> (pre-natal and </w:t>
      </w:r>
      <w:r w:rsidR="007F2CBD" w:rsidRPr="00105FFC">
        <w:rPr>
          <w:rFonts w:asciiTheme="minorHAnsi" w:eastAsiaTheme="minorHAnsi" w:hAnsiTheme="minorHAnsi" w:cstheme="minorBidi"/>
        </w:rPr>
        <w:lastRenderedPageBreak/>
        <w:t>post-partum)</w:t>
      </w:r>
      <w:r w:rsidRPr="00105FFC">
        <w:rPr>
          <w:rFonts w:asciiTheme="minorHAnsi" w:eastAsiaTheme="minorHAnsi" w:hAnsiTheme="minorHAnsi" w:cstheme="minorBidi"/>
        </w:rPr>
        <w:t xml:space="preserve"> services. Any care outside of these service types is the responsibility of the beneficiary. </w:t>
      </w:r>
      <w:r w:rsidR="00D13725" w:rsidRPr="00105FFC">
        <w:rPr>
          <w:rFonts w:asciiTheme="minorHAnsi" w:eastAsiaTheme="minorHAnsi" w:hAnsiTheme="minorHAnsi" w:cstheme="minorBidi"/>
        </w:rPr>
        <w:t>“</w:t>
      </w:r>
      <w:r w:rsidRPr="00105FFC">
        <w:rPr>
          <w:rFonts w:asciiTheme="minorHAnsi" w:eastAsiaTheme="minorHAnsi" w:hAnsiTheme="minorHAnsi" w:cstheme="minorBidi"/>
        </w:rPr>
        <w:t>Restricted scope</w:t>
      </w:r>
      <w:r w:rsidR="00D13725" w:rsidRPr="00105FFC">
        <w:rPr>
          <w:rFonts w:asciiTheme="minorHAnsi" w:eastAsiaTheme="minorHAnsi" w:hAnsiTheme="minorHAnsi" w:cstheme="minorBidi"/>
        </w:rPr>
        <w:t>”</w:t>
      </w:r>
      <w:r w:rsidRPr="00105FFC">
        <w:rPr>
          <w:rFonts w:asciiTheme="minorHAnsi" w:eastAsiaTheme="minorHAnsi" w:hAnsiTheme="minorHAnsi" w:cstheme="minorBidi"/>
        </w:rPr>
        <w:t xml:space="preserve"> is often used synonymously with</w:t>
      </w:r>
      <w:r w:rsidR="00E8773C" w:rsidRPr="00105FFC">
        <w:rPr>
          <w:rFonts w:asciiTheme="minorHAnsi" w:eastAsiaTheme="minorHAnsi" w:hAnsiTheme="minorHAnsi" w:cstheme="minorBidi"/>
        </w:rPr>
        <w:t xml:space="preserve"> the term </w:t>
      </w:r>
      <w:r w:rsidR="00D13725" w:rsidRPr="00105FFC">
        <w:rPr>
          <w:rFonts w:asciiTheme="minorHAnsi" w:eastAsiaTheme="minorHAnsi" w:hAnsiTheme="minorHAnsi" w:cstheme="minorBidi"/>
        </w:rPr>
        <w:t>“</w:t>
      </w:r>
      <w:r w:rsidRPr="00105FFC">
        <w:rPr>
          <w:rFonts w:asciiTheme="minorHAnsi" w:eastAsiaTheme="minorHAnsi" w:hAnsiTheme="minorHAnsi" w:cstheme="minorBidi"/>
        </w:rPr>
        <w:t>Undocumented</w:t>
      </w:r>
      <w:r w:rsidR="00D13725" w:rsidRPr="00105FFC">
        <w:rPr>
          <w:rFonts w:asciiTheme="minorHAnsi" w:eastAsiaTheme="minorHAnsi" w:hAnsiTheme="minorHAnsi" w:cstheme="minorBidi"/>
        </w:rPr>
        <w:t xml:space="preserve">” aid </w:t>
      </w:r>
      <w:r w:rsidRPr="00105FFC">
        <w:rPr>
          <w:rFonts w:asciiTheme="minorHAnsi" w:eastAsiaTheme="minorHAnsi" w:hAnsiTheme="minorHAnsi" w:cstheme="minorBidi"/>
        </w:rPr>
        <w:t>category.</w:t>
      </w:r>
    </w:p>
    <w:p w14:paraId="03F2084A" w14:textId="77777777" w:rsidR="00796B5E" w:rsidRPr="00105FFC" w:rsidRDefault="00796B5E" w:rsidP="002D04DA">
      <w:pPr>
        <w:spacing w:after="120" w:line="276" w:lineRule="auto"/>
        <w:rPr>
          <w:rFonts w:asciiTheme="minorHAnsi" w:eastAsiaTheme="minorHAnsi" w:hAnsiTheme="minorHAnsi"/>
        </w:rPr>
      </w:pPr>
      <w:r w:rsidRPr="00105FFC">
        <w:rPr>
          <w:rFonts w:asciiTheme="minorHAnsi" w:eastAsiaTheme="minorHAnsi" w:hAnsiTheme="minorHAnsi"/>
        </w:rPr>
        <w:br w:type="page"/>
      </w:r>
    </w:p>
    <w:p w14:paraId="7734BA73" w14:textId="77777777" w:rsidR="00796B5E" w:rsidRPr="00105FFC" w:rsidRDefault="00796B5E" w:rsidP="001A3F08">
      <w:pPr>
        <w:pStyle w:val="Caption"/>
        <w:spacing w:after="0"/>
        <w:rPr>
          <w:rFonts w:asciiTheme="minorHAnsi" w:eastAsiaTheme="minorHAnsi" w:hAnsiTheme="minorHAnsi" w:cstheme="minorBidi"/>
          <w:b w:val="0"/>
          <w:color w:val="auto"/>
          <w:sz w:val="20"/>
          <w:szCs w:val="20"/>
        </w:rPr>
      </w:pPr>
      <w:bookmarkStart w:id="80" w:name="_Toc458782950"/>
      <w:bookmarkStart w:id="81" w:name="_Toc459285061"/>
      <w:bookmarkStart w:id="82" w:name="_Toc459285252"/>
      <w:bookmarkStart w:id="83" w:name="_Toc459286693"/>
      <w:r w:rsidRPr="00105FFC">
        <w:rPr>
          <w:rFonts w:asciiTheme="minorHAnsi" w:hAnsiTheme="minorHAnsi"/>
          <w:color w:val="auto"/>
          <w:sz w:val="20"/>
          <w:szCs w:val="20"/>
        </w:rPr>
        <w:lastRenderedPageBreak/>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12</w:t>
      </w:r>
      <w:r w:rsidRPr="00105FFC">
        <w:rPr>
          <w:rFonts w:asciiTheme="minorHAnsi" w:hAnsiTheme="minorHAnsi"/>
          <w:color w:val="auto"/>
          <w:sz w:val="20"/>
          <w:szCs w:val="20"/>
        </w:rPr>
        <w:fldChar w:fldCharType="end"/>
      </w:r>
      <w:r w:rsidRPr="00105FFC">
        <w:rPr>
          <w:rFonts w:asciiTheme="minorHAnsi" w:eastAsiaTheme="minorHAnsi" w:hAnsiTheme="minorHAnsi" w:cstheme="minorBidi"/>
          <w:b w:val="0"/>
          <w:color w:val="auto"/>
          <w:sz w:val="20"/>
          <w:szCs w:val="20"/>
        </w:rPr>
        <w:t>:</w:t>
      </w:r>
      <w:r w:rsidRPr="00105FFC">
        <w:rPr>
          <w:rFonts w:asciiTheme="minorHAnsi" w:eastAsiaTheme="minorHAnsi" w:hAnsiTheme="minorHAnsi" w:cstheme="minorBidi"/>
          <w:color w:val="auto"/>
          <w:sz w:val="20"/>
          <w:szCs w:val="20"/>
        </w:rPr>
        <w:t xml:space="preserve"> </w:t>
      </w:r>
      <w:r w:rsidRPr="00105FFC">
        <w:rPr>
          <w:rFonts w:asciiTheme="minorHAnsi" w:eastAsiaTheme="minorHAnsi" w:hAnsiTheme="minorHAnsi" w:cstheme="minorBidi"/>
          <w:b w:val="0"/>
          <w:color w:val="auto"/>
          <w:sz w:val="20"/>
          <w:szCs w:val="20"/>
        </w:rPr>
        <w:t xml:space="preserve">Distribution of </w:t>
      </w:r>
      <w:r w:rsidR="00D13725" w:rsidRPr="00105FFC">
        <w:rPr>
          <w:rFonts w:asciiTheme="minorHAnsi" w:eastAsiaTheme="minorHAnsi" w:hAnsiTheme="minorHAnsi" w:cstheme="minorBidi"/>
          <w:b w:val="0"/>
          <w:color w:val="auto"/>
          <w:sz w:val="20"/>
          <w:szCs w:val="20"/>
        </w:rPr>
        <w:t xml:space="preserve">Certified Eligible Restricted-Scope FFS Medi-Cal </w:t>
      </w:r>
      <w:r w:rsidRPr="00105FFC">
        <w:rPr>
          <w:rFonts w:asciiTheme="minorHAnsi" w:eastAsiaTheme="minorHAnsi" w:hAnsiTheme="minorHAnsi" w:cstheme="minorBidi"/>
          <w:b w:val="0"/>
          <w:color w:val="auto"/>
          <w:sz w:val="20"/>
          <w:szCs w:val="20"/>
        </w:rPr>
        <w:t>Beneficiaries</w:t>
      </w:r>
      <w:r w:rsidR="005265D4" w:rsidRPr="00105FFC">
        <w:rPr>
          <w:rFonts w:asciiTheme="minorHAnsi" w:eastAsiaTheme="minorHAnsi" w:hAnsiTheme="minorHAnsi" w:cstheme="minorBidi"/>
          <w:b w:val="0"/>
          <w:color w:val="auto"/>
          <w:sz w:val="20"/>
          <w:szCs w:val="20"/>
        </w:rPr>
        <w:t xml:space="preserve"> Enrolled at any Point</w:t>
      </w:r>
      <w:r w:rsidR="00D13725" w:rsidRPr="00105FFC">
        <w:rPr>
          <w:rFonts w:asciiTheme="minorHAnsi" w:eastAsiaTheme="minorHAnsi" w:hAnsiTheme="minorHAnsi" w:cstheme="minorBidi"/>
          <w:b w:val="0"/>
          <w:color w:val="auto"/>
          <w:sz w:val="20"/>
          <w:szCs w:val="20"/>
        </w:rPr>
        <w:t xml:space="preserve"> in</w:t>
      </w:r>
      <w:r w:rsidRPr="00105FFC">
        <w:rPr>
          <w:rFonts w:asciiTheme="minorHAnsi" w:eastAsiaTheme="minorHAnsi" w:hAnsiTheme="minorHAnsi" w:cstheme="minorBidi"/>
          <w:b w:val="0"/>
          <w:color w:val="auto"/>
          <w:sz w:val="20"/>
          <w:szCs w:val="20"/>
        </w:rPr>
        <w:t xml:space="preserve"> 2015</w:t>
      </w:r>
      <w:r w:rsidR="00D13725" w:rsidRPr="00105FFC">
        <w:rPr>
          <w:rFonts w:asciiTheme="minorHAnsi" w:eastAsiaTheme="minorHAnsi" w:hAnsiTheme="minorHAnsi" w:cstheme="minorBidi"/>
          <w:b w:val="0"/>
          <w:color w:val="auto"/>
          <w:sz w:val="20"/>
          <w:szCs w:val="20"/>
        </w:rPr>
        <w:t>, by Aid Category</w:t>
      </w:r>
      <w:bookmarkEnd w:id="80"/>
      <w:bookmarkEnd w:id="81"/>
      <w:bookmarkEnd w:id="82"/>
      <w:bookmarkEnd w:id="83"/>
    </w:p>
    <w:p w14:paraId="3CE1B721" w14:textId="77777777" w:rsidR="00A541CE" w:rsidRPr="00105FFC" w:rsidRDefault="00796B5E" w:rsidP="001A3F08">
      <w:pPr>
        <w:rPr>
          <w:rFonts w:asciiTheme="minorHAnsi" w:eastAsiaTheme="minorHAnsi" w:hAnsiTheme="minorHAnsi"/>
        </w:rPr>
      </w:pPr>
      <w:r w:rsidRPr="00105FFC">
        <w:rPr>
          <w:rFonts w:asciiTheme="minorHAnsi" w:hAnsiTheme="minorHAnsi"/>
          <w:noProof/>
        </w:rPr>
        <w:drawing>
          <wp:inline distT="0" distB="0" distL="0" distR="0" wp14:anchorId="57011F71" wp14:editId="612016AE">
            <wp:extent cx="5943600" cy="2468880"/>
            <wp:effectExtent l="0" t="0" r="0" b="7620"/>
            <wp:docPr id="20" name="Chart 20" descr="Undocumented: Beneficiaries 1,189,452; Percentage 94%&#10;&#10;Parent/Caretaker Relative &amp; Child Beneficiaries 1,405; Percentage &lt;1%&#10;&#10;Dual Beneficiaries 4,894; Percentage 1%&#10;&#10;Other Beneficiaries 65,947; Percentage 5%&#10;" title="Distribution of Certified Eligible Restricted-Scope FFS Medi-Cal Beneficiaries Enrolled at any Point in 2015, by Aid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w:t>
      </w:r>
      <w:r w:rsidR="00D13725" w:rsidRPr="00105FFC">
        <w:rPr>
          <w:rFonts w:asciiTheme="minorHAnsi" w:eastAsiaTheme="minorHAnsi" w:hAnsiTheme="minorHAnsi" w:cstheme="minorBidi"/>
          <w:sz w:val="16"/>
          <w:szCs w:val="16"/>
        </w:rPr>
        <w:t>r 2015 and extracted in May 2016</w:t>
      </w:r>
      <w:r w:rsidRPr="00105FFC">
        <w:rPr>
          <w:rFonts w:asciiTheme="minorHAnsi" w:eastAsiaTheme="minorHAnsi" w:hAnsiTheme="minorHAnsi" w:cstheme="minorBidi"/>
          <w:sz w:val="16"/>
          <w:szCs w:val="16"/>
        </w:rPr>
        <w:t xml:space="preserve">. </w:t>
      </w:r>
    </w:p>
    <w:p w14:paraId="3A3B2F73" w14:textId="77777777" w:rsidR="001A3F08" w:rsidRPr="00105FFC" w:rsidRDefault="001A3F08" w:rsidP="001A3F08">
      <w:pPr>
        <w:spacing w:line="276" w:lineRule="auto"/>
        <w:rPr>
          <w:rFonts w:asciiTheme="minorHAnsi" w:eastAsiaTheme="minorHAnsi" w:hAnsiTheme="minorHAnsi" w:cstheme="minorBidi"/>
        </w:rPr>
      </w:pPr>
    </w:p>
    <w:p w14:paraId="0B982D0A" w14:textId="77777777" w:rsidR="00A541CE" w:rsidRPr="00105FFC" w:rsidRDefault="00D13725"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t>In terms of its</w:t>
      </w:r>
      <w:r w:rsidR="00A541CE" w:rsidRPr="00105FFC">
        <w:rPr>
          <w:rFonts w:asciiTheme="minorHAnsi" w:eastAsiaTheme="minorHAnsi" w:hAnsiTheme="minorHAnsi" w:cstheme="minorBidi"/>
        </w:rPr>
        <w:t xml:space="preserve"> size and </w:t>
      </w:r>
      <w:r w:rsidRPr="00105FFC">
        <w:rPr>
          <w:rFonts w:asciiTheme="minorHAnsi" w:eastAsiaTheme="minorHAnsi" w:hAnsiTheme="minorHAnsi" w:cstheme="minorBidi"/>
        </w:rPr>
        <w:t xml:space="preserve">beneficiaries’ </w:t>
      </w:r>
      <w:r w:rsidR="00A541CE" w:rsidRPr="00105FFC">
        <w:rPr>
          <w:rFonts w:asciiTheme="minorHAnsi" w:eastAsiaTheme="minorHAnsi" w:hAnsiTheme="minorHAnsi" w:cstheme="minorBidi"/>
        </w:rPr>
        <w:t>duration of en</w:t>
      </w:r>
      <w:r w:rsidRPr="00105FFC">
        <w:rPr>
          <w:rFonts w:asciiTheme="minorHAnsi" w:eastAsiaTheme="minorHAnsi" w:hAnsiTheme="minorHAnsi" w:cstheme="minorBidi"/>
        </w:rPr>
        <w:t>rollment, the Undocumented aid category</w:t>
      </w:r>
      <w:r w:rsidR="00A541CE" w:rsidRPr="00105FFC">
        <w:rPr>
          <w:rFonts w:asciiTheme="minorHAnsi" w:eastAsiaTheme="minorHAnsi" w:hAnsiTheme="minorHAnsi" w:cstheme="minorBidi"/>
        </w:rPr>
        <w:t xml:space="preserve"> </w:t>
      </w:r>
      <w:r w:rsidRPr="00105FFC">
        <w:rPr>
          <w:rFonts w:asciiTheme="minorHAnsi" w:eastAsiaTheme="minorHAnsi" w:hAnsiTheme="minorHAnsi" w:cstheme="minorBidi"/>
        </w:rPr>
        <w:t xml:space="preserve">is ideal for measuring access to services. </w:t>
      </w:r>
      <w:r w:rsidR="00A541CE" w:rsidRPr="00105FFC">
        <w:rPr>
          <w:rFonts w:asciiTheme="minorHAnsi" w:eastAsiaTheme="minorHAnsi" w:hAnsiTheme="minorHAnsi" w:cstheme="minorBidi"/>
        </w:rPr>
        <w:t xml:space="preserve">Unfortunately, since the group </w:t>
      </w:r>
      <w:r w:rsidR="00A40A2D" w:rsidRPr="00105FFC">
        <w:rPr>
          <w:rFonts w:asciiTheme="minorHAnsi" w:eastAsiaTheme="minorHAnsi" w:hAnsiTheme="minorHAnsi" w:cstheme="minorBidi"/>
        </w:rPr>
        <w:t xml:space="preserve">is entitled to only a limited scope of services, any evaluation of access to care is narrowed to primary focus areas. These include emergency services and pregnancy-related services and outcomes </w:t>
      </w:r>
      <w:r w:rsidRPr="00105FFC">
        <w:rPr>
          <w:rFonts w:asciiTheme="minorHAnsi" w:eastAsiaTheme="minorHAnsi" w:hAnsiTheme="minorHAnsi" w:cstheme="minorBidi"/>
        </w:rPr>
        <w:t>(Table 4)</w:t>
      </w:r>
      <w:r w:rsidR="00A465B1" w:rsidRPr="00105FFC">
        <w:rPr>
          <w:rFonts w:asciiTheme="minorHAnsi" w:eastAsiaTheme="minorHAnsi" w:hAnsiTheme="minorHAnsi" w:cstheme="minorBidi"/>
        </w:rPr>
        <w:t>.</w:t>
      </w:r>
    </w:p>
    <w:p w14:paraId="68049F70" w14:textId="77777777" w:rsidR="001A3F08" w:rsidRPr="00105FFC" w:rsidRDefault="001A3F08" w:rsidP="001A3F08">
      <w:pPr>
        <w:spacing w:line="276" w:lineRule="auto"/>
        <w:rPr>
          <w:rFonts w:asciiTheme="minorHAnsi" w:eastAsiaTheme="minorHAnsi" w:hAnsiTheme="minorHAnsi" w:cstheme="minorBidi"/>
        </w:rPr>
      </w:pPr>
    </w:p>
    <w:p w14:paraId="14657E7B" w14:textId="77777777" w:rsidR="00A541CE" w:rsidRPr="00105FFC" w:rsidRDefault="00E1440C" w:rsidP="001A3F08">
      <w:pPr>
        <w:pStyle w:val="Caption"/>
        <w:spacing w:after="0"/>
        <w:rPr>
          <w:rFonts w:asciiTheme="minorHAnsi" w:eastAsiaTheme="minorHAnsi" w:hAnsiTheme="minorHAnsi" w:cstheme="minorBidi"/>
          <w:b w:val="0"/>
          <w:color w:val="auto"/>
          <w:sz w:val="20"/>
          <w:szCs w:val="20"/>
        </w:rPr>
      </w:pPr>
      <w:bookmarkStart w:id="84" w:name="_Toc458783079"/>
      <w:bookmarkStart w:id="85" w:name="_Toc459285149"/>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4</w:t>
      </w:r>
      <w:r w:rsidRPr="00105FFC">
        <w:rPr>
          <w:rFonts w:asciiTheme="minorHAnsi" w:hAnsiTheme="minorHAnsi"/>
          <w:color w:val="auto"/>
          <w:sz w:val="20"/>
          <w:szCs w:val="20"/>
        </w:rPr>
        <w:fldChar w:fldCharType="end"/>
      </w:r>
      <w:r w:rsidR="00A541CE" w:rsidRPr="00105FFC">
        <w:rPr>
          <w:rFonts w:asciiTheme="minorHAnsi" w:eastAsiaTheme="minorHAnsi" w:hAnsiTheme="minorHAnsi" w:cstheme="minorBidi"/>
          <w:color w:val="auto"/>
          <w:sz w:val="20"/>
          <w:szCs w:val="20"/>
        </w:rPr>
        <w:t>:</w:t>
      </w:r>
      <w:r w:rsidR="00A541CE" w:rsidRPr="00105FFC">
        <w:rPr>
          <w:rFonts w:asciiTheme="minorHAnsi" w:eastAsiaTheme="minorHAnsi" w:hAnsiTheme="minorHAnsi" w:cstheme="minorBidi"/>
          <w:b w:val="0"/>
          <w:color w:val="auto"/>
          <w:sz w:val="20"/>
          <w:szCs w:val="20"/>
        </w:rPr>
        <w:t xml:space="preserve"> </w:t>
      </w:r>
      <w:r w:rsidRPr="00105FFC">
        <w:rPr>
          <w:rFonts w:asciiTheme="minorHAnsi" w:eastAsiaTheme="minorHAnsi" w:hAnsiTheme="minorHAnsi" w:cstheme="minorBidi"/>
          <w:b w:val="0"/>
          <w:color w:val="auto"/>
          <w:sz w:val="20"/>
          <w:szCs w:val="20"/>
        </w:rPr>
        <w:t>Interpreting the Utilization of Restricted-Scope Services</w:t>
      </w:r>
      <w:bookmarkEnd w:id="84"/>
      <w:bookmarkEnd w:id="85"/>
    </w:p>
    <w:tbl>
      <w:tblPr>
        <w:tblStyle w:val="LightGrid-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88"/>
        <w:gridCol w:w="4788"/>
      </w:tblGrid>
      <w:tr w:rsidR="00A541CE" w:rsidRPr="00105FFC" w14:paraId="400302C2" w14:textId="77777777" w:rsidTr="00073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vAlign w:val="center"/>
          </w:tcPr>
          <w:p w14:paraId="14B1F2A7" w14:textId="77777777" w:rsidR="00A541CE" w:rsidRPr="00105FFC" w:rsidRDefault="00A541CE" w:rsidP="00484F8E">
            <w:pPr>
              <w:jc w:val="center"/>
              <w:rPr>
                <w:rFonts w:asciiTheme="minorHAnsi" w:hAnsiTheme="minorHAnsi"/>
                <w:sz w:val="22"/>
                <w:szCs w:val="22"/>
              </w:rPr>
            </w:pPr>
            <w:r w:rsidRPr="00105FFC">
              <w:rPr>
                <w:rFonts w:asciiTheme="minorHAnsi" w:hAnsiTheme="minorHAnsi"/>
                <w:sz w:val="22"/>
                <w:szCs w:val="22"/>
              </w:rPr>
              <w:t>Eligible Services</w:t>
            </w:r>
          </w:p>
        </w:tc>
        <w:tc>
          <w:tcPr>
            <w:tcW w:w="4788" w:type="dxa"/>
            <w:tcBorders>
              <w:top w:val="none" w:sz="0" w:space="0" w:color="auto"/>
              <w:left w:val="none" w:sz="0" w:space="0" w:color="auto"/>
              <w:bottom w:val="none" w:sz="0" w:space="0" w:color="auto"/>
              <w:right w:val="none" w:sz="0" w:space="0" w:color="auto"/>
            </w:tcBorders>
            <w:vAlign w:val="center"/>
          </w:tcPr>
          <w:p w14:paraId="09B6AC77" w14:textId="77777777" w:rsidR="00A541CE" w:rsidRPr="00105FFC" w:rsidRDefault="00A541CE" w:rsidP="00484F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What Service Utilization Reflects</w:t>
            </w:r>
          </w:p>
        </w:tc>
      </w:tr>
      <w:tr w:rsidR="00A541CE" w:rsidRPr="00105FFC" w14:paraId="795895DC" w14:textId="77777777" w:rsidTr="00801D0E">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vAlign w:val="center"/>
          </w:tcPr>
          <w:p w14:paraId="4E8DA8CA" w14:textId="77777777" w:rsidR="00A541CE" w:rsidRPr="00105FFC" w:rsidRDefault="00A541CE" w:rsidP="00484F8E">
            <w:pPr>
              <w:jc w:val="center"/>
              <w:rPr>
                <w:rFonts w:asciiTheme="minorHAnsi" w:hAnsiTheme="minorHAnsi"/>
                <w:sz w:val="22"/>
                <w:szCs w:val="22"/>
              </w:rPr>
            </w:pPr>
            <w:r w:rsidRPr="00105FFC">
              <w:rPr>
                <w:rFonts w:asciiTheme="minorHAnsi" w:hAnsiTheme="minorHAnsi"/>
                <w:sz w:val="22"/>
                <w:szCs w:val="22"/>
              </w:rPr>
              <w:t>Emergency Services</w:t>
            </w:r>
          </w:p>
        </w:tc>
        <w:tc>
          <w:tcPr>
            <w:tcW w:w="4788" w:type="dxa"/>
            <w:tcBorders>
              <w:top w:val="none" w:sz="0" w:space="0" w:color="auto"/>
              <w:left w:val="none" w:sz="0" w:space="0" w:color="auto"/>
              <w:bottom w:val="none" w:sz="0" w:space="0" w:color="auto"/>
              <w:right w:val="none" w:sz="0" w:space="0" w:color="auto"/>
            </w:tcBorders>
            <w:vAlign w:val="center"/>
          </w:tcPr>
          <w:p w14:paraId="2B911ED5" w14:textId="77777777" w:rsidR="00A541CE" w:rsidRPr="00105FFC" w:rsidRDefault="00A40A2D" w:rsidP="00D13725">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Hospital emergency department use rates may be evaluated, but interpreting the results requires consideration of the context.  Unlike individuals eligible for full scope state plan benefits, the undocumented are entitled to only emergency and pregnancy related services.  Therefore, in many cases, the hospital emergency room represents the initial door into the health care system.  A high emergency department rate does not reflect poor access to Medi-Cal primary care, as it is not a covered benefit.</w:t>
            </w:r>
          </w:p>
        </w:tc>
      </w:tr>
      <w:tr w:rsidR="00A541CE" w:rsidRPr="00105FFC" w14:paraId="0DE1E9C8" w14:textId="77777777" w:rsidTr="00801D0E">
        <w:trPr>
          <w:cnfStyle w:val="000000010000" w:firstRow="0" w:lastRow="0" w:firstColumn="0" w:lastColumn="0" w:oddVBand="0" w:evenVBand="0" w:oddHBand="0" w:evenHBand="1"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vAlign w:val="center"/>
          </w:tcPr>
          <w:p w14:paraId="567A19DF" w14:textId="77777777" w:rsidR="00A541CE" w:rsidRPr="00105FFC" w:rsidRDefault="00A541CE" w:rsidP="00484F8E">
            <w:pPr>
              <w:jc w:val="center"/>
              <w:rPr>
                <w:rFonts w:asciiTheme="minorHAnsi" w:hAnsiTheme="minorHAnsi"/>
                <w:sz w:val="22"/>
                <w:szCs w:val="22"/>
              </w:rPr>
            </w:pPr>
            <w:r w:rsidRPr="00105FFC">
              <w:rPr>
                <w:rFonts w:asciiTheme="minorHAnsi" w:hAnsiTheme="minorHAnsi"/>
                <w:sz w:val="22"/>
                <w:szCs w:val="22"/>
              </w:rPr>
              <w:lastRenderedPageBreak/>
              <w:t>Pregnanc</w:t>
            </w:r>
            <w:r w:rsidR="00D13725" w:rsidRPr="00105FFC">
              <w:rPr>
                <w:rFonts w:asciiTheme="minorHAnsi" w:hAnsiTheme="minorHAnsi"/>
                <w:sz w:val="22"/>
                <w:szCs w:val="22"/>
              </w:rPr>
              <w:t>y-</w:t>
            </w:r>
            <w:r w:rsidRPr="00105FFC">
              <w:rPr>
                <w:rFonts w:asciiTheme="minorHAnsi" w:hAnsiTheme="minorHAnsi"/>
                <w:sz w:val="22"/>
                <w:szCs w:val="22"/>
              </w:rPr>
              <w:t>Related Services</w:t>
            </w:r>
          </w:p>
        </w:tc>
        <w:tc>
          <w:tcPr>
            <w:tcW w:w="4788" w:type="dxa"/>
            <w:tcBorders>
              <w:top w:val="none" w:sz="0" w:space="0" w:color="auto"/>
              <w:left w:val="none" w:sz="0" w:space="0" w:color="auto"/>
              <w:bottom w:val="none" w:sz="0" w:space="0" w:color="auto"/>
              <w:right w:val="none" w:sz="0" w:space="0" w:color="auto"/>
            </w:tcBorders>
            <w:vAlign w:val="center"/>
          </w:tcPr>
          <w:p w14:paraId="253F7115" w14:textId="77777777" w:rsidR="00A541CE" w:rsidRPr="00105FFC" w:rsidRDefault="00A541CE" w:rsidP="00D13725">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105FFC">
              <w:rPr>
                <w:rFonts w:asciiTheme="minorHAnsi" w:hAnsiTheme="minorHAnsi"/>
                <w:sz w:val="22"/>
                <w:szCs w:val="22"/>
              </w:rPr>
              <w:t xml:space="preserve">Utilization of </w:t>
            </w:r>
            <w:r w:rsidR="007E5A24" w:rsidRPr="00105FFC">
              <w:rPr>
                <w:rFonts w:asciiTheme="minorHAnsi" w:hAnsiTheme="minorHAnsi"/>
                <w:sz w:val="22"/>
                <w:szCs w:val="22"/>
              </w:rPr>
              <w:t xml:space="preserve">pre-natal and post-partum </w:t>
            </w:r>
            <w:r w:rsidRPr="00105FFC">
              <w:rPr>
                <w:rFonts w:asciiTheme="minorHAnsi" w:hAnsiTheme="minorHAnsi"/>
                <w:sz w:val="22"/>
                <w:szCs w:val="22"/>
              </w:rPr>
              <w:t>pregnancy services can be used to evaluate access to care in the Undoc</w:t>
            </w:r>
            <w:r w:rsidR="001637EA" w:rsidRPr="00105FFC">
              <w:rPr>
                <w:rFonts w:asciiTheme="minorHAnsi" w:hAnsiTheme="minorHAnsi"/>
                <w:sz w:val="22"/>
                <w:szCs w:val="22"/>
              </w:rPr>
              <w:t>umented population as pregnancy-</w:t>
            </w:r>
            <w:r w:rsidRPr="00105FFC">
              <w:rPr>
                <w:rFonts w:asciiTheme="minorHAnsi" w:hAnsiTheme="minorHAnsi"/>
                <w:sz w:val="22"/>
                <w:szCs w:val="22"/>
              </w:rPr>
              <w:t>related services are covered by Medi-Cal</w:t>
            </w:r>
            <w:r w:rsidR="001637EA" w:rsidRPr="00105FFC">
              <w:rPr>
                <w:rFonts w:asciiTheme="minorHAnsi" w:hAnsiTheme="minorHAnsi"/>
                <w:sz w:val="22"/>
                <w:szCs w:val="22"/>
              </w:rPr>
              <w:t>,</w:t>
            </w:r>
            <w:r w:rsidRPr="00105FFC">
              <w:rPr>
                <w:rFonts w:asciiTheme="minorHAnsi" w:hAnsiTheme="minorHAnsi"/>
                <w:sz w:val="22"/>
                <w:szCs w:val="22"/>
              </w:rPr>
              <w:t xml:space="preserve"> and likely all of these services were provided by Medi-Cal.</w:t>
            </w:r>
            <w:r w:rsidR="00A40A2D" w:rsidRPr="00105FFC">
              <w:rPr>
                <w:rFonts w:asciiTheme="minorHAnsi" w:hAnsiTheme="minorHAnsi"/>
                <w:sz w:val="22"/>
                <w:szCs w:val="22"/>
              </w:rPr>
              <w:t xml:space="preserve"> In addition, various birth outcomes such as low birthweight, preterm births, etc. may be evaluated.</w:t>
            </w:r>
          </w:p>
        </w:tc>
      </w:tr>
    </w:tbl>
    <w:p w14:paraId="2ED24525" w14:textId="77777777" w:rsidR="00E1440C" w:rsidRPr="00105FFC" w:rsidRDefault="00E1440C" w:rsidP="00796B5E">
      <w:pPr>
        <w:spacing w:after="200" w:line="276" w:lineRule="auto"/>
        <w:rPr>
          <w:rFonts w:asciiTheme="minorHAnsi" w:eastAsiaTheme="minorHAnsi" w:hAnsiTheme="minorHAnsi" w:cstheme="minorBidi"/>
        </w:rPr>
      </w:pPr>
    </w:p>
    <w:p w14:paraId="53B36BB7" w14:textId="77777777" w:rsidR="00B95652" w:rsidRPr="00085BCA" w:rsidRDefault="00B95652" w:rsidP="00085BCA">
      <w:pPr>
        <w:rPr>
          <w:rFonts w:asciiTheme="minorHAnsi" w:eastAsiaTheme="minorHAnsi" w:hAnsiTheme="minorHAnsi"/>
        </w:rPr>
      </w:pPr>
      <w:r w:rsidRPr="00085BCA">
        <w:rPr>
          <w:rFonts w:asciiTheme="minorHAnsi" w:eastAsiaTheme="minorHAnsi" w:hAnsiTheme="minorHAnsi"/>
        </w:rPr>
        <w:t>In the case of the Undocumented aid category, Emergency Department (ED) visits in Medi-Cal cannot</w:t>
      </w:r>
      <w:r w:rsidR="0059760A" w:rsidRPr="00085BCA">
        <w:rPr>
          <w:rFonts w:asciiTheme="minorHAnsi" w:eastAsiaTheme="minorHAnsi" w:hAnsiTheme="minorHAnsi"/>
        </w:rPr>
        <w:t xml:space="preserve"> generally be used to evaluate</w:t>
      </w:r>
      <w:r w:rsidRPr="00085BCA">
        <w:rPr>
          <w:rFonts w:asciiTheme="minorHAnsi" w:eastAsiaTheme="minorHAnsi" w:hAnsiTheme="minorHAnsi"/>
        </w:rPr>
        <w:t xml:space="preserve"> Medi-Cal’s performance with respect to preventative services (Table 4). The very fact that this group does not qualify for preventative services means ED utilization simply reflects the only avenue to health care services covered by Medi-Cal. Contrary to the assumption that low ED rates are “good,” it can be argued that consistently high ED rates among Undocumented beneficiaries serve as evidence that individuals are accessing services without issue, given the current policy. In terms of evaluating the significance of high ED use rates among the Undocumented: high ED use rates cannot generally be interpreted as a failure of Medi-Cal’s primary care access, but demonstrate that Undocumented beneficiaries are generally not covered by Medi-Cal for preventative services. Exceptions include pregnancy-related pre-natal and post-partum care, and select birth outcomes which can be evaluated and are included in this report under the Obstetric Services and Births Outcomes domain.</w:t>
      </w:r>
    </w:p>
    <w:p w14:paraId="25382C11" w14:textId="77777777" w:rsidR="00E1440C" w:rsidRPr="00105FFC" w:rsidRDefault="00D90CF3" w:rsidP="00E36EC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In general, access to</w:t>
      </w:r>
      <w:r w:rsidR="00B95652" w:rsidRPr="00105FFC">
        <w:rPr>
          <w:rFonts w:asciiTheme="minorHAnsi" w:eastAsiaTheme="minorHAnsi" w:hAnsiTheme="minorHAnsi" w:cstheme="minorBidi"/>
        </w:rPr>
        <w:t xml:space="preserve"> emergency services is primarily</w:t>
      </w:r>
      <w:r w:rsidRPr="00105FFC">
        <w:rPr>
          <w:rFonts w:asciiTheme="minorHAnsi" w:eastAsiaTheme="minorHAnsi" w:hAnsiTheme="minorHAnsi" w:cstheme="minorBidi"/>
        </w:rPr>
        <w:t xml:space="preserve"> </w:t>
      </w:r>
      <w:r w:rsidR="0085402D" w:rsidRPr="00105FFC">
        <w:rPr>
          <w:rFonts w:asciiTheme="minorHAnsi" w:eastAsiaTheme="minorHAnsi" w:hAnsiTheme="minorHAnsi" w:cstheme="minorBidi"/>
        </w:rPr>
        <w:t>provided for</w:t>
      </w:r>
      <w:r w:rsidRPr="00105FFC">
        <w:rPr>
          <w:rFonts w:asciiTheme="minorHAnsi" w:eastAsiaTheme="minorHAnsi" w:hAnsiTheme="minorHAnsi" w:cstheme="minorBidi"/>
        </w:rPr>
        <w:t xml:space="preserve"> through federal statute that requires acute care emergency departments </w:t>
      </w:r>
      <w:r w:rsidR="00695A70" w:rsidRPr="00105FFC">
        <w:rPr>
          <w:rFonts w:asciiTheme="minorHAnsi" w:eastAsiaTheme="minorHAnsi" w:hAnsiTheme="minorHAnsi" w:cstheme="minorBidi"/>
        </w:rPr>
        <w:t>to evaluate and treat emergent</w:t>
      </w:r>
      <w:r w:rsidRPr="00105FFC">
        <w:rPr>
          <w:rFonts w:asciiTheme="minorHAnsi" w:eastAsiaTheme="minorHAnsi" w:hAnsiTheme="minorHAnsi" w:cstheme="minorBidi"/>
        </w:rPr>
        <w:t xml:space="preserve"> conditions.  </w:t>
      </w:r>
      <w:r w:rsidR="00E1440C" w:rsidRPr="00105FFC">
        <w:rPr>
          <w:rFonts w:asciiTheme="minorHAnsi" w:eastAsiaTheme="minorHAnsi" w:hAnsiTheme="minorHAnsi" w:cstheme="minorBidi"/>
        </w:rPr>
        <w:t>The Emergency Medical Treatment and Labor Act (EMTALA) of 1986 requires hospital EDs to provide screening and treatment for emergen</w:t>
      </w:r>
      <w:r w:rsidR="00614B68" w:rsidRPr="00105FFC">
        <w:rPr>
          <w:rFonts w:asciiTheme="minorHAnsi" w:eastAsiaTheme="minorHAnsi" w:hAnsiTheme="minorHAnsi" w:cstheme="minorBidi"/>
        </w:rPr>
        <w:t>cy conditions (including labor)</w:t>
      </w:r>
      <w:r w:rsidR="00E1440C" w:rsidRPr="00105FFC">
        <w:rPr>
          <w:rFonts w:asciiTheme="minorHAnsi" w:eastAsiaTheme="minorHAnsi" w:hAnsiTheme="minorHAnsi" w:cstheme="minorBidi"/>
        </w:rPr>
        <w:t xml:space="preserve"> for anyone who presents, regardless of their </w:t>
      </w:r>
      <w:r w:rsidR="00694D28" w:rsidRPr="00105FFC">
        <w:rPr>
          <w:rFonts w:asciiTheme="minorHAnsi" w:eastAsiaTheme="minorHAnsi" w:hAnsiTheme="minorHAnsi" w:cstheme="minorBidi"/>
        </w:rPr>
        <w:t>ability</w:t>
      </w:r>
      <w:r w:rsidR="00E1440C" w:rsidRPr="00105FFC">
        <w:rPr>
          <w:rFonts w:asciiTheme="minorHAnsi" w:eastAsiaTheme="minorHAnsi" w:hAnsiTheme="minorHAnsi" w:cstheme="minorBidi"/>
        </w:rPr>
        <w:t xml:space="preserve"> to pay for care. </w:t>
      </w:r>
      <w:r w:rsidR="00E1440C" w:rsidRPr="00105FFC">
        <w:rPr>
          <w:rFonts w:asciiTheme="minorHAnsi" w:eastAsiaTheme="minorHAnsi" w:hAnsiTheme="minorHAnsi" w:cstheme="minorBidi"/>
          <w:vertAlign w:val="superscript"/>
        </w:rPr>
        <w:endnoteReference w:id="18"/>
      </w:r>
    </w:p>
    <w:p w14:paraId="39669E6B" w14:textId="77777777" w:rsidR="00E1440C" w:rsidRPr="00105FFC" w:rsidRDefault="00614B68"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nuance of restricted-</w:t>
      </w:r>
      <w:r w:rsidR="00E1440C" w:rsidRPr="00105FFC">
        <w:rPr>
          <w:rFonts w:asciiTheme="minorHAnsi" w:eastAsiaTheme="minorHAnsi" w:hAnsiTheme="minorHAnsi" w:cstheme="minorBidi"/>
        </w:rPr>
        <w:t xml:space="preserve">scope benefits calls attention to </w:t>
      </w:r>
      <w:r w:rsidR="00D90CF3" w:rsidRPr="00105FFC">
        <w:rPr>
          <w:rFonts w:asciiTheme="minorHAnsi" w:eastAsiaTheme="minorHAnsi" w:hAnsiTheme="minorHAnsi" w:cstheme="minorBidi"/>
        </w:rPr>
        <w:t xml:space="preserve">the complexities </w:t>
      </w:r>
      <w:r w:rsidRPr="00105FFC">
        <w:rPr>
          <w:rFonts w:asciiTheme="minorHAnsi" w:eastAsiaTheme="minorHAnsi" w:hAnsiTheme="minorHAnsi" w:cstheme="minorBidi"/>
        </w:rPr>
        <w:t>that those conducting</w:t>
      </w:r>
      <w:r w:rsidR="00E1440C" w:rsidRPr="00105FFC">
        <w:rPr>
          <w:rFonts w:asciiTheme="minorHAnsi" w:eastAsiaTheme="minorHAnsi" w:hAnsiTheme="minorHAnsi" w:cstheme="minorBidi"/>
        </w:rPr>
        <w:t xml:space="preserve"> access studies must heed when organizing, analyzing, and interpreting statistics. It is particularly important to consider how such a group</w:t>
      </w:r>
      <w:r w:rsidRPr="00105FFC">
        <w:rPr>
          <w:rFonts w:asciiTheme="minorHAnsi" w:eastAsiaTheme="minorHAnsi" w:hAnsiTheme="minorHAnsi" w:cstheme="minorBidi"/>
        </w:rPr>
        <w:t xml:space="preserve"> as the Undocumented </w:t>
      </w:r>
      <w:r w:rsidR="00E1440C" w:rsidRPr="00105FFC">
        <w:rPr>
          <w:rFonts w:asciiTheme="minorHAnsi" w:eastAsiaTheme="minorHAnsi" w:hAnsiTheme="minorHAnsi" w:cstheme="minorBidi"/>
        </w:rPr>
        <w:t>influences the results of the population as a whole, and what to expec</w:t>
      </w:r>
      <w:r w:rsidR="00F747F1" w:rsidRPr="00105FFC">
        <w:rPr>
          <w:rFonts w:asciiTheme="minorHAnsi" w:eastAsiaTheme="minorHAnsi" w:hAnsiTheme="minorHAnsi" w:cstheme="minorBidi"/>
        </w:rPr>
        <w:t xml:space="preserve">t when </w:t>
      </w:r>
      <w:r w:rsidRPr="00105FFC">
        <w:rPr>
          <w:rFonts w:asciiTheme="minorHAnsi" w:eastAsiaTheme="minorHAnsi" w:hAnsiTheme="minorHAnsi" w:cstheme="minorBidi"/>
        </w:rPr>
        <w:t>that</w:t>
      </w:r>
      <w:r w:rsidR="00694D28" w:rsidRPr="00105FFC">
        <w:rPr>
          <w:rFonts w:asciiTheme="minorHAnsi" w:eastAsiaTheme="minorHAnsi" w:hAnsiTheme="minorHAnsi" w:cstheme="minorBidi"/>
        </w:rPr>
        <w:t xml:space="preserve"> group is </w:t>
      </w:r>
      <w:r w:rsidR="00F747F1" w:rsidRPr="00105FFC">
        <w:rPr>
          <w:rFonts w:asciiTheme="minorHAnsi" w:eastAsiaTheme="minorHAnsi" w:hAnsiTheme="minorHAnsi" w:cstheme="minorBidi"/>
        </w:rPr>
        <w:t xml:space="preserve">examined independently. </w:t>
      </w:r>
      <w:r w:rsidR="00261539" w:rsidRPr="00105FFC">
        <w:rPr>
          <w:rFonts w:asciiTheme="minorHAnsi" w:eastAsiaTheme="minorHAnsi" w:hAnsiTheme="minorHAnsi" w:cstheme="minorBidi"/>
        </w:rPr>
        <w:t xml:space="preserve">For example, the Undocumented may seek care through hospital </w:t>
      </w:r>
      <w:r w:rsidR="00B95652" w:rsidRPr="00105FFC">
        <w:rPr>
          <w:rFonts w:asciiTheme="minorHAnsi" w:eastAsiaTheme="minorHAnsi" w:hAnsiTheme="minorHAnsi" w:cstheme="minorBidi"/>
        </w:rPr>
        <w:t>EDs</w:t>
      </w:r>
      <w:r w:rsidR="00261539" w:rsidRPr="00105FFC">
        <w:rPr>
          <w:rFonts w:asciiTheme="minorHAnsi" w:eastAsiaTheme="minorHAnsi" w:hAnsiTheme="minorHAnsi" w:cstheme="minorBidi"/>
        </w:rPr>
        <w:t xml:space="preserve"> for much of their health care needs.  While for many groups this may indicate an access to care issue, but in the case of the Undocumented this simply reflects their awarded benefit package and primary means of accessing the health care system.</w:t>
      </w:r>
      <w:r w:rsidR="00454A31" w:rsidRPr="00105FFC">
        <w:rPr>
          <w:rFonts w:asciiTheme="minorHAnsi" w:eastAsiaTheme="minorHAnsi" w:hAnsiTheme="minorHAnsi" w:cstheme="minorBidi"/>
        </w:rPr>
        <w:t xml:space="preserve">  </w:t>
      </w:r>
      <w:r w:rsidR="00B95652" w:rsidRPr="00105FFC">
        <w:rPr>
          <w:rFonts w:asciiTheme="minorHAnsi" w:eastAsiaTheme="minorHAnsi" w:hAnsiTheme="minorHAnsi" w:cstheme="minorBidi"/>
        </w:rPr>
        <w:t xml:space="preserve">For many undocumented women, </w:t>
      </w:r>
      <w:r w:rsidR="00B95652" w:rsidRPr="00105FFC">
        <w:rPr>
          <w:rFonts w:asciiTheme="minorHAnsi" w:eastAsiaTheme="minorHAnsi" w:hAnsiTheme="minorHAnsi" w:cstheme="minorBidi"/>
        </w:rPr>
        <w:lastRenderedPageBreak/>
        <w:t xml:space="preserve">the hospital ED represents an entry into the hospital acute care setting for the delivery of a child.  </w:t>
      </w:r>
      <w:r w:rsidR="00454A31" w:rsidRPr="00105FFC">
        <w:rPr>
          <w:rFonts w:asciiTheme="minorHAnsi" w:eastAsiaTheme="minorHAnsi" w:hAnsiTheme="minorHAnsi" w:cstheme="minorBidi"/>
        </w:rPr>
        <w:t>How one interprets this statistic requires an understanding of the benefits awarded and delivery system access points based on those benefits.</w:t>
      </w:r>
    </w:p>
    <w:p w14:paraId="30D83887" w14:textId="77777777" w:rsidR="001B4E6F" w:rsidRPr="00105FFC" w:rsidRDefault="001B4E6F" w:rsidP="00F747F1">
      <w:pPr>
        <w:pStyle w:val="Heading3"/>
        <w:spacing w:before="0" w:after="120" w:line="276" w:lineRule="auto"/>
        <w:rPr>
          <w:rFonts w:eastAsiaTheme="minorHAnsi"/>
          <w:sz w:val="24"/>
        </w:rPr>
      </w:pPr>
      <w:bookmarkStart w:id="86" w:name="_Toc459287715"/>
      <w:r w:rsidRPr="00105FFC">
        <w:rPr>
          <w:rFonts w:eastAsiaTheme="minorHAnsi"/>
        </w:rPr>
        <w:t>Dual Eligibles</w:t>
      </w:r>
      <w:bookmarkEnd w:id="86"/>
    </w:p>
    <w:p w14:paraId="71FD5BB8" w14:textId="77777777" w:rsidR="00F747F1" w:rsidRPr="00105FFC" w:rsidRDefault="001B4E6F" w:rsidP="00F747F1">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Medicare is a federal health</w:t>
      </w:r>
      <w:r w:rsidR="00614B68" w:rsidRPr="00105FFC">
        <w:rPr>
          <w:rFonts w:asciiTheme="minorHAnsi" w:eastAsiaTheme="minorHAnsi" w:hAnsiTheme="minorHAnsi" w:cstheme="minorBidi"/>
        </w:rPr>
        <w:t xml:space="preserve"> </w:t>
      </w:r>
      <w:r w:rsidRPr="00105FFC">
        <w:rPr>
          <w:rFonts w:asciiTheme="minorHAnsi" w:eastAsiaTheme="minorHAnsi" w:hAnsiTheme="minorHAnsi" w:cstheme="minorBidi"/>
        </w:rPr>
        <w:t>care program for individuals who are</w:t>
      </w:r>
      <w:r w:rsidR="000A294E" w:rsidRPr="00105FFC">
        <w:rPr>
          <w:rFonts w:asciiTheme="minorHAnsi" w:eastAsiaTheme="minorHAnsi" w:hAnsiTheme="minorHAnsi" w:cstheme="minorBidi"/>
        </w:rPr>
        <w:t xml:space="preserve"> age</w:t>
      </w:r>
      <w:r w:rsidRPr="00105FFC">
        <w:rPr>
          <w:rFonts w:asciiTheme="minorHAnsi" w:eastAsiaTheme="minorHAnsi" w:hAnsiTheme="minorHAnsi" w:cstheme="minorBidi"/>
        </w:rPr>
        <w:t xml:space="preserve"> 65 or older, or younger people who have a disability or </w:t>
      </w:r>
      <w:r w:rsidR="00E36ECA" w:rsidRPr="00105FFC">
        <w:rPr>
          <w:rFonts w:asciiTheme="minorHAnsi" w:eastAsiaTheme="minorHAnsi" w:hAnsiTheme="minorHAnsi" w:cstheme="minorBidi"/>
        </w:rPr>
        <w:t xml:space="preserve">are living with </w:t>
      </w:r>
      <w:r w:rsidRPr="00105FFC">
        <w:rPr>
          <w:rFonts w:asciiTheme="minorHAnsi" w:eastAsiaTheme="minorHAnsi" w:hAnsiTheme="minorHAnsi" w:cstheme="minorBidi"/>
        </w:rPr>
        <w:t>permanent kidney failure</w:t>
      </w:r>
      <w:r w:rsidR="006944F3" w:rsidRPr="00105FFC">
        <w:rPr>
          <w:rFonts w:asciiTheme="minorHAnsi" w:eastAsiaTheme="minorHAnsi" w:hAnsiTheme="minorHAnsi" w:cstheme="minorBidi"/>
        </w:rPr>
        <w:t xml:space="preserve"> or HIV/AIDS</w:t>
      </w:r>
      <w:r w:rsidRPr="00105FFC">
        <w:rPr>
          <w:rFonts w:asciiTheme="minorHAnsi" w:eastAsiaTheme="minorHAnsi" w:hAnsiTheme="minorHAnsi" w:cstheme="minorBidi"/>
        </w:rPr>
        <w:t>. G</w:t>
      </w:r>
      <w:r w:rsidR="00520434" w:rsidRPr="00105FFC">
        <w:rPr>
          <w:rFonts w:asciiTheme="minorHAnsi" w:eastAsiaTheme="minorHAnsi" w:hAnsiTheme="minorHAnsi" w:cstheme="minorBidi"/>
        </w:rPr>
        <w:t>enerally, Medicare covers physician</w:t>
      </w:r>
      <w:r w:rsidRPr="00105FFC">
        <w:rPr>
          <w:rFonts w:asciiTheme="minorHAnsi" w:eastAsiaTheme="minorHAnsi" w:hAnsiTheme="minorHAnsi" w:cstheme="minorBidi"/>
        </w:rPr>
        <w:t xml:space="preserve"> services, prevent</w:t>
      </w:r>
      <w:r w:rsidR="00520434" w:rsidRPr="00105FFC">
        <w:rPr>
          <w:rFonts w:asciiTheme="minorHAnsi" w:eastAsiaTheme="minorHAnsi" w:hAnsiTheme="minorHAnsi" w:cstheme="minorBidi"/>
        </w:rPr>
        <w:t>at</w:t>
      </w:r>
      <w:r w:rsidRPr="00105FFC">
        <w:rPr>
          <w:rFonts w:asciiTheme="minorHAnsi" w:eastAsiaTheme="minorHAnsi" w:hAnsiTheme="minorHAnsi" w:cstheme="minorBidi"/>
        </w:rPr>
        <w:t>ive services, outpatient care, inpatient hospital stays, and skilled nursing facility care</w:t>
      </w:r>
      <w:r w:rsidR="00520434" w:rsidRPr="00105FFC">
        <w:rPr>
          <w:rFonts w:asciiTheme="minorHAnsi" w:eastAsiaTheme="minorHAnsi" w:hAnsiTheme="minorHAnsi" w:cstheme="minorBidi"/>
        </w:rPr>
        <w:t>.</w:t>
      </w:r>
      <w:r w:rsidRPr="00105FFC">
        <w:rPr>
          <w:rStyle w:val="EndnoteReference"/>
          <w:rFonts w:asciiTheme="minorHAnsi" w:eastAsiaTheme="minorHAnsi" w:hAnsiTheme="minorHAnsi" w:cstheme="minorBidi"/>
        </w:rPr>
        <w:endnoteReference w:id="19"/>
      </w:r>
      <w:r w:rsidR="00520434" w:rsidRPr="00105FFC">
        <w:rPr>
          <w:rFonts w:asciiTheme="minorHAnsi" w:eastAsiaTheme="minorHAnsi" w:hAnsiTheme="minorHAnsi" w:cstheme="minorBidi"/>
        </w:rPr>
        <w:t xml:space="preserve"> Some individuals who</w:t>
      </w:r>
      <w:r w:rsidRPr="00105FFC">
        <w:rPr>
          <w:rFonts w:asciiTheme="minorHAnsi" w:eastAsiaTheme="minorHAnsi" w:hAnsiTheme="minorHAnsi" w:cstheme="minorBidi"/>
        </w:rPr>
        <w:t xml:space="preserve"> qualify for Medicare benefits also qualify for Medi-Cal on the basis</w:t>
      </w:r>
      <w:r w:rsidR="00520434" w:rsidRPr="00105FFC">
        <w:rPr>
          <w:rFonts w:asciiTheme="minorHAnsi" w:eastAsiaTheme="minorHAnsi" w:hAnsiTheme="minorHAnsi" w:cstheme="minorBidi"/>
        </w:rPr>
        <w:t xml:space="preserve"> of disability or income level.</w:t>
      </w:r>
      <w:r w:rsidRPr="00105FFC">
        <w:rPr>
          <w:rFonts w:asciiTheme="minorHAnsi" w:eastAsiaTheme="minorHAnsi" w:hAnsiTheme="minorHAnsi" w:cstheme="minorBidi"/>
        </w:rPr>
        <w:t xml:space="preserve"> In this monitoring plan</w:t>
      </w:r>
      <w:r w:rsidR="00520434" w:rsidRPr="00105FFC">
        <w:rPr>
          <w:rFonts w:asciiTheme="minorHAnsi" w:eastAsiaTheme="minorHAnsi" w:hAnsiTheme="minorHAnsi" w:cstheme="minorBidi"/>
        </w:rPr>
        <w:t>, individuals</w:t>
      </w:r>
      <w:r w:rsidRPr="00105FFC">
        <w:rPr>
          <w:rFonts w:asciiTheme="minorHAnsi" w:eastAsiaTheme="minorHAnsi" w:hAnsiTheme="minorHAnsi" w:cstheme="minorBidi"/>
        </w:rPr>
        <w:t xml:space="preserve"> with both Medicare and Medi-C</w:t>
      </w:r>
      <w:r w:rsidR="00520434" w:rsidRPr="00105FFC">
        <w:rPr>
          <w:rFonts w:asciiTheme="minorHAnsi" w:eastAsiaTheme="minorHAnsi" w:hAnsiTheme="minorHAnsi" w:cstheme="minorBidi"/>
        </w:rPr>
        <w:t>al coverage are referred to as Dual E</w:t>
      </w:r>
      <w:r w:rsidRPr="00105FFC">
        <w:rPr>
          <w:rFonts w:asciiTheme="minorHAnsi" w:eastAsiaTheme="minorHAnsi" w:hAnsiTheme="minorHAnsi" w:cstheme="minorBidi"/>
        </w:rPr>
        <w:t>ligibles.</w:t>
      </w:r>
    </w:p>
    <w:p w14:paraId="70D32B6E" w14:textId="77777777" w:rsidR="001B4E6F" w:rsidRPr="00105FFC" w:rsidRDefault="001B4E6F"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t>Federal law requires that Medicaid be the payer of last resort</w:t>
      </w:r>
      <w:r w:rsidR="00520434" w:rsidRPr="00105FFC">
        <w:rPr>
          <w:rFonts w:asciiTheme="minorHAnsi" w:eastAsiaTheme="minorHAnsi" w:hAnsiTheme="minorHAnsi" w:cstheme="minorBidi"/>
        </w:rPr>
        <w:t>.</w:t>
      </w:r>
      <w:r w:rsidRPr="00105FFC">
        <w:rPr>
          <w:rStyle w:val="EndnoteReference"/>
          <w:rFonts w:asciiTheme="minorHAnsi" w:eastAsiaTheme="minorHAnsi" w:hAnsiTheme="minorHAnsi" w:cstheme="minorBidi"/>
        </w:rPr>
        <w:endnoteReference w:id="20"/>
      </w:r>
      <w:r w:rsidRPr="00105FFC">
        <w:rPr>
          <w:rFonts w:asciiTheme="minorHAnsi" w:eastAsiaTheme="minorHAnsi" w:hAnsiTheme="minorHAnsi" w:cstheme="minorBidi"/>
        </w:rPr>
        <w:t xml:space="preserve">  Consequently, Medicare benefits must be utilized and paid</w:t>
      </w:r>
      <w:r w:rsidR="00520434" w:rsidRPr="00105FFC">
        <w:rPr>
          <w:rFonts w:asciiTheme="minorHAnsi" w:eastAsiaTheme="minorHAnsi" w:hAnsiTheme="minorHAnsi" w:cstheme="minorBidi"/>
        </w:rPr>
        <w:t xml:space="preserve"> for before Medi-Cal services</w:t>
      </w:r>
      <w:r w:rsidR="00226EC2" w:rsidRPr="00105FFC">
        <w:rPr>
          <w:rFonts w:asciiTheme="minorHAnsi" w:eastAsiaTheme="minorHAnsi" w:hAnsiTheme="minorHAnsi" w:cstheme="minorBidi"/>
        </w:rPr>
        <w:t xml:space="preserve"> can be reimbursed</w:t>
      </w:r>
      <w:r w:rsidR="00520434" w:rsidRPr="00105FFC">
        <w:rPr>
          <w:rFonts w:asciiTheme="minorHAnsi" w:eastAsiaTheme="minorHAnsi" w:hAnsiTheme="minorHAnsi" w:cstheme="minorBidi"/>
        </w:rPr>
        <w:t xml:space="preserve">. </w:t>
      </w:r>
      <w:r w:rsidRPr="00105FFC">
        <w:rPr>
          <w:rFonts w:asciiTheme="minorHAnsi" w:eastAsiaTheme="minorHAnsi" w:hAnsiTheme="minorHAnsi" w:cstheme="minorBidi"/>
        </w:rPr>
        <w:t xml:space="preserve">If Medicare does not cover a specific service, or a Medicare benefit is exhausted, and the beneficiary has no other private insurance, then Medi-Cal coverage can be applied. </w:t>
      </w:r>
      <w:r w:rsidR="00CA4E97" w:rsidRPr="00105FFC">
        <w:rPr>
          <w:rFonts w:asciiTheme="minorHAnsi" w:eastAsiaTheme="minorHAnsi" w:hAnsiTheme="minorHAnsi" w:cstheme="minorBidi"/>
        </w:rPr>
        <w:t>Table 5</w:t>
      </w:r>
      <w:r w:rsidRPr="00105FFC">
        <w:rPr>
          <w:rFonts w:asciiTheme="minorHAnsi" w:eastAsiaTheme="minorHAnsi" w:hAnsiTheme="minorHAnsi" w:cstheme="minorBidi"/>
        </w:rPr>
        <w:t xml:space="preserve"> provides a </w:t>
      </w:r>
      <w:r w:rsidR="00210A86" w:rsidRPr="00105FFC">
        <w:rPr>
          <w:rFonts w:asciiTheme="minorHAnsi" w:eastAsiaTheme="minorHAnsi" w:hAnsiTheme="minorHAnsi" w:cstheme="minorBidi"/>
        </w:rPr>
        <w:t xml:space="preserve">general </w:t>
      </w:r>
      <w:r w:rsidRPr="00105FFC">
        <w:rPr>
          <w:rFonts w:asciiTheme="minorHAnsi" w:eastAsiaTheme="minorHAnsi" w:hAnsiTheme="minorHAnsi" w:cstheme="minorBidi"/>
        </w:rPr>
        <w:t xml:space="preserve">description </w:t>
      </w:r>
      <w:r w:rsidR="00520434" w:rsidRPr="00105FFC">
        <w:rPr>
          <w:rFonts w:asciiTheme="minorHAnsi" w:eastAsiaTheme="minorHAnsi" w:hAnsiTheme="minorHAnsi" w:cstheme="minorBidi"/>
        </w:rPr>
        <w:t xml:space="preserve">of </w:t>
      </w:r>
      <w:r w:rsidRPr="00105FFC">
        <w:rPr>
          <w:rFonts w:asciiTheme="minorHAnsi" w:eastAsiaTheme="minorHAnsi" w:hAnsiTheme="minorHAnsi" w:cstheme="minorBidi"/>
        </w:rPr>
        <w:t>services covered by each program</w:t>
      </w:r>
      <w:r w:rsidR="00210A86" w:rsidRPr="00105FFC">
        <w:rPr>
          <w:rFonts w:asciiTheme="minorHAnsi" w:eastAsiaTheme="minorHAnsi" w:hAnsiTheme="minorHAnsi" w:cstheme="minorBidi"/>
        </w:rPr>
        <w:t xml:space="preserve"> related to dually eligible </w:t>
      </w:r>
      <w:r w:rsidR="00E36ECA" w:rsidRPr="00105FFC">
        <w:rPr>
          <w:rFonts w:asciiTheme="minorHAnsi" w:eastAsiaTheme="minorHAnsi" w:hAnsiTheme="minorHAnsi" w:cstheme="minorBidi"/>
        </w:rPr>
        <w:t>individuals.</w:t>
      </w:r>
    </w:p>
    <w:p w14:paraId="64AEE398" w14:textId="77777777" w:rsidR="00AB26B0" w:rsidRPr="00105FFC" w:rsidRDefault="00AB26B0" w:rsidP="001A3F08">
      <w:pPr>
        <w:spacing w:line="276" w:lineRule="auto"/>
        <w:rPr>
          <w:rFonts w:asciiTheme="minorHAnsi" w:eastAsiaTheme="minorHAnsi" w:hAnsiTheme="minorHAnsi" w:cstheme="minorBidi"/>
        </w:rPr>
      </w:pPr>
    </w:p>
    <w:p w14:paraId="245E30F0" w14:textId="77777777" w:rsidR="00F747F1" w:rsidRPr="00105FFC" w:rsidRDefault="00F747F1" w:rsidP="001A3F08">
      <w:pPr>
        <w:pStyle w:val="Caption"/>
        <w:spacing w:after="0"/>
        <w:rPr>
          <w:rFonts w:asciiTheme="minorHAnsi" w:eastAsiaTheme="minorHAnsi" w:hAnsiTheme="minorHAnsi" w:cstheme="minorBidi"/>
          <w:color w:val="000000" w:themeColor="text1"/>
          <w:sz w:val="20"/>
          <w:szCs w:val="20"/>
        </w:rPr>
      </w:pPr>
      <w:bookmarkStart w:id="87" w:name="_Toc458783080"/>
      <w:bookmarkStart w:id="88" w:name="_Toc459285150"/>
      <w:r w:rsidRPr="00105FFC">
        <w:rPr>
          <w:rFonts w:asciiTheme="minorHAnsi" w:hAnsiTheme="minorHAnsi"/>
          <w:color w:val="000000" w:themeColor="text1"/>
          <w:sz w:val="20"/>
          <w:szCs w:val="20"/>
        </w:rPr>
        <w:t xml:space="preserve">Table </w:t>
      </w:r>
      <w:r w:rsidRPr="00105FFC">
        <w:rPr>
          <w:rFonts w:asciiTheme="minorHAnsi" w:hAnsiTheme="minorHAnsi"/>
          <w:color w:val="000000" w:themeColor="text1"/>
          <w:sz w:val="20"/>
          <w:szCs w:val="20"/>
        </w:rPr>
        <w:fldChar w:fldCharType="begin"/>
      </w:r>
      <w:r w:rsidRPr="00105FFC">
        <w:rPr>
          <w:rFonts w:asciiTheme="minorHAnsi" w:hAnsiTheme="minorHAnsi"/>
          <w:color w:val="000000" w:themeColor="text1"/>
          <w:sz w:val="20"/>
          <w:szCs w:val="20"/>
        </w:rPr>
        <w:instrText xml:space="preserve"> SEQ Table \* ARABIC </w:instrText>
      </w:r>
      <w:r w:rsidRPr="00105FFC">
        <w:rPr>
          <w:rFonts w:asciiTheme="minorHAnsi" w:hAnsiTheme="minorHAnsi"/>
          <w:color w:val="000000" w:themeColor="text1"/>
          <w:sz w:val="20"/>
          <w:szCs w:val="20"/>
        </w:rPr>
        <w:fldChar w:fldCharType="separate"/>
      </w:r>
      <w:r w:rsidR="00B04F0F">
        <w:rPr>
          <w:rFonts w:asciiTheme="minorHAnsi" w:hAnsiTheme="minorHAnsi"/>
          <w:noProof/>
          <w:color w:val="000000" w:themeColor="text1"/>
          <w:sz w:val="20"/>
          <w:szCs w:val="20"/>
        </w:rPr>
        <w:t>5</w:t>
      </w:r>
      <w:r w:rsidRPr="00105FFC">
        <w:rPr>
          <w:rFonts w:asciiTheme="minorHAnsi" w:hAnsiTheme="minorHAnsi"/>
          <w:color w:val="000000" w:themeColor="text1"/>
          <w:sz w:val="20"/>
          <w:szCs w:val="20"/>
        </w:rPr>
        <w:fldChar w:fldCharType="end"/>
      </w:r>
      <w:r w:rsidRPr="00105FFC">
        <w:rPr>
          <w:rFonts w:asciiTheme="minorHAnsi" w:hAnsiTheme="minorHAnsi"/>
          <w:color w:val="000000" w:themeColor="text1"/>
          <w:sz w:val="20"/>
          <w:szCs w:val="20"/>
        </w:rPr>
        <w:t xml:space="preserve">: </w:t>
      </w:r>
      <w:r w:rsidRPr="00105FFC">
        <w:rPr>
          <w:rFonts w:asciiTheme="minorHAnsi" w:hAnsiTheme="minorHAnsi"/>
          <w:b w:val="0"/>
          <w:color w:val="000000" w:themeColor="text1"/>
          <w:sz w:val="20"/>
          <w:szCs w:val="20"/>
        </w:rPr>
        <w:t>Medicare vs. Medi-Cal Services</w:t>
      </w:r>
      <w:r w:rsidR="00210A86" w:rsidRPr="00105FFC">
        <w:rPr>
          <w:rFonts w:asciiTheme="minorHAnsi" w:hAnsiTheme="minorHAnsi"/>
          <w:b w:val="0"/>
          <w:color w:val="000000" w:themeColor="text1"/>
          <w:sz w:val="20"/>
          <w:szCs w:val="20"/>
        </w:rPr>
        <w:t xml:space="preserve"> For Dually Eligible Individuals</w:t>
      </w:r>
      <w:bookmarkEnd w:id="87"/>
      <w:bookmarkEnd w:id="88"/>
    </w:p>
    <w:tbl>
      <w:tblPr>
        <w:tblStyle w:val="TableGrid"/>
        <w:tblW w:w="0" w:type="auto"/>
        <w:tblLook w:val="04A0" w:firstRow="1" w:lastRow="0" w:firstColumn="1" w:lastColumn="0" w:noHBand="0" w:noVBand="1"/>
      </w:tblPr>
      <w:tblGrid>
        <w:gridCol w:w="3192"/>
        <w:gridCol w:w="3192"/>
        <w:gridCol w:w="3192"/>
      </w:tblGrid>
      <w:tr w:rsidR="00A84D24" w:rsidRPr="00105FFC" w14:paraId="36CB4A74" w14:textId="77777777" w:rsidTr="000739EB">
        <w:trPr>
          <w:tblHeader/>
        </w:trPr>
        <w:tc>
          <w:tcPr>
            <w:tcW w:w="3192" w:type="dxa"/>
            <w:vAlign w:val="center"/>
          </w:tcPr>
          <w:p w14:paraId="4C881E2F" w14:textId="77777777" w:rsidR="001B4E6F" w:rsidRPr="00105FFC" w:rsidRDefault="001B4E6F" w:rsidP="000D6C4B">
            <w:pPr>
              <w:spacing w:line="276" w:lineRule="auto"/>
              <w:contextualSpacing/>
              <w:jc w:val="center"/>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Program</w:t>
            </w:r>
          </w:p>
        </w:tc>
        <w:tc>
          <w:tcPr>
            <w:tcW w:w="3192" w:type="dxa"/>
            <w:shd w:val="clear" w:color="auto" w:fill="BFBFBF" w:themeFill="background1" w:themeFillShade="BF"/>
          </w:tcPr>
          <w:p w14:paraId="1CFAD75B" w14:textId="77777777" w:rsidR="001B4E6F" w:rsidRPr="00105FFC" w:rsidRDefault="001B4E6F" w:rsidP="000D6C4B">
            <w:pPr>
              <w:spacing w:line="276" w:lineRule="auto"/>
              <w:contextualSpacing/>
              <w:jc w:val="center"/>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Medicare</w:t>
            </w:r>
          </w:p>
        </w:tc>
        <w:tc>
          <w:tcPr>
            <w:tcW w:w="3192" w:type="dxa"/>
            <w:shd w:val="clear" w:color="auto" w:fill="8DB3E2" w:themeFill="text2" w:themeFillTint="66"/>
          </w:tcPr>
          <w:p w14:paraId="5E246F36" w14:textId="77777777" w:rsidR="001B4E6F" w:rsidRPr="00105FFC" w:rsidRDefault="001B4E6F" w:rsidP="000D6C4B">
            <w:pPr>
              <w:spacing w:line="276" w:lineRule="auto"/>
              <w:contextualSpacing/>
              <w:jc w:val="center"/>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Medi-Cal (Medicaid)</w:t>
            </w:r>
          </w:p>
        </w:tc>
      </w:tr>
      <w:tr w:rsidR="00A84D24" w:rsidRPr="00105FFC" w14:paraId="7E3E163F" w14:textId="77777777" w:rsidTr="000D6C4B">
        <w:tc>
          <w:tcPr>
            <w:tcW w:w="3192" w:type="dxa"/>
            <w:vAlign w:val="center"/>
          </w:tcPr>
          <w:p w14:paraId="2FF403D5" w14:textId="77777777" w:rsidR="001B4E6F" w:rsidRPr="00105FFC" w:rsidRDefault="001B4E6F" w:rsidP="000D6C4B">
            <w:pPr>
              <w:spacing w:line="276" w:lineRule="auto"/>
              <w:contextualSpacing/>
              <w:jc w:val="center"/>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General list of services</w:t>
            </w:r>
          </w:p>
          <w:p w14:paraId="3F43C4FE" w14:textId="77777777" w:rsidR="00210A86" w:rsidRPr="00105FFC" w:rsidRDefault="00210A86" w:rsidP="000D6C4B">
            <w:pPr>
              <w:spacing w:line="276" w:lineRule="auto"/>
              <w:contextualSpacing/>
              <w:jc w:val="center"/>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Covered</w:t>
            </w:r>
          </w:p>
        </w:tc>
        <w:tc>
          <w:tcPr>
            <w:tcW w:w="3192" w:type="dxa"/>
            <w:shd w:val="clear" w:color="auto" w:fill="D9D9D9" w:themeFill="background1" w:themeFillShade="D9"/>
          </w:tcPr>
          <w:p w14:paraId="25E90A1C" w14:textId="77777777" w:rsidR="001B4E6F" w:rsidRPr="00105FFC" w:rsidRDefault="00A84D24"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 xml:space="preserve">Physician Services/ </w:t>
            </w:r>
            <w:r w:rsidR="001B4E6F" w:rsidRPr="00105FFC">
              <w:rPr>
                <w:rFonts w:asciiTheme="minorHAnsi" w:eastAsiaTheme="minorHAnsi" w:hAnsiTheme="minorHAnsi" w:cstheme="minorBidi"/>
                <w:sz w:val="22"/>
                <w:szCs w:val="22"/>
              </w:rPr>
              <w:t>Preventive services</w:t>
            </w:r>
          </w:p>
          <w:p w14:paraId="783592BC"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Hospital Care</w:t>
            </w:r>
          </w:p>
          <w:p w14:paraId="3A4B29D6"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Skilled nursing facility care (up to 100 days)</w:t>
            </w:r>
          </w:p>
          <w:p w14:paraId="7090D42D"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Home health care</w:t>
            </w:r>
          </w:p>
          <w:p w14:paraId="7F28AF97"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Hospice</w:t>
            </w:r>
          </w:p>
          <w:p w14:paraId="56E52DC3"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Prescription drugs</w:t>
            </w:r>
          </w:p>
          <w:p w14:paraId="31198010"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Durable medical equipment (DME)</w:t>
            </w:r>
          </w:p>
        </w:tc>
        <w:tc>
          <w:tcPr>
            <w:tcW w:w="3192" w:type="dxa"/>
            <w:shd w:val="clear" w:color="auto" w:fill="C6D9F1" w:themeFill="text2" w:themeFillTint="33"/>
          </w:tcPr>
          <w:p w14:paraId="3A52A0B5"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Medicare cost sharing</w:t>
            </w:r>
            <w:r w:rsidR="00B95652" w:rsidRPr="00105FFC">
              <w:rPr>
                <w:rFonts w:asciiTheme="minorHAnsi" w:eastAsiaTheme="minorHAnsi" w:hAnsiTheme="minorHAnsi" w:cstheme="minorBidi"/>
                <w:sz w:val="22"/>
                <w:szCs w:val="22"/>
              </w:rPr>
              <w:t xml:space="preserve"> and co-payments</w:t>
            </w:r>
          </w:p>
          <w:p w14:paraId="0EEC10C1"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Skilled nursing facility care (after Medicare benefits are exhausted</w:t>
            </w:r>
            <w:r w:rsidR="0096540D" w:rsidRPr="00105FFC">
              <w:rPr>
                <w:rFonts w:asciiTheme="minorHAnsi" w:eastAsiaTheme="minorHAnsi" w:hAnsiTheme="minorHAnsi" w:cstheme="minorBidi"/>
                <w:sz w:val="22"/>
                <w:szCs w:val="22"/>
              </w:rPr>
              <w:t>/custodial care</w:t>
            </w:r>
            <w:r w:rsidRPr="00105FFC">
              <w:rPr>
                <w:rFonts w:asciiTheme="minorHAnsi" w:eastAsiaTheme="minorHAnsi" w:hAnsiTheme="minorHAnsi" w:cstheme="minorBidi"/>
                <w:sz w:val="22"/>
                <w:szCs w:val="22"/>
              </w:rPr>
              <w:t>)</w:t>
            </w:r>
          </w:p>
          <w:p w14:paraId="114B7D27"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Some prescription drugs not covered by Medicare</w:t>
            </w:r>
          </w:p>
          <w:p w14:paraId="180D0E1F"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DME not covered by Medicare</w:t>
            </w:r>
          </w:p>
          <w:p w14:paraId="47E383A4" w14:textId="77777777" w:rsidR="001B4E6F" w:rsidRPr="00105FFC" w:rsidRDefault="001B4E6F" w:rsidP="001B4E6F">
            <w:pPr>
              <w:pStyle w:val="ListParagraph"/>
              <w:numPr>
                <w:ilvl w:val="0"/>
                <w:numId w:val="14"/>
              </w:num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Optional services (vary by state): dental, vision, home-and-community-based services, personal care, and select home health care</w:t>
            </w:r>
          </w:p>
        </w:tc>
      </w:tr>
    </w:tbl>
    <w:p w14:paraId="2EE86FC4" w14:textId="77777777" w:rsidR="001B4E6F" w:rsidRPr="00105FFC" w:rsidRDefault="001B4E6F" w:rsidP="001A3F08">
      <w:pPr>
        <w:spacing w:line="276" w:lineRule="auto"/>
        <w:rPr>
          <w:rFonts w:asciiTheme="minorHAnsi" w:eastAsiaTheme="minorHAnsi" w:hAnsiTheme="minorHAnsi" w:cstheme="minorBidi"/>
          <w:sz w:val="16"/>
          <w:szCs w:val="16"/>
        </w:rPr>
      </w:pPr>
      <w:r w:rsidRPr="00105FFC">
        <w:rPr>
          <w:rFonts w:asciiTheme="minorHAnsi" w:eastAsiaTheme="minorHAnsi" w:hAnsiTheme="minorHAnsi" w:cstheme="minorBidi"/>
          <w:b/>
          <w:sz w:val="16"/>
          <w:szCs w:val="16"/>
        </w:rPr>
        <w:t>Sources:</w:t>
      </w:r>
      <w:r w:rsidRPr="00105FFC">
        <w:rPr>
          <w:rFonts w:asciiTheme="minorHAnsi" w:eastAsiaTheme="minorHAnsi" w:hAnsiTheme="minorHAnsi" w:cstheme="minorBidi"/>
          <w:sz w:val="16"/>
          <w:szCs w:val="16"/>
        </w:rPr>
        <w:t xml:space="preserve"> </w:t>
      </w:r>
      <w:hyperlink r:id="rId27" w:anchor="duals" w:history="1">
        <w:r w:rsidRPr="00105FFC">
          <w:rPr>
            <w:rStyle w:val="Hyperlink"/>
            <w:rFonts w:asciiTheme="minorHAnsi" w:eastAsiaTheme="minorHAnsi" w:hAnsiTheme="minorHAnsi" w:cstheme="minorBidi"/>
            <w:sz w:val="16"/>
            <w:szCs w:val="16"/>
          </w:rPr>
          <w:t>http://www.calduals.org/background/faq/#duals</w:t>
        </w:r>
      </w:hyperlink>
      <w:r w:rsidR="002D04DA" w:rsidRPr="00105FFC">
        <w:rPr>
          <w:rFonts w:asciiTheme="minorHAnsi" w:eastAsiaTheme="minorHAnsi" w:hAnsiTheme="minorHAnsi" w:cstheme="minorBidi"/>
          <w:sz w:val="16"/>
          <w:szCs w:val="16"/>
        </w:rPr>
        <w:t xml:space="preserve"> and </w:t>
      </w:r>
      <w:hyperlink r:id="rId28" w:history="1">
        <w:r w:rsidRPr="00105FFC">
          <w:rPr>
            <w:rStyle w:val="Hyperlink"/>
            <w:rFonts w:asciiTheme="minorHAnsi" w:eastAsiaTheme="minorHAnsi" w:hAnsiTheme="minorHAnsi" w:cstheme="minorBidi"/>
            <w:sz w:val="16"/>
            <w:szCs w:val="16"/>
          </w:rPr>
          <w:t>https://www.medicare.gov/</w:t>
        </w:r>
      </w:hyperlink>
      <w:r w:rsidR="002D04DA" w:rsidRPr="00105FFC">
        <w:rPr>
          <w:rStyle w:val="Hyperlink"/>
          <w:rFonts w:asciiTheme="minorHAnsi" w:eastAsiaTheme="minorHAnsi" w:hAnsiTheme="minorHAnsi" w:cstheme="minorBidi"/>
          <w:color w:val="000000" w:themeColor="text1"/>
          <w:sz w:val="16"/>
          <w:szCs w:val="16"/>
          <w:u w:val="none"/>
        </w:rPr>
        <w:t>.</w:t>
      </w:r>
    </w:p>
    <w:p w14:paraId="261475DE" w14:textId="77777777" w:rsidR="001A3F08" w:rsidRPr="00105FFC" w:rsidRDefault="001A3F08" w:rsidP="001A3F08">
      <w:pPr>
        <w:spacing w:line="276" w:lineRule="auto"/>
        <w:rPr>
          <w:rFonts w:asciiTheme="minorHAnsi" w:eastAsiaTheme="minorHAnsi" w:hAnsiTheme="minorHAnsi" w:cstheme="minorBidi"/>
        </w:rPr>
      </w:pPr>
    </w:p>
    <w:p w14:paraId="79FA79F2" w14:textId="77777777" w:rsidR="001B4E6F" w:rsidRPr="00105FFC" w:rsidRDefault="001B4E6F"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When comparing the general</w:t>
      </w:r>
      <w:r w:rsidR="00520434" w:rsidRPr="00105FFC">
        <w:rPr>
          <w:rFonts w:asciiTheme="minorHAnsi" w:eastAsiaTheme="minorHAnsi" w:hAnsiTheme="minorHAnsi" w:cstheme="minorBidi"/>
        </w:rPr>
        <w:t xml:space="preserve"> list of services covered by</w:t>
      </w:r>
      <w:r w:rsidRPr="00105FFC">
        <w:rPr>
          <w:rFonts w:asciiTheme="minorHAnsi" w:eastAsiaTheme="minorHAnsi" w:hAnsiTheme="minorHAnsi" w:cstheme="minorBidi"/>
        </w:rPr>
        <w:t xml:space="preserve"> the two programs, it becomes clear that </w:t>
      </w:r>
      <w:r w:rsidR="00AC4B6F" w:rsidRPr="00105FFC">
        <w:rPr>
          <w:rFonts w:asciiTheme="minorHAnsi" w:eastAsiaTheme="minorHAnsi" w:hAnsiTheme="minorHAnsi" w:cstheme="minorBidi"/>
        </w:rPr>
        <w:t xml:space="preserve">Medicare directs many of these individual’s health care services.  </w:t>
      </w:r>
      <w:r w:rsidRPr="00105FFC">
        <w:rPr>
          <w:rFonts w:asciiTheme="minorHAnsi" w:eastAsiaTheme="minorHAnsi" w:hAnsiTheme="minorHAnsi" w:cstheme="minorBidi"/>
        </w:rPr>
        <w:t xml:space="preserve"> Medicare plays the central role in providing preventative services and coordinating specialty care. It is also responsible for </w:t>
      </w:r>
      <w:r w:rsidR="00E57678" w:rsidRPr="00105FFC">
        <w:rPr>
          <w:rFonts w:asciiTheme="minorHAnsi" w:eastAsiaTheme="minorHAnsi" w:hAnsiTheme="minorHAnsi" w:cstheme="minorBidi"/>
        </w:rPr>
        <w:t xml:space="preserve">most </w:t>
      </w:r>
      <w:r w:rsidRPr="00105FFC">
        <w:rPr>
          <w:rFonts w:asciiTheme="minorHAnsi" w:eastAsiaTheme="minorHAnsi" w:hAnsiTheme="minorHAnsi" w:cstheme="minorBidi"/>
        </w:rPr>
        <w:t>inpatient and outpatient benefits</w:t>
      </w:r>
      <w:r w:rsidR="001504FC" w:rsidRPr="00105FFC">
        <w:rPr>
          <w:rStyle w:val="FootnoteReference"/>
          <w:rFonts w:asciiTheme="minorHAnsi" w:eastAsiaTheme="minorHAnsi" w:hAnsiTheme="minorHAnsi" w:cstheme="minorBidi"/>
        </w:rPr>
        <w:footnoteReference w:id="5"/>
      </w:r>
      <w:r w:rsidR="00AC4B6F" w:rsidRPr="00105FFC">
        <w:rPr>
          <w:rFonts w:asciiTheme="minorHAnsi" w:eastAsiaTheme="minorHAnsi" w:hAnsiTheme="minorHAnsi" w:cstheme="minorBidi"/>
        </w:rPr>
        <w:t>, and most importantly for deciding whether many of these services are medically necessary</w:t>
      </w:r>
      <w:r w:rsidRPr="00105FFC">
        <w:rPr>
          <w:rFonts w:asciiTheme="minorHAnsi" w:eastAsiaTheme="minorHAnsi" w:hAnsiTheme="minorHAnsi" w:cstheme="minorBidi"/>
        </w:rPr>
        <w:t xml:space="preserve">. </w:t>
      </w:r>
    </w:p>
    <w:p w14:paraId="42D0D3DF" w14:textId="77777777" w:rsidR="00AC4B6F" w:rsidRPr="00105FFC" w:rsidRDefault="001B4E6F"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When it c</w:t>
      </w:r>
      <w:r w:rsidR="00520434" w:rsidRPr="00105FFC">
        <w:rPr>
          <w:rFonts w:asciiTheme="minorHAnsi" w:eastAsiaTheme="minorHAnsi" w:hAnsiTheme="minorHAnsi" w:cstheme="minorBidi"/>
        </w:rPr>
        <w:t>omes to Medi-Cal coverage, long-</w:t>
      </w:r>
      <w:r w:rsidRPr="00105FFC">
        <w:rPr>
          <w:rFonts w:asciiTheme="minorHAnsi" w:eastAsiaTheme="minorHAnsi" w:hAnsiTheme="minorHAnsi" w:cstheme="minorBidi"/>
        </w:rPr>
        <w:t xml:space="preserve">term </w:t>
      </w:r>
      <w:r w:rsidR="001275EF" w:rsidRPr="00105FFC">
        <w:rPr>
          <w:rFonts w:asciiTheme="minorHAnsi" w:eastAsiaTheme="minorHAnsi" w:hAnsiTheme="minorHAnsi" w:cstheme="minorBidi"/>
        </w:rPr>
        <w:t>services and supports (LTSS)</w:t>
      </w:r>
      <w:r w:rsidRPr="00105FFC">
        <w:rPr>
          <w:rFonts w:asciiTheme="minorHAnsi" w:eastAsiaTheme="minorHAnsi" w:hAnsiTheme="minorHAnsi" w:cstheme="minorBidi"/>
        </w:rPr>
        <w:t xml:space="preserve"> </w:t>
      </w:r>
      <w:r w:rsidR="001275EF" w:rsidRPr="00105FFC">
        <w:rPr>
          <w:rFonts w:asciiTheme="minorHAnsi" w:eastAsiaTheme="minorHAnsi" w:hAnsiTheme="minorHAnsi" w:cstheme="minorBidi"/>
        </w:rPr>
        <w:t>are</w:t>
      </w:r>
      <w:r w:rsidRPr="00105FFC">
        <w:rPr>
          <w:rFonts w:asciiTheme="minorHAnsi" w:eastAsiaTheme="minorHAnsi" w:hAnsiTheme="minorHAnsi" w:cstheme="minorBidi"/>
        </w:rPr>
        <w:t xml:space="preserve"> the benefit</w:t>
      </w:r>
      <w:r w:rsidR="001275EF" w:rsidRPr="00105FFC">
        <w:rPr>
          <w:rFonts w:asciiTheme="minorHAnsi" w:eastAsiaTheme="minorHAnsi" w:hAnsiTheme="minorHAnsi" w:cstheme="minorBidi"/>
        </w:rPr>
        <w:t>s</w:t>
      </w:r>
      <w:r w:rsidR="00520434" w:rsidRPr="00105FFC">
        <w:rPr>
          <w:rFonts w:asciiTheme="minorHAnsi" w:eastAsiaTheme="minorHAnsi" w:hAnsiTheme="minorHAnsi" w:cstheme="minorBidi"/>
        </w:rPr>
        <w:t xml:space="preserve"> most commonly associated with Dual E</w:t>
      </w:r>
      <w:r w:rsidRPr="00105FFC">
        <w:rPr>
          <w:rFonts w:asciiTheme="minorHAnsi" w:eastAsiaTheme="minorHAnsi" w:hAnsiTheme="minorHAnsi" w:cstheme="minorBidi"/>
        </w:rPr>
        <w:t xml:space="preserve">ligibles. </w:t>
      </w:r>
      <w:r w:rsidR="00CF03F8" w:rsidRPr="00105FFC">
        <w:rPr>
          <w:rFonts w:asciiTheme="minorHAnsi" w:eastAsiaTheme="minorHAnsi" w:hAnsiTheme="minorHAnsi" w:cstheme="minorBidi"/>
        </w:rPr>
        <w:t xml:space="preserve">This includes both </w:t>
      </w:r>
      <w:r w:rsidR="001275EF" w:rsidRPr="00105FFC">
        <w:rPr>
          <w:rFonts w:asciiTheme="minorHAnsi" w:eastAsiaTheme="minorHAnsi" w:hAnsiTheme="minorHAnsi" w:cstheme="minorBidi"/>
        </w:rPr>
        <w:t>skilled nursing facility services and other support services delivered in the community like in-home-supportive services</w:t>
      </w:r>
      <w:r w:rsidR="00AC4B6F" w:rsidRPr="00105FFC">
        <w:rPr>
          <w:rFonts w:asciiTheme="minorHAnsi" w:eastAsiaTheme="minorHAnsi" w:hAnsiTheme="minorHAnsi" w:cstheme="minorBidi"/>
        </w:rPr>
        <w:t>/personal care services</w:t>
      </w:r>
      <w:r w:rsidR="001275EF" w:rsidRPr="00105FFC">
        <w:rPr>
          <w:rFonts w:asciiTheme="minorHAnsi" w:eastAsiaTheme="minorHAnsi" w:hAnsiTheme="minorHAnsi" w:cstheme="minorBidi"/>
        </w:rPr>
        <w:t xml:space="preserve">.  </w:t>
      </w:r>
      <w:r w:rsidR="00CF03F8" w:rsidRPr="00105FFC">
        <w:rPr>
          <w:rFonts w:asciiTheme="minorHAnsi" w:eastAsiaTheme="minorHAnsi" w:hAnsiTheme="minorHAnsi" w:cstheme="minorBidi"/>
        </w:rPr>
        <w:t xml:space="preserve"> </w:t>
      </w:r>
      <w:r w:rsidRPr="00105FFC">
        <w:rPr>
          <w:rFonts w:asciiTheme="minorHAnsi" w:eastAsiaTheme="minorHAnsi" w:hAnsiTheme="minorHAnsi" w:cstheme="minorBidi"/>
        </w:rPr>
        <w:t>Medicare covers care in a skilled nursing facility (SNF</w:t>
      </w:r>
      <w:r w:rsidR="00520434" w:rsidRPr="00105FFC">
        <w:rPr>
          <w:rFonts w:asciiTheme="minorHAnsi" w:eastAsiaTheme="minorHAnsi" w:hAnsiTheme="minorHAnsi" w:cstheme="minorBidi"/>
        </w:rPr>
        <w:t>) for up to 100 days</w:t>
      </w:r>
      <w:r w:rsidR="00E57678" w:rsidRPr="00105FFC">
        <w:rPr>
          <w:rFonts w:asciiTheme="minorHAnsi" w:eastAsiaTheme="minorHAnsi" w:hAnsiTheme="minorHAnsi" w:cstheme="minorBidi"/>
        </w:rPr>
        <w:t xml:space="preserve"> if it’s medically necessary and not classified as custodial care.</w:t>
      </w:r>
      <w:r w:rsidR="00777C10" w:rsidRPr="00105FFC">
        <w:rPr>
          <w:rStyle w:val="FootnoteReference"/>
          <w:rFonts w:asciiTheme="minorHAnsi" w:eastAsiaTheme="minorHAnsi" w:hAnsiTheme="minorHAnsi" w:cstheme="minorBidi"/>
        </w:rPr>
        <w:footnoteReference w:id="6"/>
      </w:r>
      <w:r w:rsidR="00520434" w:rsidRPr="00105FFC">
        <w:rPr>
          <w:rFonts w:asciiTheme="minorHAnsi" w:eastAsiaTheme="minorHAnsi" w:hAnsiTheme="minorHAnsi" w:cstheme="minorBidi"/>
        </w:rPr>
        <w:t xml:space="preserve"> Should a Dual E</w:t>
      </w:r>
      <w:r w:rsidRPr="00105FFC">
        <w:rPr>
          <w:rFonts w:asciiTheme="minorHAnsi" w:eastAsiaTheme="minorHAnsi" w:hAnsiTheme="minorHAnsi" w:cstheme="minorBidi"/>
        </w:rPr>
        <w:t xml:space="preserve">ligible require skilled nursing beyond 100 days, the Medi-Cal program then covers care. </w:t>
      </w:r>
      <w:r w:rsidR="00AC4B6F" w:rsidRPr="00105FFC">
        <w:rPr>
          <w:rFonts w:asciiTheme="minorHAnsi" w:eastAsiaTheme="minorHAnsi" w:hAnsiTheme="minorHAnsi" w:cstheme="minorBidi"/>
        </w:rPr>
        <w:t xml:space="preserve"> Medi-Cal steps in to provide coverage for custodial care through various programs.</w:t>
      </w:r>
    </w:p>
    <w:p w14:paraId="67BCBCC5" w14:textId="77777777" w:rsidR="001275EF" w:rsidRPr="00105FFC" w:rsidRDefault="001B4E6F"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Medicare is still responsible for preventative, inpatient, and outpatient care, even when the skilled nursing serv</w:t>
      </w:r>
      <w:r w:rsidR="00520434" w:rsidRPr="00105FFC">
        <w:rPr>
          <w:rFonts w:asciiTheme="minorHAnsi" w:eastAsiaTheme="minorHAnsi" w:hAnsiTheme="minorHAnsi" w:cstheme="minorBidi"/>
        </w:rPr>
        <w:t xml:space="preserve">ices </w:t>
      </w:r>
      <w:r w:rsidR="00CD698B" w:rsidRPr="00105FFC">
        <w:rPr>
          <w:rFonts w:asciiTheme="minorHAnsi" w:eastAsiaTheme="minorHAnsi" w:hAnsiTheme="minorHAnsi" w:cstheme="minorBidi"/>
        </w:rPr>
        <w:t xml:space="preserve">or other LTSS </w:t>
      </w:r>
      <w:r w:rsidR="00520434" w:rsidRPr="00105FFC">
        <w:rPr>
          <w:rFonts w:asciiTheme="minorHAnsi" w:eastAsiaTheme="minorHAnsi" w:hAnsiTheme="minorHAnsi" w:cstheme="minorBidi"/>
        </w:rPr>
        <w:t>are provided and paid for by Medi-Cal.  Although Dual E</w:t>
      </w:r>
      <w:r w:rsidRPr="00105FFC">
        <w:rPr>
          <w:rFonts w:asciiTheme="minorHAnsi" w:eastAsiaTheme="minorHAnsi" w:hAnsiTheme="minorHAnsi" w:cstheme="minorBidi"/>
        </w:rPr>
        <w:t>ligibles in SNFs account for some of the most clinically complex and costly beneficiaries, they re</w:t>
      </w:r>
      <w:r w:rsidR="00520434" w:rsidRPr="00105FFC">
        <w:rPr>
          <w:rFonts w:asciiTheme="minorHAnsi" w:eastAsiaTheme="minorHAnsi" w:hAnsiTheme="minorHAnsi" w:cstheme="minorBidi"/>
        </w:rPr>
        <w:t>present only a fraction of the Dual E</w:t>
      </w:r>
      <w:r w:rsidRPr="00105FFC">
        <w:rPr>
          <w:rFonts w:asciiTheme="minorHAnsi" w:eastAsiaTheme="minorHAnsi" w:hAnsiTheme="minorHAnsi" w:cstheme="minorBidi"/>
        </w:rPr>
        <w:t>ligible population. Throughout 2015, more than</w:t>
      </w:r>
      <w:r w:rsidR="00520434" w:rsidRPr="00105FFC">
        <w:rPr>
          <w:rFonts w:asciiTheme="minorHAnsi" w:eastAsiaTheme="minorHAnsi" w:hAnsiTheme="minorHAnsi" w:cstheme="minorBidi"/>
        </w:rPr>
        <w:t xml:space="preserve"> 700,000 Dual E</w:t>
      </w:r>
      <w:r w:rsidRPr="00105FFC">
        <w:rPr>
          <w:rFonts w:asciiTheme="minorHAnsi" w:eastAsiaTheme="minorHAnsi" w:hAnsiTheme="minorHAnsi" w:cstheme="minorBidi"/>
        </w:rPr>
        <w:t>ligibles were enrolled in FFS for at least one month. Only 6%, or just over 4</w:t>
      </w:r>
      <w:r w:rsidR="00520434" w:rsidRPr="00105FFC">
        <w:rPr>
          <w:rFonts w:asciiTheme="minorHAnsi" w:eastAsiaTheme="minorHAnsi" w:hAnsiTheme="minorHAnsi" w:cstheme="minorBidi"/>
        </w:rPr>
        <w:t xml:space="preserve">0,000 individuals, </w:t>
      </w:r>
      <w:r w:rsidR="00E41567" w:rsidRPr="00105FFC">
        <w:rPr>
          <w:rFonts w:asciiTheme="minorHAnsi" w:eastAsiaTheme="minorHAnsi" w:hAnsiTheme="minorHAnsi" w:cstheme="minorBidi"/>
        </w:rPr>
        <w:t xml:space="preserve">were enrolled in </w:t>
      </w:r>
      <w:r w:rsidR="00520434" w:rsidRPr="00105FFC">
        <w:rPr>
          <w:rFonts w:asciiTheme="minorHAnsi" w:eastAsiaTheme="minorHAnsi" w:hAnsiTheme="minorHAnsi" w:cstheme="minorBidi"/>
        </w:rPr>
        <w:t>long-</w:t>
      </w:r>
      <w:r w:rsidRPr="00105FFC">
        <w:rPr>
          <w:rFonts w:asciiTheme="minorHAnsi" w:eastAsiaTheme="minorHAnsi" w:hAnsiTheme="minorHAnsi" w:cstheme="minorBidi"/>
        </w:rPr>
        <w:t>term c</w:t>
      </w:r>
      <w:r w:rsidR="00CA4E97" w:rsidRPr="00105FFC">
        <w:rPr>
          <w:rFonts w:asciiTheme="minorHAnsi" w:eastAsiaTheme="minorHAnsi" w:hAnsiTheme="minorHAnsi" w:cstheme="minorBidi"/>
        </w:rPr>
        <w:t xml:space="preserve">are aid </w:t>
      </w:r>
      <w:r w:rsidR="00E41567" w:rsidRPr="00105FFC">
        <w:rPr>
          <w:rFonts w:asciiTheme="minorHAnsi" w:eastAsiaTheme="minorHAnsi" w:hAnsiTheme="minorHAnsi" w:cstheme="minorBidi"/>
        </w:rPr>
        <w:t xml:space="preserve">codes </w:t>
      </w:r>
      <w:r w:rsidR="00CA4E97" w:rsidRPr="00105FFC">
        <w:rPr>
          <w:rFonts w:asciiTheme="minorHAnsi" w:eastAsiaTheme="minorHAnsi" w:hAnsiTheme="minorHAnsi" w:cstheme="minorBidi"/>
        </w:rPr>
        <w:t>(Figure 13</w:t>
      </w:r>
      <w:r w:rsidRPr="00105FFC">
        <w:rPr>
          <w:rFonts w:asciiTheme="minorHAnsi" w:eastAsiaTheme="minorHAnsi" w:hAnsiTheme="minorHAnsi" w:cstheme="minorBidi"/>
        </w:rPr>
        <w:t>).</w:t>
      </w:r>
      <w:r w:rsidR="00E41567" w:rsidRPr="00105FFC">
        <w:rPr>
          <w:rFonts w:asciiTheme="minorHAnsi" w:eastAsiaTheme="minorHAnsi" w:hAnsiTheme="minorHAnsi" w:cstheme="minorBidi"/>
        </w:rPr>
        <w:t xml:space="preserve">  These individuals resided in skilled nursing facilities </w:t>
      </w:r>
      <w:r w:rsidR="00BA0A97" w:rsidRPr="00105FFC">
        <w:rPr>
          <w:rFonts w:asciiTheme="minorHAnsi" w:eastAsiaTheme="minorHAnsi" w:hAnsiTheme="minorHAnsi" w:cstheme="minorBidi"/>
        </w:rPr>
        <w:t>and</w:t>
      </w:r>
      <w:r w:rsidR="00E41567" w:rsidRPr="00105FFC">
        <w:rPr>
          <w:rFonts w:asciiTheme="minorHAnsi" w:eastAsiaTheme="minorHAnsi" w:hAnsiTheme="minorHAnsi" w:cstheme="minorBidi"/>
        </w:rPr>
        <w:t xml:space="preserve"> </w:t>
      </w:r>
      <w:r w:rsidR="00CD698B" w:rsidRPr="00105FFC">
        <w:rPr>
          <w:rFonts w:asciiTheme="minorHAnsi" w:eastAsiaTheme="minorHAnsi" w:hAnsiTheme="minorHAnsi" w:cstheme="minorBidi"/>
        </w:rPr>
        <w:t xml:space="preserve">in many cases </w:t>
      </w:r>
      <w:r w:rsidR="00E41567" w:rsidRPr="00105FFC">
        <w:rPr>
          <w:rFonts w:asciiTheme="minorHAnsi" w:eastAsiaTheme="minorHAnsi" w:hAnsiTheme="minorHAnsi" w:cstheme="minorBidi"/>
        </w:rPr>
        <w:t xml:space="preserve">their eligibility pathway was through </w:t>
      </w:r>
      <w:r w:rsidR="00777C10" w:rsidRPr="00105FFC">
        <w:rPr>
          <w:rFonts w:asciiTheme="minorHAnsi" w:eastAsiaTheme="minorHAnsi" w:hAnsiTheme="minorHAnsi" w:cstheme="minorBidi"/>
        </w:rPr>
        <w:t>Medi-Cal’s medically needy long-</w:t>
      </w:r>
      <w:r w:rsidR="00E41567" w:rsidRPr="00105FFC">
        <w:rPr>
          <w:rFonts w:asciiTheme="minorHAnsi" w:eastAsiaTheme="minorHAnsi" w:hAnsiTheme="minorHAnsi" w:cstheme="minorBidi"/>
        </w:rPr>
        <w:t xml:space="preserve">term care program.  </w:t>
      </w:r>
      <w:r w:rsidR="00222EA9" w:rsidRPr="00105FFC">
        <w:rPr>
          <w:rFonts w:asciiTheme="minorHAnsi" w:eastAsiaTheme="minorHAnsi" w:hAnsiTheme="minorHAnsi" w:cstheme="minorBidi"/>
        </w:rPr>
        <w:t>Others may have</w:t>
      </w:r>
      <w:r w:rsidR="00CD698B" w:rsidRPr="00105FFC">
        <w:rPr>
          <w:rFonts w:asciiTheme="minorHAnsi" w:eastAsiaTheme="minorHAnsi" w:hAnsiTheme="minorHAnsi" w:cstheme="minorBidi"/>
        </w:rPr>
        <w:t xml:space="preserve"> used skilled nursing facility</w:t>
      </w:r>
      <w:r w:rsidR="00222EA9" w:rsidRPr="00105FFC">
        <w:rPr>
          <w:rFonts w:asciiTheme="minorHAnsi" w:eastAsiaTheme="minorHAnsi" w:hAnsiTheme="minorHAnsi" w:cstheme="minorBidi"/>
        </w:rPr>
        <w:t xml:space="preserve"> services throughout the year, but are not enrolled in a LTC aid code</w:t>
      </w:r>
      <w:r w:rsidR="008A3C91" w:rsidRPr="00105FFC">
        <w:rPr>
          <w:rFonts w:asciiTheme="minorHAnsi" w:eastAsiaTheme="minorHAnsi" w:hAnsiTheme="minorHAnsi" w:cstheme="minorBidi"/>
        </w:rPr>
        <w:t>s</w:t>
      </w:r>
      <w:r w:rsidR="00222EA9" w:rsidRPr="00105FFC">
        <w:rPr>
          <w:rFonts w:asciiTheme="minorHAnsi" w:eastAsiaTheme="minorHAnsi" w:hAnsiTheme="minorHAnsi" w:cstheme="minorBidi"/>
        </w:rPr>
        <w:t xml:space="preserve">.  There were </w:t>
      </w:r>
      <w:r w:rsidR="00777C10" w:rsidRPr="00105FFC">
        <w:rPr>
          <w:rFonts w:asciiTheme="minorHAnsi" w:eastAsiaTheme="minorHAnsi" w:hAnsiTheme="minorHAnsi" w:cstheme="minorBidi"/>
        </w:rPr>
        <w:t>61,402</w:t>
      </w:r>
      <w:r w:rsidR="00222EA9" w:rsidRPr="00105FFC">
        <w:rPr>
          <w:rFonts w:asciiTheme="minorHAnsi" w:eastAsiaTheme="minorHAnsi" w:hAnsiTheme="minorHAnsi" w:cstheme="minorBidi"/>
        </w:rPr>
        <w:t xml:space="preserve"> individuals who were dually eligible </w:t>
      </w:r>
      <w:r w:rsidR="00CD698B" w:rsidRPr="00105FFC">
        <w:rPr>
          <w:rFonts w:asciiTheme="minorHAnsi" w:eastAsiaTheme="minorHAnsi" w:hAnsiTheme="minorHAnsi" w:cstheme="minorBidi"/>
        </w:rPr>
        <w:t xml:space="preserve">but not enrolled in a LTC aid code </w:t>
      </w:r>
      <w:r w:rsidR="00222EA9" w:rsidRPr="00105FFC">
        <w:rPr>
          <w:rFonts w:asciiTheme="minorHAnsi" w:eastAsiaTheme="minorHAnsi" w:hAnsiTheme="minorHAnsi" w:cstheme="minorBidi"/>
        </w:rPr>
        <w:t>that used skilled nursing facil</w:t>
      </w:r>
      <w:r w:rsidR="00777C10" w:rsidRPr="00105FFC">
        <w:rPr>
          <w:rFonts w:asciiTheme="minorHAnsi" w:eastAsiaTheme="minorHAnsi" w:hAnsiTheme="minorHAnsi" w:cstheme="minorBidi"/>
        </w:rPr>
        <w:t>ity services throughout SFY 2014-15</w:t>
      </w:r>
      <w:r w:rsidR="00222EA9" w:rsidRPr="00105FFC">
        <w:rPr>
          <w:rFonts w:asciiTheme="minorHAnsi" w:eastAsiaTheme="minorHAnsi" w:hAnsiTheme="minorHAnsi" w:cstheme="minorBidi"/>
        </w:rPr>
        <w:t>.</w:t>
      </w:r>
    </w:p>
    <w:p w14:paraId="4EA2C7CD" w14:textId="77777777" w:rsidR="00CA4E97" w:rsidRPr="00105FFC" w:rsidRDefault="001275EF"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lastRenderedPageBreak/>
        <w:t xml:space="preserve">In addition to skilled nursing facility services, Medi-Cal may provide reimbursement for various social and coordination services through sister Departments such as the Department of Social Services and the Department of Developmental Services.  These services may include intermediate care services for the developmentally disabled, in-home supportive services, </w:t>
      </w:r>
      <w:r w:rsidR="00E22410" w:rsidRPr="00105FFC">
        <w:rPr>
          <w:rFonts w:asciiTheme="minorHAnsi" w:eastAsiaTheme="minorHAnsi" w:hAnsiTheme="minorHAnsi" w:cstheme="minorBidi"/>
        </w:rPr>
        <w:t xml:space="preserve">regional center services, </w:t>
      </w:r>
      <w:r w:rsidRPr="00105FFC">
        <w:rPr>
          <w:rFonts w:asciiTheme="minorHAnsi" w:eastAsiaTheme="minorHAnsi" w:hAnsiTheme="minorHAnsi" w:cstheme="minorBidi"/>
        </w:rPr>
        <w:t xml:space="preserve">and various waiver </w:t>
      </w:r>
      <w:r w:rsidR="000A1695" w:rsidRPr="00105FFC">
        <w:rPr>
          <w:rFonts w:asciiTheme="minorHAnsi" w:eastAsiaTheme="minorHAnsi" w:hAnsiTheme="minorHAnsi" w:cstheme="minorBidi"/>
        </w:rPr>
        <w:t>services,</w:t>
      </w:r>
      <w:r w:rsidRPr="00105FFC">
        <w:rPr>
          <w:rFonts w:asciiTheme="minorHAnsi" w:eastAsiaTheme="minorHAnsi" w:hAnsiTheme="minorHAnsi" w:cstheme="minorBidi"/>
        </w:rPr>
        <w:t xml:space="preserve"> etc.  </w:t>
      </w:r>
    </w:p>
    <w:p w14:paraId="55D7F570" w14:textId="77777777" w:rsidR="001A3F08" w:rsidRPr="00105FFC" w:rsidRDefault="001A3F08" w:rsidP="001A3F08">
      <w:pPr>
        <w:spacing w:line="276" w:lineRule="auto"/>
        <w:rPr>
          <w:rFonts w:asciiTheme="minorHAnsi" w:eastAsiaTheme="minorHAnsi" w:hAnsiTheme="minorHAnsi" w:cstheme="minorBidi"/>
        </w:rPr>
      </w:pPr>
    </w:p>
    <w:p w14:paraId="58EFAE17" w14:textId="77777777" w:rsidR="001B4E6F" w:rsidRPr="00105FFC" w:rsidRDefault="00CA4E97" w:rsidP="001A3F08">
      <w:pPr>
        <w:pStyle w:val="Caption"/>
        <w:spacing w:after="0"/>
        <w:rPr>
          <w:rFonts w:asciiTheme="minorHAnsi" w:eastAsiaTheme="minorHAnsi" w:hAnsiTheme="minorHAnsi" w:cstheme="minorBidi"/>
          <w:b w:val="0"/>
          <w:color w:val="000000" w:themeColor="text1"/>
          <w:sz w:val="20"/>
          <w:szCs w:val="20"/>
        </w:rPr>
      </w:pPr>
      <w:bookmarkStart w:id="89" w:name="_Toc458782951"/>
      <w:bookmarkStart w:id="90" w:name="_Toc459285062"/>
      <w:bookmarkStart w:id="91" w:name="_Toc459285253"/>
      <w:bookmarkStart w:id="92" w:name="_Toc459286694"/>
      <w:r w:rsidRPr="00105FFC">
        <w:rPr>
          <w:rFonts w:asciiTheme="minorHAnsi" w:hAnsiTheme="minorHAnsi"/>
          <w:color w:val="000000" w:themeColor="text1"/>
          <w:sz w:val="20"/>
          <w:szCs w:val="20"/>
        </w:rPr>
        <w:t xml:space="preserve">Figure </w:t>
      </w:r>
      <w:r w:rsidRPr="00105FFC">
        <w:rPr>
          <w:rFonts w:asciiTheme="minorHAnsi" w:hAnsiTheme="minorHAnsi"/>
          <w:color w:val="000000" w:themeColor="text1"/>
          <w:sz w:val="20"/>
          <w:szCs w:val="20"/>
        </w:rPr>
        <w:fldChar w:fldCharType="begin"/>
      </w:r>
      <w:r w:rsidRPr="00105FFC">
        <w:rPr>
          <w:rFonts w:asciiTheme="minorHAnsi" w:hAnsiTheme="minorHAnsi"/>
          <w:color w:val="000000" w:themeColor="text1"/>
          <w:sz w:val="20"/>
          <w:szCs w:val="20"/>
        </w:rPr>
        <w:instrText xml:space="preserve"> SEQ Figure \* ARABIC </w:instrText>
      </w:r>
      <w:r w:rsidRPr="00105FFC">
        <w:rPr>
          <w:rFonts w:asciiTheme="minorHAnsi" w:hAnsiTheme="minorHAnsi"/>
          <w:color w:val="000000" w:themeColor="text1"/>
          <w:sz w:val="20"/>
          <w:szCs w:val="20"/>
        </w:rPr>
        <w:fldChar w:fldCharType="separate"/>
      </w:r>
      <w:r w:rsidR="000E1B8E">
        <w:rPr>
          <w:rFonts w:asciiTheme="minorHAnsi" w:hAnsiTheme="minorHAnsi"/>
          <w:noProof/>
          <w:color w:val="000000" w:themeColor="text1"/>
          <w:sz w:val="20"/>
          <w:szCs w:val="20"/>
        </w:rPr>
        <w:t>13</w:t>
      </w:r>
      <w:r w:rsidRPr="00105FFC">
        <w:rPr>
          <w:rFonts w:asciiTheme="minorHAnsi" w:hAnsiTheme="minorHAnsi"/>
          <w:color w:val="000000" w:themeColor="text1"/>
          <w:sz w:val="20"/>
          <w:szCs w:val="20"/>
        </w:rPr>
        <w:fldChar w:fldCharType="end"/>
      </w:r>
      <w:r w:rsidRPr="00105FFC">
        <w:rPr>
          <w:rFonts w:asciiTheme="minorHAnsi" w:hAnsiTheme="minorHAnsi"/>
          <w:color w:val="000000" w:themeColor="text1"/>
          <w:sz w:val="20"/>
          <w:szCs w:val="20"/>
        </w:rPr>
        <w:t>:</w:t>
      </w:r>
      <w:r w:rsidRPr="00105FFC">
        <w:rPr>
          <w:rFonts w:asciiTheme="minorHAnsi" w:hAnsiTheme="minorHAnsi"/>
          <w:b w:val="0"/>
          <w:color w:val="000000" w:themeColor="text1"/>
          <w:sz w:val="20"/>
          <w:szCs w:val="20"/>
        </w:rPr>
        <w:t xml:space="preserve"> Distribution of Dual Eligible Medi-Cal Beneficiaries </w:t>
      </w:r>
      <w:r w:rsidR="005265D4" w:rsidRPr="00105FFC">
        <w:rPr>
          <w:rFonts w:asciiTheme="minorHAnsi" w:eastAsiaTheme="minorHAnsi" w:hAnsiTheme="minorHAnsi" w:cstheme="minorBidi"/>
          <w:b w:val="0"/>
          <w:color w:val="auto"/>
          <w:sz w:val="20"/>
          <w:szCs w:val="20"/>
        </w:rPr>
        <w:t xml:space="preserve">Enrolled at any Point </w:t>
      </w:r>
      <w:r w:rsidRPr="00105FFC">
        <w:rPr>
          <w:rFonts w:asciiTheme="minorHAnsi" w:hAnsiTheme="minorHAnsi"/>
          <w:b w:val="0"/>
          <w:color w:val="000000" w:themeColor="text1"/>
          <w:sz w:val="20"/>
          <w:szCs w:val="20"/>
        </w:rPr>
        <w:t>in 2015, by Long-Term Care Enrollment Status</w:t>
      </w:r>
      <w:bookmarkEnd w:id="89"/>
      <w:bookmarkEnd w:id="90"/>
      <w:bookmarkEnd w:id="91"/>
      <w:bookmarkEnd w:id="92"/>
    </w:p>
    <w:p w14:paraId="7DF6917A" w14:textId="77777777" w:rsidR="001B4E6F" w:rsidRPr="00105FFC" w:rsidRDefault="001B4E6F" w:rsidP="001A3F08">
      <w:pPr>
        <w:spacing w:line="276" w:lineRule="auto"/>
        <w:rPr>
          <w:rFonts w:asciiTheme="minorHAnsi" w:eastAsiaTheme="minorHAnsi" w:hAnsiTheme="minorHAnsi" w:cstheme="minorBidi"/>
        </w:rPr>
      </w:pPr>
      <w:r w:rsidRPr="00105FFC">
        <w:rPr>
          <w:rFonts w:asciiTheme="minorHAnsi" w:hAnsiTheme="minorHAnsi"/>
          <w:noProof/>
        </w:rPr>
        <w:drawing>
          <wp:inline distT="0" distB="0" distL="0" distR="0" wp14:anchorId="2712E8E1" wp14:editId="1B7CC726">
            <wp:extent cx="5943600" cy="2468880"/>
            <wp:effectExtent l="0" t="0" r="0" b="7620"/>
            <wp:docPr id="26" name="Chart 26" descr="&#10;Dual - Long Term Care: 43,836; 6%&#10;Dual - Not Long Term Care: 684,782; 94%" title="Distribution of Dual Eligible Medi-Cal Beneficiaries Enrolled at any Point in 2015, by Long-Term Care Enrollment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CA4E97" w:rsidRPr="00105FFC">
        <w:rPr>
          <w:rFonts w:asciiTheme="minorHAnsi" w:eastAsiaTheme="minorHAnsi" w:hAnsiTheme="minorHAnsi" w:cstheme="minorBidi"/>
        </w:rPr>
        <w:br/>
      </w:r>
      <w:r w:rsidR="00CA4E97" w:rsidRPr="00105FFC">
        <w:rPr>
          <w:rFonts w:asciiTheme="minorHAnsi" w:eastAsiaTheme="minorHAnsi" w:hAnsiTheme="minorHAnsi" w:cstheme="minorBidi"/>
          <w:b/>
          <w:sz w:val="16"/>
          <w:szCs w:val="16"/>
        </w:rPr>
        <w:t>Source:</w:t>
      </w:r>
      <w:r w:rsidR="00CA4E97" w:rsidRPr="00105FFC">
        <w:rPr>
          <w:rFonts w:asciiTheme="minorHAnsi" w:eastAsiaTheme="minorHAnsi" w:hAnsiTheme="minorHAnsi" w:cstheme="minorBidi"/>
          <w:sz w:val="16"/>
          <w:szCs w:val="16"/>
        </w:rPr>
        <w:t xml:space="preserve"> Created by DHCS Research and Analytic Studies Division using data from the MIS/DSS eligibility tables for 2015.</w:t>
      </w:r>
    </w:p>
    <w:p w14:paraId="7737EF73" w14:textId="77777777" w:rsidR="001A3F08" w:rsidRPr="00105FFC" w:rsidRDefault="001A3F08" w:rsidP="001A3F08">
      <w:pPr>
        <w:spacing w:line="276" w:lineRule="auto"/>
        <w:rPr>
          <w:rFonts w:asciiTheme="minorHAnsi" w:eastAsiaTheme="minorHAnsi" w:hAnsiTheme="minorHAnsi" w:cstheme="minorBidi"/>
        </w:rPr>
      </w:pPr>
    </w:p>
    <w:p w14:paraId="37EA11FA" w14:textId="77777777" w:rsidR="001B4E6F" w:rsidRPr="00105FFC" w:rsidRDefault="001B4E6F"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Medicare’s role as </w:t>
      </w:r>
      <w:r w:rsidR="00520434" w:rsidRPr="00105FFC">
        <w:rPr>
          <w:rFonts w:asciiTheme="minorHAnsi" w:eastAsiaTheme="minorHAnsi" w:hAnsiTheme="minorHAnsi" w:cstheme="minorBidi"/>
        </w:rPr>
        <w:t xml:space="preserve">the </w:t>
      </w:r>
      <w:r w:rsidR="0059234D" w:rsidRPr="00105FFC">
        <w:rPr>
          <w:rFonts w:asciiTheme="minorHAnsi" w:eastAsiaTheme="minorHAnsi" w:hAnsiTheme="minorHAnsi" w:cstheme="minorBidi"/>
        </w:rPr>
        <w:t>primary coordinator of care</w:t>
      </w:r>
      <w:r w:rsidR="00520434" w:rsidRPr="00105FFC">
        <w:rPr>
          <w:rFonts w:asciiTheme="minorHAnsi" w:eastAsiaTheme="minorHAnsi" w:hAnsiTheme="minorHAnsi" w:cstheme="minorBidi"/>
        </w:rPr>
        <w:t xml:space="preserve"> for Dual </w:t>
      </w:r>
      <w:r w:rsidR="00E205B7" w:rsidRPr="00105FFC">
        <w:rPr>
          <w:rFonts w:asciiTheme="minorHAnsi" w:eastAsiaTheme="minorHAnsi" w:hAnsiTheme="minorHAnsi" w:cstheme="minorBidi"/>
        </w:rPr>
        <w:t>E</w:t>
      </w:r>
      <w:r w:rsidR="0059234D" w:rsidRPr="00105FFC">
        <w:rPr>
          <w:rFonts w:asciiTheme="minorHAnsi" w:eastAsiaTheme="minorHAnsi" w:hAnsiTheme="minorHAnsi" w:cstheme="minorBidi"/>
        </w:rPr>
        <w:t>ligibles</w:t>
      </w:r>
      <w:r w:rsidRPr="00105FFC">
        <w:rPr>
          <w:rFonts w:asciiTheme="minorHAnsi" w:eastAsiaTheme="minorHAnsi" w:hAnsiTheme="minorHAnsi" w:cstheme="minorBidi"/>
        </w:rPr>
        <w:t xml:space="preserve"> is important in terms of ac</w:t>
      </w:r>
      <w:r w:rsidR="00520434" w:rsidRPr="00105FFC">
        <w:rPr>
          <w:rFonts w:asciiTheme="minorHAnsi" w:eastAsiaTheme="minorHAnsi" w:hAnsiTheme="minorHAnsi" w:cstheme="minorBidi"/>
        </w:rPr>
        <w:t>cess to care.</w:t>
      </w:r>
      <w:r w:rsidRPr="00105FFC">
        <w:rPr>
          <w:rFonts w:asciiTheme="minorHAnsi" w:eastAsiaTheme="minorHAnsi" w:hAnsiTheme="minorHAnsi" w:cstheme="minorBidi"/>
        </w:rPr>
        <w:t xml:space="preserve"> It reveals the limited </w:t>
      </w:r>
      <w:r w:rsidR="00520434" w:rsidRPr="00105FFC">
        <w:rPr>
          <w:rFonts w:asciiTheme="minorHAnsi" w:eastAsiaTheme="minorHAnsi" w:hAnsiTheme="minorHAnsi" w:cstheme="minorBidi"/>
        </w:rPr>
        <w:t>influence that Medi-Cal has on</w:t>
      </w:r>
      <w:r w:rsidRPr="00105FFC">
        <w:rPr>
          <w:rFonts w:asciiTheme="minorHAnsi" w:eastAsiaTheme="minorHAnsi" w:hAnsiTheme="minorHAnsi" w:cstheme="minorBidi"/>
        </w:rPr>
        <w:t xml:space="preserve"> </w:t>
      </w:r>
      <w:r w:rsidR="001275EF" w:rsidRPr="00105FFC">
        <w:rPr>
          <w:rFonts w:asciiTheme="minorHAnsi" w:eastAsiaTheme="minorHAnsi" w:hAnsiTheme="minorHAnsi" w:cstheme="minorBidi"/>
        </w:rPr>
        <w:t>certain services</w:t>
      </w:r>
      <w:r w:rsidRPr="00105FFC">
        <w:rPr>
          <w:rFonts w:asciiTheme="minorHAnsi" w:eastAsiaTheme="minorHAnsi" w:hAnsiTheme="minorHAnsi" w:cstheme="minorBidi"/>
        </w:rPr>
        <w:t>, and presents another key c</w:t>
      </w:r>
      <w:r w:rsidR="00520434" w:rsidRPr="00105FFC">
        <w:rPr>
          <w:rFonts w:asciiTheme="minorHAnsi" w:eastAsiaTheme="minorHAnsi" w:hAnsiTheme="minorHAnsi" w:cstheme="minorBidi"/>
        </w:rPr>
        <w:t>onsideration when analyzing service utilization and health outcomes for Dual E</w:t>
      </w:r>
      <w:r w:rsidRPr="00105FFC">
        <w:rPr>
          <w:rFonts w:asciiTheme="minorHAnsi" w:eastAsiaTheme="minorHAnsi" w:hAnsiTheme="minorHAnsi" w:cstheme="minorBidi"/>
        </w:rPr>
        <w:t>ligibles. Similar to th</w:t>
      </w:r>
      <w:r w:rsidR="00520434" w:rsidRPr="00105FFC">
        <w:rPr>
          <w:rFonts w:asciiTheme="minorHAnsi" w:eastAsiaTheme="minorHAnsi" w:hAnsiTheme="minorHAnsi" w:cstheme="minorBidi"/>
        </w:rPr>
        <w:t>e limitations presented by the Restricted-</w:t>
      </w:r>
      <w:r w:rsidRPr="00105FFC">
        <w:rPr>
          <w:rFonts w:asciiTheme="minorHAnsi" w:eastAsiaTheme="minorHAnsi" w:hAnsiTheme="minorHAnsi" w:cstheme="minorBidi"/>
        </w:rPr>
        <w:t>Scope administrativ</w:t>
      </w:r>
      <w:r w:rsidR="00520434" w:rsidRPr="00105FFC">
        <w:rPr>
          <w:rFonts w:asciiTheme="minorHAnsi" w:eastAsiaTheme="minorHAnsi" w:hAnsiTheme="minorHAnsi" w:cstheme="minorBidi"/>
        </w:rPr>
        <w:t>e group, statistics related to Dual E</w:t>
      </w:r>
      <w:r w:rsidRPr="00105FFC">
        <w:rPr>
          <w:rFonts w:asciiTheme="minorHAnsi" w:eastAsiaTheme="minorHAnsi" w:hAnsiTheme="minorHAnsi" w:cstheme="minorBidi"/>
        </w:rPr>
        <w:t>ligibles must</w:t>
      </w:r>
      <w:r w:rsidR="00EE3FFF" w:rsidRPr="00105FFC">
        <w:rPr>
          <w:rFonts w:asciiTheme="minorHAnsi" w:eastAsiaTheme="minorHAnsi" w:hAnsiTheme="minorHAnsi" w:cstheme="minorBidi"/>
        </w:rPr>
        <w:t xml:space="preserve"> be </w:t>
      </w:r>
      <w:r w:rsidR="001275EF" w:rsidRPr="00105FFC">
        <w:rPr>
          <w:rFonts w:asciiTheme="minorHAnsi" w:eastAsiaTheme="minorHAnsi" w:hAnsiTheme="minorHAnsi" w:cstheme="minorBidi"/>
        </w:rPr>
        <w:t xml:space="preserve">evaluated in light of the interaction between Medi-Cal and Medicare’s delivery systems. </w:t>
      </w:r>
      <w:r w:rsidRPr="00105FFC">
        <w:rPr>
          <w:rFonts w:asciiTheme="minorHAnsi" w:eastAsiaTheme="minorHAnsi" w:hAnsiTheme="minorHAnsi" w:cstheme="minorBidi"/>
        </w:rPr>
        <w:t xml:space="preserve"> </w:t>
      </w:r>
      <w:r w:rsidR="00EE3FFF" w:rsidRPr="00105FFC">
        <w:rPr>
          <w:rFonts w:asciiTheme="minorHAnsi" w:eastAsiaTheme="minorHAnsi" w:hAnsiTheme="minorHAnsi" w:cstheme="minorBidi"/>
        </w:rPr>
        <w:t>Dual E</w:t>
      </w:r>
      <w:r w:rsidRPr="00105FFC">
        <w:rPr>
          <w:rFonts w:asciiTheme="minorHAnsi" w:eastAsiaTheme="minorHAnsi" w:hAnsiTheme="minorHAnsi" w:cstheme="minorBidi"/>
        </w:rPr>
        <w:t xml:space="preserve">ligibles may interact with </w:t>
      </w:r>
      <w:r w:rsidR="001275EF" w:rsidRPr="00105FFC">
        <w:rPr>
          <w:rFonts w:asciiTheme="minorHAnsi" w:eastAsiaTheme="minorHAnsi" w:hAnsiTheme="minorHAnsi" w:cstheme="minorBidi"/>
        </w:rPr>
        <w:t xml:space="preserve">Medi-Cal’s </w:t>
      </w:r>
      <w:r w:rsidRPr="00105FFC">
        <w:rPr>
          <w:rFonts w:asciiTheme="minorHAnsi" w:eastAsiaTheme="minorHAnsi" w:hAnsiTheme="minorHAnsi" w:cstheme="minorBidi"/>
        </w:rPr>
        <w:t xml:space="preserve">FFS </w:t>
      </w:r>
      <w:r w:rsidR="001275EF" w:rsidRPr="00105FFC">
        <w:rPr>
          <w:rFonts w:asciiTheme="minorHAnsi" w:eastAsiaTheme="minorHAnsi" w:hAnsiTheme="minorHAnsi" w:cstheme="minorBidi"/>
        </w:rPr>
        <w:t xml:space="preserve">delivery </w:t>
      </w:r>
      <w:r w:rsidRPr="00105FFC">
        <w:rPr>
          <w:rFonts w:asciiTheme="minorHAnsi" w:eastAsiaTheme="minorHAnsi" w:hAnsiTheme="minorHAnsi" w:cstheme="minorBidi"/>
        </w:rPr>
        <w:t xml:space="preserve">system in very specific instances, but </w:t>
      </w:r>
      <w:r w:rsidR="001275EF" w:rsidRPr="00105FFC">
        <w:rPr>
          <w:rFonts w:asciiTheme="minorHAnsi" w:eastAsiaTheme="minorHAnsi" w:hAnsiTheme="minorHAnsi" w:cstheme="minorBidi"/>
        </w:rPr>
        <w:t xml:space="preserve">an individual’s health </w:t>
      </w:r>
      <w:r w:rsidRPr="00105FFC">
        <w:rPr>
          <w:rFonts w:asciiTheme="minorHAnsi" w:eastAsiaTheme="minorHAnsi" w:hAnsiTheme="minorHAnsi" w:cstheme="minorBidi"/>
        </w:rPr>
        <w:t xml:space="preserve">care is primarily </w:t>
      </w:r>
      <w:r w:rsidR="001C2014" w:rsidRPr="00105FFC">
        <w:rPr>
          <w:rFonts w:asciiTheme="minorHAnsi" w:eastAsiaTheme="minorHAnsi" w:hAnsiTheme="minorHAnsi" w:cstheme="minorBidi"/>
        </w:rPr>
        <w:t xml:space="preserve">coordinated </w:t>
      </w:r>
      <w:r w:rsidRPr="00105FFC">
        <w:rPr>
          <w:rFonts w:asciiTheme="minorHAnsi" w:eastAsiaTheme="minorHAnsi" w:hAnsiTheme="minorHAnsi" w:cstheme="minorBidi"/>
        </w:rPr>
        <w:t>outside of the Medi-Cal program</w:t>
      </w:r>
      <w:r w:rsidR="00402B52" w:rsidRPr="00105FFC">
        <w:rPr>
          <w:rFonts w:asciiTheme="minorHAnsi" w:eastAsiaTheme="minorHAnsi" w:hAnsiTheme="minorHAnsi" w:cstheme="minorBidi"/>
        </w:rPr>
        <w:t>, in many cases by the Medicare primary care provider</w:t>
      </w:r>
      <w:r w:rsidRPr="00105FFC">
        <w:rPr>
          <w:rFonts w:asciiTheme="minorHAnsi" w:eastAsiaTheme="minorHAnsi" w:hAnsiTheme="minorHAnsi" w:cstheme="minorBidi"/>
        </w:rPr>
        <w:t xml:space="preserve">. </w:t>
      </w:r>
    </w:p>
    <w:p w14:paraId="29C07FC2" w14:textId="77777777" w:rsidR="001A3F08" w:rsidRPr="00105FFC" w:rsidRDefault="001A3F08" w:rsidP="001A3F08">
      <w:pPr>
        <w:spacing w:line="276" w:lineRule="auto"/>
        <w:rPr>
          <w:rFonts w:asciiTheme="minorHAnsi" w:eastAsiaTheme="minorHAnsi" w:hAnsiTheme="minorHAnsi"/>
        </w:rPr>
      </w:pPr>
    </w:p>
    <w:p w14:paraId="58F20A72" w14:textId="77777777" w:rsidR="001B4E6F" w:rsidRPr="00105FFC" w:rsidRDefault="00520434" w:rsidP="00CA4E97">
      <w:pPr>
        <w:pStyle w:val="Heading3"/>
        <w:spacing w:before="0" w:after="120" w:line="276" w:lineRule="auto"/>
        <w:rPr>
          <w:rFonts w:eastAsiaTheme="minorHAnsi"/>
          <w:sz w:val="24"/>
        </w:rPr>
      </w:pPr>
      <w:bookmarkStart w:id="93" w:name="_Toc459287716"/>
      <w:r w:rsidRPr="00105FFC">
        <w:rPr>
          <w:rFonts w:eastAsiaTheme="minorHAnsi"/>
        </w:rPr>
        <w:lastRenderedPageBreak/>
        <w:t>Share-of-</w:t>
      </w:r>
      <w:r w:rsidR="001B4E6F" w:rsidRPr="00105FFC">
        <w:rPr>
          <w:rFonts w:eastAsiaTheme="minorHAnsi"/>
        </w:rPr>
        <w:t>Cost</w:t>
      </w:r>
      <w:bookmarkEnd w:id="93"/>
    </w:p>
    <w:p w14:paraId="58879081" w14:textId="77777777" w:rsidR="00CA4E97" w:rsidRPr="00105FFC" w:rsidRDefault="001B4E6F"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t>Some individuals may have too much income to qualify for Medi-Cal, but have medical costs t</w:t>
      </w:r>
      <w:r w:rsidR="00EE3FFF" w:rsidRPr="00105FFC">
        <w:rPr>
          <w:rFonts w:asciiTheme="minorHAnsi" w:eastAsiaTheme="minorHAnsi" w:hAnsiTheme="minorHAnsi" w:cstheme="minorBidi"/>
        </w:rPr>
        <w:t xml:space="preserve">hat they are unable to afford. </w:t>
      </w:r>
      <w:r w:rsidRPr="00105FFC">
        <w:rPr>
          <w:rFonts w:asciiTheme="minorHAnsi" w:eastAsiaTheme="minorHAnsi" w:hAnsiTheme="minorHAnsi" w:cstheme="minorBidi"/>
        </w:rPr>
        <w:t>In these cases, Medi-Cal may provide services once the beneficiary has spent a predetermined amount</w:t>
      </w:r>
      <w:r w:rsidR="00520434" w:rsidRPr="00105FFC">
        <w:rPr>
          <w:rFonts w:asciiTheme="minorHAnsi" w:eastAsiaTheme="minorHAnsi" w:hAnsiTheme="minorHAnsi" w:cstheme="minorBidi"/>
        </w:rPr>
        <w:t xml:space="preserve"> on medical care</w:t>
      </w:r>
      <w:r w:rsidR="00EE3FFF" w:rsidRPr="00105FFC">
        <w:rPr>
          <w:rFonts w:asciiTheme="minorHAnsi" w:eastAsiaTheme="minorHAnsi" w:hAnsiTheme="minorHAnsi" w:cstheme="minorBidi"/>
        </w:rPr>
        <w:t>,</w:t>
      </w:r>
      <w:r w:rsidR="00520434" w:rsidRPr="00105FFC">
        <w:rPr>
          <w:rFonts w:asciiTheme="minorHAnsi" w:eastAsiaTheme="minorHAnsi" w:hAnsiTheme="minorHAnsi" w:cstheme="minorBidi"/>
        </w:rPr>
        <w:t xml:space="preserve"> known as </w:t>
      </w:r>
      <w:r w:rsidR="00EE3FFF" w:rsidRPr="00105FFC">
        <w:rPr>
          <w:rFonts w:asciiTheme="minorHAnsi" w:eastAsiaTheme="minorHAnsi" w:hAnsiTheme="minorHAnsi" w:cstheme="minorBidi"/>
        </w:rPr>
        <w:t xml:space="preserve">a </w:t>
      </w:r>
      <w:r w:rsidR="00B95652" w:rsidRPr="00105FFC">
        <w:rPr>
          <w:rFonts w:asciiTheme="minorHAnsi" w:eastAsiaTheme="minorHAnsi" w:hAnsiTheme="minorHAnsi" w:cstheme="minorBidi"/>
        </w:rPr>
        <w:t>S</w:t>
      </w:r>
      <w:r w:rsidRPr="00105FFC">
        <w:rPr>
          <w:rFonts w:asciiTheme="minorHAnsi" w:eastAsiaTheme="minorHAnsi" w:hAnsiTheme="minorHAnsi" w:cstheme="minorBidi"/>
        </w:rPr>
        <w:t>OC</w:t>
      </w:r>
      <w:r w:rsidR="00EE3FFF" w:rsidRPr="00105FFC">
        <w:rPr>
          <w:rFonts w:asciiTheme="minorHAnsi" w:eastAsiaTheme="minorHAnsi" w:hAnsiTheme="minorHAnsi" w:cstheme="minorBidi"/>
        </w:rPr>
        <w:t xml:space="preserve">. </w:t>
      </w:r>
      <w:r w:rsidRPr="00105FFC">
        <w:rPr>
          <w:rFonts w:asciiTheme="minorHAnsi" w:eastAsiaTheme="minorHAnsi" w:hAnsiTheme="minorHAnsi" w:cstheme="minorBidi"/>
        </w:rPr>
        <w:t xml:space="preserve">Eligibility for these individuals varies based on their monthly medical expenses and their ability to meet their SOC.  In most counties, individuals with a SOC must participate in the FFS delivery system.  </w:t>
      </w:r>
      <w:r w:rsidR="003F1AF3" w:rsidRPr="00105FFC">
        <w:rPr>
          <w:rFonts w:asciiTheme="minorHAnsi" w:eastAsiaTheme="minorHAnsi" w:hAnsiTheme="minorHAnsi" w:cstheme="minorBidi"/>
        </w:rPr>
        <w:t>Individual’s subject to a SOC are generally excluded from Medi-Cal managed care participation; they generally participate in Medi-Cal’s traditional FFS delivery system.</w:t>
      </w:r>
      <w:r w:rsidRPr="00105FFC">
        <w:rPr>
          <w:rFonts w:asciiTheme="minorHAnsi" w:eastAsiaTheme="minorHAnsi" w:hAnsiTheme="minorHAnsi" w:cstheme="minorBidi"/>
        </w:rPr>
        <w:t xml:space="preserve">   </w:t>
      </w:r>
    </w:p>
    <w:p w14:paraId="63BF7D94" w14:textId="77777777" w:rsidR="001A3F08" w:rsidRPr="00105FFC" w:rsidRDefault="001A3F08" w:rsidP="001A3F08">
      <w:pPr>
        <w:spacing w:line="276" w:lineRule="auto"/>
        <w:rPr>
          <w:rFonts w:asciiTheme="minorHAnsi" w:eastAsiaTheme="minorHAnsi" w:hAnsiTheme="minorHAnsi" w:cstheme="minorBidi"/>
        </w:rPr>
      </w:pPr>
    </w:p>
    <w:p w14:paraId="44417301" w14:textId="77777777" w:rsidR="001B4E6F" w:rsidRPr="00105FFC" w:rsidRDefault="00CA4E97" w:rsidP="001A3F08">
      <w:pPr>
        <w:pStyle w:val="Caption"/>
        <w:spacing w:after="0"/>
        <w:rPr>
          <w:rFonts w:asciiTheme="minorHAnsi" w:eastAsiaTheme="minorHAnsi" w:hAnsiTheme="minorHAnsi" w:cstheme="minorBidi"/>
          <w:b w:val="0"/>
          <w:color w:val="000000" w:themeColor="text1"/>
          <w:sz w:val="20"/>
          <w:szCs w:val="20"/>
        </w:rPr>
      </w:pPr>
      <w:bookmarkStart w:id="94" w:name="_Toc458782952"/>
      <w:bookmarkStart w:id="95" w:name="_Toc459285063"/>
      <w:bookmarkStart w:id="96" w:name="_Toc459285254"/>
      <w:bookmarkStart w:id="97" w:name="_Toc459286695"/>
      <w:r w:rsidRPr="00105FFC">
        <w:rPr>
          <w:rFonts w:asciiTheme="minorHAnsi" w:hAnsiTheme="minorHAnsi"/>
          <w:color w:val="000000" w:themeColor="text1"/>
          <w:sz w:val="20"/>
          <w:szCs w:val="20"/>
        </w:rPr>
        <w:t xml:space="preserve">Figure </w:t>
      </w:r>
      <w:r w:rsidRPr="00105FFC">
        <w:rPr>
          <w:rFonts w:asciiTheme="minorHAnsi" w:hAnsiTheme="minorHAnsi"/>
          <w:color w:val="000000" w:themeColor="text1"/>
          <w:sz w:val="20"/>
          <w:szCs w:val="20"/>
        </w:rPr>
        <w:fldChar w:fldCharType="begin"/>
      </w:r>
      <w:r w:rsidRPr="00105FFC">
        <w:rPr>
          <w:rFonts w:asciiTheme="minorHAnsi" w:hAnsiTheme="minorHAnsi"/>
          <w:color w:val="000000" w:themeColor="text1"/>
          <w:sz w:val="20"/>
          <w:szCs w:val="20"/>
        </w:rPr>
        <w:instrText xml:space="preserve"> SEQ Figure \* ARABIC </w:instrText>
      </w:r>
      <w:r w:rsidRPr="00105FFC">
        <w:rPr>
          <w:rFonts w:asciiTheme="minorHAnsi" w:hAnsiTheme="minorHAnsi"/>
          <w:color w:val="000000" w:themeColor="text1"/>
          <w:sz w:val="20"/>
          <w:szCs w:val="20"/>
        </w:rPr>
        <w:fldChar w:fldCharType="separate"/>
      </w:r>
      <w:r w:rsidR="000E1B8E">
        <w:rPr>
          <w:rFonts w:asciiTheme="minorHAnsi" w:hAnsiTheme="minorHAnsi"/>
          <w:noProof/>
          <w:color w:val="000000" w:themeColor="text1"/>
          <w:sz w:val="20"/>
          <w:szCs w:val="20"/>
        </w:rPr>
        <w:t>14</w:t>
      </w:r>
      <w:r w:rsidRPr="00105FFC">
        <w:rPr>
          <w:rFonts w:asciiTheme="minorHAnsi" w:hAnsiTheme="minorHAnsi"/>
          <w:color w:val="000000" w:themeColor="text1"/>
          <w:sz w:val="20"/>
          <w:szCs w:val="20"/>
        </w:rPr>
        <w:fldChar w:fldCharType="end"/>
      </w:r>
      <w:r w:rsidRPr="00105FFC">
        <w:rPr>
          <w:rFonts w:asciiTheme="minorHAnsi" w:hAnsiTheme="minorHAnsi"/>
          <w:color w:val="000000" w:themeColor="text1"/>
          <w:sz w:val="20"/>
          <w:szCs w:val="20"/>
        </w:rPr>
        <w:t xml:space="preserve">: </w:t>
      </w:r>
      <w:r w:rsidR="00637296" w:rsidRPr="00105FFC">
        <w:rPr>
          <w:rFonts w:asciiTheme="minorHAnsi" w:hAnsiTheme="minorHAnsi"/>
          <w:b w:val="0"/>
          <w:color w:val="000000" w:themeColor="text1"/>
          <w:sz w:val="20"/>
          <w:szCs w:val="20"/>
        </w:rPr>
        <w:t>Percentage of</w:t>
      </w:r>
      <w:r w:rsidRPr="00105FFC">
        <w:rPr>
          <w:rFonts w:asciiTheme="minorHAnsi" w:hAnsiTheme="minorHAnsi"/>
          <w:b w:val="0"/>
          <w:color w:val="000000" w:themeColor="text1"/>
          <w:sz w:val="20"/>
          <w:szCs w:val="20"/>
        </w:rPr>
        <w:t xml:space="preserve"> </w:t>
      </w:r>
      <w:r w:rsidR="00AB26B0" w:rsidRPr="00105FFC">
        <w:rPr>
          <w:rFonts w:asciiTheme="minorHAnsi" w:hAnsiTheme="minorHAnsi"/>
          <w:b w:val="0"/>
          <w:color w:val="000000" w:themeColor="text1"/>
          <w:sz w:val="20"/>
          <w:szCs w:val="20"/>
        </w:rPr>
        <w:t xml:space="preserve">Certified Eligible </w:t>
      </w:r>
      <w:r w:rsidRPr="00105FFC">
        <w:rPr>
          <w:rFonts w:asciiTheme="minorHAnsi" w:hAnsiTheme="minorHAnsi"/>
          <w:b w:val="0"/>
          <w:color w:val="000000" w:themeColor="text1"/>
          <w:sz w:val="20"/>
          <w:szCs w:val="20"/>
        </w:rPr>
        <w:t>FFS Medi-Cal Beneficiaries with a Share-of-Cost</w:t>
      </w:r>
      <w:r w:rsidR="00B95652" w:rsidRPr="00105FFC">
        <w:rPr>
          <w:rFonts w:asciiTheme="minorHAnsi" w:hAnsiTheme="minorHAnsi"/>
          <w:b w:val="0"/>
          <w:color w:val="000000" w:themeColor="text1"/>
          <w:sz w:val="20"/>
          <w:szCs w:val="20"/>
        </w:rPr>
        <w:t xml:space="preserve"> </w:t>
      </w:r>
      <w:r w:rsidR="005265D4" w:rsidRPr="00105FFC">
        <w:rPr>
          <w:rFonts w:asciiTheme="minorHAnsi" w:eastAsiaTheme="minorHAnsi" w:hAnsiTheme="minorHAnsi" w:cstheme="minorBidi"/>
          <w:b w:val="0"/>
          <w:color w:val="auto"/>
          <w:sz w:val="20"/>
          <w:szCs w:val="20"/>
        </w:rPr>
        <w:t xml:space="preserve">Enrolled at any Point </w:t>
      </w:r>
      <w:r w:rsidR="00B95652" w:rsidRPr="00105FFC">
        <w:rPr>
          <w:rFonts w:asciiTheme="minorHAnsi" w:hAnsiTheme="minorHAnsi"/>
          <w:b w:val="0"/>
          <w:color w:val="000000" w:themeColor="text1"/>
          <w:sz w:val="20"/>
          <w:szCs w:val="20"/>
        </w:rPr>
        <w:t>in 2015</w:t>
      </w:r>
      <w:r w:rsidRPr="00105FFC">
        <w:rPr>
          <w:rFonts w:asciiTheme="minorHAnsi" w:hAnsiTheme="minorHAnsi"/>
          <w:b w:val="0"/>
          <w:color w:val="000000" w:themeColor="text1"/>
          <w:sz w:val="20"/>
          <w:szCs w:val="20"/>
        </w:rPr>
        <w:t>, by FFS Member Months</w:t>
      </w:r>
      <w:bookmarkEnd w:id="94"/>
      <w:bookmarkEnd w:id="95"/>
      <w:bookmarkEnd w:id="96"/>
      <w:bookmarkEnd w:id="97"/>
    </w:p>
    <w:p w14:paraId="1DE5B7D8" w14:textId="77777777" w:rsidR="001B4E6F" w:rsidRPr="00105FFC" w:rsidRDefault="00637296" w:rsidP="001A3F08">
      <w:pPr>
        <w:rPr>
          <w:rFonts w:asciiTheme="minorHAnsi" w:eastAsiaTheme="minorHAnsi" w:hAnsiTheme="minorHAnsi" w:cstheme="minorBidi"/>
          <w:sz w:val="20"/>
          <w:szCs w:val="20"/>
        </w:rPr>
      </w:pPr>
      <w:r w:rsidRPr="00105FFC">
        <w:rPr>
          <w:rFonts w:asciiTheme="minorHAnsi" w:hAnsiTheme="minorHAnsi"/>
          <w:noProof/>
        </w:rPr>
        <w:drawing>
          <wp:inline distT="0" distB="0" distL="0" distR="0" wp14:anchorId="1CF0B441" wp14:editId="593FE4F9">
            <wp:extent cx="5943600" cy="2468880"/>
            <wp:effectExtent l="0" t="0" r="0" b="7620"/>
            <wp:docPr id="22" name="Chart 22" descr="1 to 2 months 30.3%&#10;3 to 4 months 17.6%&#10;5 to 6 months 12.1%&#10;7 to 8 months 7.7%&#10;9 to 10 months 6.8%&#10;11 to 12 months 25.5%&#10;" title="Percentage of Certified Eligible FFS Medi-Cal Beneficiaries with a Share-of-Cost Enrolled at any Point in 2015, by FFS Member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A4E97" w:rsidRPr="00105FFC">
        <w:rPr>
          <w:rFonts w:asciiTheme="minorHAnsi" w:eastAsiaTheme="minorHAnsi" w:hAnsiTheme="minorHAnsi" w:cstheme="minorBidi"/>
        </w:rPr>
        <w:br/>
      </w:r>
      <w:r w:rsidR="00CA4E97" w:rsidRPr="00105FFC">
        <w:rPr>
          <w:rFonts w:asciiTheme="minorHAnsi" w:eastAsiaTheme="minorHAnsi" w:hAnsiTheme="minorHAnsi" w:cstheme="minorBidi"/>
          <w:b/>
          <w:sz w:val="16"/>
          <w:szCs w:val="16"/>
        </w:rPr>
        <w:t>Source:</w:t>
      </w:r>
      <w:r w:rsidR="00CA4E97" w:rsidRPr="00105FFC">
        <w:rPr>
          <w:rFonts w:asciiTheme="minorHAnsi" w:eastAsiaTheme="minorHAnsi" w:hAnsiTheme="minorHAnsi" w:cstheme="minorBidi"/>
          <w:sz w:val="16"/>
          <w:szCs w:val="16"/>
        </w:rPr>
        <w:t xml:space="preserve"> Created by DHCS Research and Analytic Studies Division using data from the MIS/DSS eligibility tables for 2015.</w:t>
      </w:r>
    </w:p>
    <w:p w14:paraId="10CAA214" w14:textId="77777777" w:rsidR="001A3F08" w:rsidRPr="00105FFC" w:rsidRDefault="001A3F08" w:rsidP="001A3F08">
      <w:pPr>
        <w:rPr>
          <w:rFonts w:asciiTheme="minorHAnsi" w:eastAsiaTheme="minorHAnsi" w:hAnsiTheme="minorHAnsi" w:cstheme="minorBidi"/>
        </w:rPr>
      </w:pPr>
    </w:p>
    <w:p w14:paraId="48B88D1E" w14:textId="77777777" w:rsidR="001B4E6F" w:rsidRPr="00105FFC" w:rsidRDefault="001B4E6F"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Looking at continuous enrollment for individuals with a SOC in 2015 illustrates their diminishing participation over time. SOC </w:t>
      </w:r>
      <w:r w:rsidR="00AB26B0" w:rsidRPr="00105FFC">
        <w:rPr>
          <w:rFonts w:asciiTheme="minorHAnsi" w:eastAsiaTheme="minorHAnsi" w:hAnsiTheme="minorHAnsi" w:cstheme="minorBidi"/>
        </w:rPr>
        <w:t>beneficiaries</w:t>
      </w:r>
      <w:r w:rsidRPr="00105FFC">
        <w:rPr>
          <w:rFonts w:asciiTheme="minorHAnsi" w:eastAsiaTheme="minorHAnsi" w:hAnsiTheme="minorHAnsi" w:cstheme="minorBidi"/>
        </w:rPr>
        <w:t xml:space="preserve"> with either one or tw</w:t>
      </w:r>
      <w:r w:rsidR="00AB26B0" w:rsidRPr="00105FFC">
        <w:rPr>
          <w:rFonts w:asciiTheme="minorHAnsi" w:eastAsiaTheme="minorHAnsi" w:hAnsiTheme="minorHAnsi" w:cstheme="minorBidi"/>
        </w:rPr>
        <w:t>o months of</w:t>
      </w:r>
      <w:r w:rsidRPr="00105FFC">
        <w:rPr>
          <w:rFonts w:asciiTheme="minorHAnsi" w:eastAsiaTheme="minorHAnsi" w:hAnsiTheme="minorHAnsi" w:cstheme="minorBidi"/>
        </w:rPr>
        <w:t xml:space="preserve"> enrollment in FFS represent 30% of all SOC member </w:t>
      </w:r>
      <w:r w:rsidR="00AB26B0" w:rsidRPr="00105FFC">
        <w:rPr>
          <w:rFonts w:asciiTheme="minorHAnsi" w:eastAsiaTheme="minorHAnsi" w:hAnsiTheme="minorHAnsi" w:cstheme="minorBidi"/>
        </w:rPr>
        <w:t>months</w:t>
      </w:r>
      <w:r w:rsidRPr="00105FFC">
        <w:rPr>
          <w:rFonts w:asciiTheme="minorHAnsi" w:eastAsiaTheme="minorHAnsi" w:hAnsiTheme="minorHAnsi" w:cstheme="minorBidi"/>
        </w:rPr>
        <w:t>. Those with six or fewer months of continuous enrollment combine to account for nearly</w:t>
      </w:r>
      <w:r w:rsidR="00CA4E97" w:rsidRPr="00105FFC">
        <w:rPr>
          <w:rFonts w:asciiTheme="minorHAnsi" w:eastAsiaTheme="minorHAnsi" w:hAnsiTheme="minorHAnsi" w:cstheme="minorBidi"/>
        </w:rPr>
        <w:t xml:space="preserve"> 60% of all SOC member months</w:t>
      </w:r>
      <w:r w:rsidR="00AB26B0" w:rsidRPr="00105FFC">
        <w:rPr>
          <w:rFonts w:asciiTheme="minorHAnsi" w:eastAsiaTheme="minorHAnsi" w:hAnsiTheme="minorHAnsi" w:cstheme="minorBidi"/>
        </w:rPr>
        <w:t xml:space="preserve"> (Figure 14)</w:t>
      </w:r>
      <w:r w:rsidR="00CA4E97" w:rsidRPr="00105FFC">
        <w:rPr>
          <w:rFonts w:asciiTheme="minorHAnsi" w:eastAsiaTheme="minorHAnsi" w:hAnsiTheme="minorHAnsi" w:cstheme="minorBidi"/>
        </w:rPr>
        <w:t xml:space="preserve">. </w:t>
      </w:r>
    </w:p>
    <w:p w14:paraId="6B0A860C" w14:textId="77777777" w:rsidR="001B4E6F" w:rsidRPr="00105FFC" w:rsidRDefault="001B4E6F"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An exception to the downward trend occurs in member months for individuals with 11 or 12 months of enrollment. This rise </w:t>
      </w:r>
      <w:r w:rsidR="00AB26B0" w:rsidRPr="00105FFC">
        <w:rPr>
          <w:rFonts w:asciiTheme="minorHAnsi" w:eastAsiaTheme="minorHAnsi" w:hAnsiTheme="minorHAnsi" w:cstheme="minorBidi"/>
        </w:rPr>
        <w:t xml:space="preserve">is the result of </w:t>
      </w:r>
      <w:r w:rsidR="00DD497A" w:rsidRPr="00105FFC">
        <w:rPr>
          <w:rFonts w:asciiTheme="minorHAnsi" w:eastAsiaTheme="minorHAnsi" w:hAnsiTheme="minorHAnsi" w:cstheme="minorBidi"/>
        </w:rPr>
        <w:t>individuals</w:t>
      </w:r>
      <w:r w:rsidR="00AB26B0" w:rsidRPr="00105FFC">
        <w:rPr>
          <w:rFonts w:asciiTheme="minorHAnsi" w:eastAsiaTheme="minorHAnsi" w:hAnsiTheme="minorHAnsi" w:cstheme="minorBidi"/>
        </w:rPr>
        <w:t xml:space="preserve"> in long-</w:t>
      </w:r>
      <w:r w:rsidRPr="00105FFC">
        <w:rPr>
          <w:rFonts w:asciiTheme="minorHAnsi" w:eastAsiaTheme="minorHAnsi" w:hAnsiTheme="minorHAnsi" w:cstheme="minorBidi"/>
        </w:rPr>
        <w:t>term care</w:t>
      </w:r>
      <w:r w:rsidR="00984063" w:rsidRPr="00105FFC">
        <w:rPr>
          <w:rFonts w:asciiTheme="minorHAnsi" w:eastAsiaTheme="minorHAnsi" w:hAnsiTheme="minorHAnsi" w:cstheme="minorBidi"/>
        </w:rPr>
        <w:t xml:space="preserve"> or receiving IHSS</w:t>
      </w:r>
      <w:r w:rsidRPr="00105FFC">
        <w:rPr>
          <w:rFonts w:asciiTheme="minorHAnsi" w:eastAsiaTheme="minorHAnsi" w:hAnsiTheme="minorHAnsi" w:cstheme="minorBidi"/>
        </w:rPr>
        <w:t xml:space="preserve">. </w:t>
      </w:r>
      <w:r w:rsidR="00984063" w:rsidRPr="00105FFC">
        <w:rPr>
          <w:rFonts w:asciiTheme="minorHAnsi" w:eastAsiaTheme="minorHAnsi" w:hAnsiTheme="minorHAnsi" w:cstheme="minorBidi"/>
        </w:rPr>
        <w:t>Many</w:t>
      </w:r>
      <w:r w:rsidRPr="00105FFC">
        <w:rPr>
          <w:rFonts w:asciiTheme="minorHAnsi" w:eastAsiaTheme="minorHAnsi" w:hAnsiTheme="minorHAnsi" w:cstheme="minorBidi"/>
        </w:rPr>
        <w:t xml:space="preserve"> individuals in Medi-Cal that</w:t>
      </w:r>
      <w:r w:rsidR="00AB26B0" w:rsidRPr="00105FFC">
        <w:rPr>
          <w:rFonts w:asciiTheme="minorHAnsi" w:eastAsiaTheme="minorHAnsi" w:hAnsiTheme="minorHAnsi" w:cstheme="minorBidi"/>
        </w:rPr>
        <w:t xml:space="preserve"> are institutionalized </w:t>
      </w:r>
      <w:r w:rsidR="00AB26B0" w:rsidRPr="00105FFC">
        <w:rPr>
          <w:rFonts w:asciiTheme="minorHAnsi" w:eastAsiaTheme="minorHAnsi" w:hAnsiTheme="minorHAnsi" w:cstheme="minorBidi"/>
        </w:rPr>
        <w:lastRenderedPageBreak/>
        <w:t>for long-</w:t>
      </w:r>
      <w:r w:rsidRPr="00105FFC">
        <w:rPr>
          <w:rFonts w:asciiTheme="minorHAnsi" w:eastAsiaTheme="minorHAnsi" w:hAnsiTheme="minorHAnsi" w:cstheme="minorBidi"/>
        </w:rPr>
        <w:t xml:space="preserve">term care have a SOC that </w:t>
      </w:r>
      <w:r w:rsidR="007362D1" w:rsidRPr="00105FFC">
        <w:rPr>
          <w:rFonts w:asciiTheme="minorHAnsi" w:eastAsiaTheme="minorHAnsi" w:hAnsiTheme="minorHAnsi" w:cstheme="minorBidi"/>
        </w:rPr>
        <w:t xml:space="preserve">is allocated </w:t>
      </w:r>
      <w:r w:rsidRPr="00105FFC">
        <w:rPr>
          <w:rFonts w:asciiTheme="minorHAnsi" w:eastAsiaTheme="minorHAnsi" w:hAnsiTheme="minorHAnsi" w:cstheme="minorBidi"/>
        </w:rPr>
        <w:t>towards the monthly nursing faci</w:t>
      </w:r>
      <w:r w:rsidR="00AB26B0" w:rsidRPr="00105FFC">
        <w:rPr>
          <w:rFonts w:asciiTheme="minorHAnsi" w:eastAsiaTheme="minorHAnsi" w:hAnsiTheme="minorHAnsi" w:cstheme="minorBidi"/>
        </w:rPr>
        <w:t>lity costs. Individuals in long-</w:t>
      </w:r>
      <w:r w:rsidRPr="00105FFC">
        <w:rPr>
          <w:rFonts w:asciiTheme="minorHAnsi" w:eastAsiaTheme="minorHAnsi" w:hAnsiTheme="minorHAnsi" w:cstheme="minorBidi"/>
        </w:rPr>
        <w:t xml:space="preserve">term care accounted for 58% of </w:t>
      </w:r>
      <w:r w:rsidR="00AB26B0" w:rsidRPr="00105FFC">
        <w:rPr>
          <w:rFonts w:asciiTheme="minorHAnsi" w:eastAsiaTheme="minorHAnsi" w:hAnsiTheme="minorHAnsi" w:cstheme="minorBidi"/>
        </w:rPr>
        <w:t>beneficiaries</w:t>
      </w:r>
      <w:r w:rsidRPr="00105FFC">
        <w:rPr>
          <w:rFonts w:asciiTheme="minorHAnsi" w:eastAsiaTheme="minorHAnsi" w:hAnsiTheme="minorHAnsi" w:cstheme="minorBidi"/>
        </w:rPr>
        <w:t xml:space="preserve"> with a SOC enrolled for 11 or 12 continuous months</w:t>
      </w:r>
      <w:r w:rsidR="00AB26B0" w:rsidRPr="00105FFC">
        <w:rPr>
          <w:rFonts w:asciiTheme="minorHAnsi" w:eastAsiaTheme="minorHAnsi" w:hAnsiTheme="minorHAnsi" w:cstheme="minorBidi"/>
        </w:rPr>
        <w:t xml:space="preserve"> (Figure 15)</w:t>
      </w:r>
      <w:r w:rsidRPr="00105FFC">
        <w:rPr>
          <w:rFonts w:asciiTheme="minorHAnsi" w:eastAsiaTheme="minorHAnsi" w:hAnsiTheme="minorHAnsi" w:cstheme="minorBidi"/>
        </w:rPr>
        <w:t xml:space="preserve">. </w:t>
      </w:r>
      <w:r w:rsidR="007362D1" w:rsidRPr="00105FFC">
        <w:rPr>
          <w:rFonts w:asciiTheme="minorHAnsi" w:eastAsiaTheme="minorHAnsi" w:hAnsiTheme="minorHAnsi" w:cstheme="minorBidi"/>
        </w:rPr>
        <w:t xml:space="preserve"> Similarly, individuals receiving IHSS may also meet their monthly SOC obligation based on the expenses to be incurred for the month related to IHSS.</w:t>
      </w:r>
    </w:p>
    <w:p w14:paraId="0DC56583" w14:textId="77777777" w:rsidR="00CA4E97" w:rsidRPr="00105FFC" w:rsidRDefault="00CA4E97" w:rsidP="001A3F08">
      <w:pPr>
        <w:pStyle w:val="Caption"/>
        <w:spacing w:after="0"/>
        <w:rPr>
          <w:rFonts w:asciiTheme="minorHAnsi" w:hAnsiTheme="minorHAnsi"/>
          <w:b w:val="0"/>
          <w:color w:val="000000" w:themeColor="text1"/>
          <w:sz w:val="20"/>
          <w:szCs w:val="20"/>
        </w:rPr>
      </w:pPr>
      <w:bookmarkStart w:id="98" w:name="_Toc458782953"/>
      <w:bookmarkStart w:id="99" w:name="_Toc459285064"/>
      <w:bookmarkStart w:id="100" w:name="_Toc459285255"/>
      <w:bookmarkStart w:id="101" w:name="_Toc459286696"/>
      <w:r w:rsidRPr="00105FFC">
        <w:rPr>
          <w:rFonts w:asciiTheme="minorHAnsi" w:hAnsiTheme="minorHAnsi"/>
          <w:color w:val="000000" w:themeColor="text1"/>
          <w:sz w:val="20"/>
          <w:szCs w:val="20"/>
        </w:rPr>
        <w:t xml:space="preserve">Figure </w:t>
      </w:r>
      <w:r w:rsidRPr="00105FFC">
        <w:rPr>
          <w:rFonts w:asciiTheme="minorHAnsi" w:hAnsiTheme="minorHAnsi"/>
          <w:color w:val="000000" w:themeColor="text1"/>
          <w:sz w:val="20"/>
          <w:szCs w:val="20"/>
        </w:rPr>
        <w:fldChar w:fldCharType="begin"/>
      </w:r>
      <w:r w:rsidRPr="00105FFC">
        <w:rPr>
          <w:rFonts w:asciiTheme="minorHAnsi" w:hAnsiTheme="minorHAnsi"/>
          <w:color w:val="000000" w:themeColor="text1"/>
          <w:sz w:val="20"/>
          <w:szCs w:val="20"/>
        </w:rPr>
        <w:instrText xml:space="preserve"> SEQ Figure \* ARABIC </w:instrText>
      </w:r>
      <w:r w:rsidRPr="00105FFC">
        <w:rPr>
          <w:rFonts w:asciiTheme="minorHAnsi" w:hAnsiTheme="minorHAnsi"/>
          <w:color w:val="000000" w:themeColor="text1"/>
          <w:sz w:val="20"/>
          <w:szCs w:val="20"/>
        </w:rPr>
        <w:fldChar w:fldCharType="separate"/>
      </w:r>
      <w:r w:rsidR="000E1B8E">
        <w:rPr>
          <w:rFonts w:asciiTheme="minorHAnsi" w:hAnsiTheme="minorHAnsi"/>
          <w:noProof/>
          <w:color w:val="000000" w:themeColor="text1"/>
          <w:sz w:val="20"/>
          <w:szCs w:val="20"/>
        </w:rPr>
        <w:t>15</w:t>
      </w:r>
      <w:r w:rsidRPr="00105FFC">
        <w:rPr>
          <w:rFonts w:asciiTheme="minorHAnsi" w:hAnsiTheme="minorHAnsi"/>
          <w:color w:val="000000" w:themeColor="text1"/>
          <w:sz w:val="20"/>
          <w:szCs w:val="20"/>
        </w:rPr>
        <w:fldChar w:fldCharType="end"/>
      </w:r>
      <w:r w:rsidRPr="00105FFC">
        <w:rPr>
          <w:rFonts w:asciiTheme="minorHAnsi" w:hAnsiTheme="minorHAnsi"/>
          <w:color w:val="000000" w:themeColor="text1"/>
          <w:sz w:val="20"/>
          <w:szCs w:val="20"/>
        </w:rPr>
        <w:t>:</w:t>
      </w:r>
      <w:r w:rsidRPr="00105FFC">
        <w:rPr>
          <w:rFonts w:asciiTheme="minorHAnsi" w:hAnsiTheme="minorHAnsi"/>
          <w:b w:val="0"/>
          <w:color w:val="000000" w:themeColor="text1"/>
          <w:sz w:val="20"/>
          <w:szCs w:val="20"/>
        </w:rPr>
        <w:t xml:space="preserve"> Count of </w:t>
      </w:r>
      <w:r w:rsidR="00AB26B0" w:rsidRPr="00105FFC">
        <w:rPr>
          <w:rFonts w:asciiTheme="minorHAnsi" w:hAnsiTheme="minorHAnsi"/>
          <w:b w:val="0"/>
          <w:color w:val="000000" w:themeColor="text1"/>
          <w:sz w:val="20"/>
          <w:szCs w:val="20"/>
        </w:rPr>
        <w:t xml:space="preserve">Certified Eligible </w:t>
      </w:r>
      <w:r w:rsidRPr="00105FFC">
        <w:rPr>
          <w:rFonts w:asciiTheme="minorHAnsi" w:hAnsiTheme="minorHAnsi"/>
          <w:b w:val="0"/>
          <w:color w:val="000000" w:themeColor="text1"/>
          <w:sz w:val="20"/>
          <w:szCs w:val="20"/>
        </w:rPr>
        <w:t xml:space="preserve">FFS Medi-Cal Beneficiaries </w:t>
      </w:r>
      <w:r w:rsidR="00984063" w:rsidRPr="00105FFC">
        <w:rPr>
          <w:rFonts w:asciiTheme="minorHAnsi" w:hAnsiTheme="minorHAnsi"/>
          <w:b w:val="0"/>
          <w:color w:val="000000" w:themeColor="text1"/>
          <w:sz w:val="20"/>
          <w:szCs w:val="20"/>
        </w:rPr>
        <w:t xml:space="preserve">Enrolled at any Point in 2015 </w:t>
      </w:r>
      <w:r w:rsidRPr="00105FFC">
        <w:rPr>
          <w:rFonts w:asciiTheme="minorHAnsi" w:hAnsiTheme="minorHAnsi"/>
          <w:b w:val="0"/>
          <w:color w:val="000000" w:themeColor="text1"/>
          <w:sz w:val="20"/>
          <w:szCs w:val="20"/>
        </w:rPr>
        <w:t>with a Share-of-Cost, by FFS Member Months and Long-Term Care Enrollment Status</w:t>
      </w:r>
      <w:bookmarkEnd w:id="98"/>
      <w:bookmarkEnd w:id="99"/>
      <w:bookmarkEnd w:id="100"/>
      <w:bookmarkEnd w:id="101"/>
    </w:p>
    <w:p w14:paraId="68D3FC79" w14:textId="77777777" w:rsidR="001B4E6F" w:rsidRPr="00105FFC" w:rsidRDefault="001B4E6F" w:rsidP="001A3F08">
      <w:pPr>
        <w:spacing w:line="276" w:lineRule="auto"/>
        <w:rPr>
          <w:rFonts w:asciiTheme="minorHAnsi" w:eastAsiaTheme="minorHAnsi" w:hAnsiTheme="minorHAnsi" w:cstheme="minorBidi"/>
          <w:sz w:val="20"/>
          <w:szCs w:val="20"/>
        </w:rPr>
      </w:pPr>
      <w:r w:rsidRPr="00105FFC">
        <w:rPr>
          <w:rFonts w:asciiTheme="minorHAnsi" w:hAnsiTheme="minorHAnsi"/>
          <w:noProof/>
        </w:rPr>
        <w:drawing>
          <wp:inline distT="0" distB="0" distL="0" distR="0" wp14:anchorId="0340099D" wp14:editId="4ABD87C1">
            <wp:extent cx="5943600" cy="2468880"/>
            <wp:effectExtent l="0" t="0" r="0" b="7620"/>
            <wp:docPr id="32" name="Chart 32" descr="1 to 2 months: LTC 6,775; No LTC 30,177&#10;3 to 4 months: LTC 5,761; No LTC 15,666&#10;5 to 6 months: LTC 4,325; No LTC 10,367&#10;7 to 8 months: LTC 2,360; No LTC 7,073&#10;9 to 10 months: LTC 2,140; No LTC 6,141&#10;11 to 12 months: LTC 18,754; No LTC 13,349&#10;" title="Count of Certified Eligible FFS Medi-Cal Beneficiaries Enrolled at any Point in 2015 with a Share-of-Cost, by FFS Member Months and Long-Term Care Enrollment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CA4E97" w:rsidRPr="00105FFC">
        <w:rPr>
          <w:rFonts w:asciiTheme="minorHAnsi" w:eastAsiaTheme="minorHAnsi" w:hAnsiTheme="minorHAnsi" w:cstheme="minorBidi"/>
        </w:rPr>
        <w:br/>
      </w:r>
      <w:r w:rsidR="00CA4E97" w:rsidRPr="00105FFC">
        <w:rPr>
          <w:rFonts w:asciiTheme="minorHAnsi" w:eastAsiaTheme="minorHAnsi" w:hAnsiTheme="minorHAnsi" w:cstheme="minorBidi"/>
          <w:b/>
          <w:sz w:val="16"/>
          <w:szCs w:val="16"/>
        </w:rPr>
        <w:t>Source:</w:t>
      </w:r>
      <w:r w:rsidR="00CA4E97" w:rsidRPr="00105FFC">
        <w:rPr>
          <w:rFonts w:asciiTheme="minorHAnsi" w:eastAsiaTheme="minorHAnsi" w:hAnsiTheme="minorHAnsi" w:cstheme="minorBidi"/>
          <w:sz w:val="16"/>
          <w:szCs w:val="16"/>
        </w:rPr>
        <w:t xml:space="preserve"> Created by DHCS Research and Analytic Studies Division using data from the MIS/DSS eligibility tables for 2015.</w:t>
      </w:r>
    </w:p>
    <w:p w14:paraId="27899C67" w14:textId="77777777" w:rsidR="001A3F08" w:rsidRPr="00105FFC" w:rsidRDefault="001A3F08" w:rsidP="001A3F08">
      <w:pPr>
        <w:spacing w:line="276" w:lineRule="auto"/>
        <w:rPr>
          <w:rFonts w:asciiTheme="minorHAnsi" w:eastAsiaTheme="minorHAnsi" w:hAnsiTheme="minorHAnsi" w:cstheme="minorBidi"/>
        </w:rPr>
      </w:pPr>
    </w:p>
    <w:p w14:paraId="6541EB37" w14:textId="77777777" w:rsidR="001A3F08" w:rsidRPr="00105FFC" w:rsidRDefault="00984063"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Evaluating access to Medi-Cal services for those with a SOC becomes problematic for the same reasons it is difficult to interpret results for other administrative categories that generally lack significant, continuous enrollment. But the SOC group presents another conceptual challenge for access monitoring. An individual may meet their SOC and be covered by Medi-Cal for a few consecutive months, generally for episodic heath care events. They may then lose coverage when they no longer need health care services and do not meet their SOC in subsequent months.  However, should that individual ever meet their SOC again and become eligible to receive Medi-Cal covered benefits after a break in coverage, any care, utilization, and outcomes that take place while not covered by Medi-Cal will be unknown to the program. More importantly, utilization in Medi-Cal may become a reflection of care received outside of the system. Medi-Cal does not receive information </w:t>
      </w:r>
      <w:r w:rsidRPr="00105FFC">
        <w:rPr>
          <w:rFonts w:asciiTheme="minorHAnsi" w:eastAsiaTheme="minorHAnsi" w:hAnsiTheme="minorHAnsi" w:cstheme="minorBidi"/>
        </w:rPr>
        <w:lastRenderedPageBreak/>
        <w:t>about medical services received before a SOC has been met.  For certain measures, such as ambulatory care sensitive conditions (ACSC), this group poses significant challenges for evaluating the impact of Medi-Cal’s ambulatory care delivery system when exposure to the system is limited or at best episodic</w:t>
      </w:r>
    </w:p>
    <w:p w14:paraId="2CE987FB" w14:textId="77777777" w:rsidR="00984063" w:rsidRPr="00105FFC" w:rsidRDefault="00984063" w:rsidP="001A3F08">
      <w:pPr>
        <w:spacing w:line="276" w:lineRule="auto"/>
        <w:rPr>
          <w:rFonts w:asciiTheme="minorHAnsi" w:eastAsiaTheme="minorHAnsi" w:hAnsiTheme="minorHAnsi" w:cstheme="minorBidi"/>
        </w:rPr>
      </w:pPr>
    </w:p>
    <w:p w14:paraId="16126A59" w14:textId="77777777" w:rsidR="001B4E6F" w:rsidRPr="00105FFC" w:rsidRDefault="001B4E6F" w:rsidP="00CA4E97">
      <w:pPr>
        <w:pStyle w:val="Heading3"/>
        <w:spacing w:before="0" w:after="120" w:line="276" w:lineRule="auto"/>
        <w:rPr>
          <w:rFonts w:eastAsiaTheme="minorHAnsi"/>
        </w:rPr>
      </w:pPr>
      <w:bookmarkStart w:id="102" w:name="_Toc459287717"/>
      <w:r w:rsidRPr="00105FFC">
        <w:rPr>
          <w:rFonts w:eastAsiaTheme="minorHAnsi"/>
        </w:rPr>
        <w:t xml:space="preserve">FFS Full-Scope Medi-Cal Only </w:t>
      </w:r>
      <w:r w:rsidR="00AB26B0" w:rsidRPr="00105FFC">
        <w:rPr>
          <w:rFonts w:eastAsiaTheme="minorHAnsi"/>
        </w:rPr>
        <w:t>(No SOC, Non-</w:t>
      </w:r>
      <w:r w:rsidRPr="00105FFC">
        <w:rPr>
          <w:rFonts w:eastAsiaTheme="minorHAnsi"/>
        </w:rPr>
        <w:t>Dual Eligible)</w:t>
      </w:r>
      <w:bookmarkEnd w:id="102"/>
    </w:p>
    <w:p w14:paraId="5B869AB8" w14:textId="77777777" w:rsidR="001B4E6F" w:rsidRPr="00105FFC" w:rsidRDefault="00AB26B0" w:rsidP="00984063">
      <w:pPr>
        <w:spacing w:line="276" w:lineRule="auto"/>
        <w:rPr>
          <w:rFonts w:asciiTheme="minorHAnsi" w:eastAsiaTheme="minorHAnsi" w:hAnsiTheme="minorHAnsi" w:cstheme="minorBidi"/>
        </w:rPr>
      </w:pPr>
      <w:r w:rsidRPr="00105FFC">
        <w:rPr>
          <w:rFonts w:asciiTheme="minorHAnsi" w:eastAsiaTheme="minorHAnsi" w:hAnsiTheme="minorHAnsi" w:cstheme="minorBidi"/>
        </w:rPr>
        <w:t>Individuals who</w:t>
      </w:r>
      <w:r w:rsidR="001B4E6F" w:rsidRPr="00105FFC">
        <w:rPr>
          <w:rFonts w:asciiTheme="minorHAnsi" w:eastAsiaTheme="minorHAnsi" w:hAnsiTheme="minorHAnsi" w:cstheme="minorBidi"/>
        </w:rPr>
        <w:t xml:space="preserve"> do not fall in</w:t>
      </w:r>
      <w:r w:rsidR="004D1914" w:rsidRPr="00105FFC">
        <w:rPr>
          <w:rFonts w:asciiTheme="minorHAnsi" w:eastAsiaTheme="minorHAnsi" w:hAnsiTheme="minorHAnsi" w:cstheme="minorBidi"/>
        </w:rPr>
        <w:t>to</w:t>
      </w:r>
      <w:r w:rsidR="001B4E6F" w:rsidRPr="00105FFC">
        <w:rPr>
          <w:rFonts w:asciiTheme="minorHAnsi" w:eastAsiaTheme="minorHAnsi" w:hAnsiTheme="minorHAnsi" w:cstheme="minorBidi"/>
        </w:rPr>
        <w:t xml:space="preserve"> one of the four categories detailed ab</w:t>
      </w:r>
      <w:r w:rsidRPr="00105FFC">
        <w:rPr>
          <w:rFonts w:asciiTheme="minorHAnsi" w:eastAsiaTheme="minorHAnsi" w:hAnsiTheme="minorHAnsi" w:cstheme="minorBidi"/>
        </w:rPr>
        <w:t>ove are beneficiaries with full-</w:t>
      </w:r>
      <w:r w:rsidR="001B4E6F" w:rsidRPr="00105FFC">
        <w:rPr>
          <w:rFonts w:asciiTheme="minorHAnsi" w:eastAsiaTheme="minorHAnsi" w:hAnsiTheme="minorHAnsi" w:cstheme="minorBidi"/>
        </w:rPr>
        <w:t xml:space="preserve">scope Medi-Cal coverage. </w:t>
      </w:r>
      <w:r w:rsidR="00984063" w:rsidRPr="00105FFC">
        <w:rPr>
          <w:rFonts w:asciiTheme="minorHAnsi" w:eastAsiaTheme="minorHAnsi" w:hAnsiTheme="minorHAnsi" w:cstheme="minorBidi"/>
        </w:rPr>
        <w:t xml:space="preserve">Based on 2015, </w:t>
      </w:r>
      <w:r w:rsidR="004D1914" w:rsidRPr="00105FFC">
        <w:rPr>
          <w:rFonts w:asciiTheme="minorHAnsi" w:eastAsiaTheme="minorHAnsi" w:hAnsiTheme="minorHAnsi" w:cstheme="minorBidi"/>
        </w:rPr>
        <w:t>I</w:t>
      </w:r>
      <w:r w:rsidRPr="00105FFC">
        <w:rPr>
          <w:rFonts w:asciiTheme="minorHAnsi" w:eastAsiaTheme="minorHAnsi" w:hAnsiTheme="minorHAnsi" w:cstheme="minorBidi"/>
        </w:rPr>
        <w:t>ndividuals in this</w:t>
      </w:r>
      <w:r w:rsidR="001B4E6F" w:rsidRPr="00105FFC">
        <w:rPr>
          <w:rFonts w:asciiTheme="minorHAnsi" w:eastAsiaTheme="minorHAnsi" w:hAnsiTheme="minorHAnsi" w:cstheme="minorBidi"/>
        </w:rPr>
        <w:t xml:space="preserve"> group represent 125 </w:t>
      </w:r>
      <w:r w:rsidR="007068C3" w:rsidRPr="00105FFC">
        <w:rPr>
          <w:rFonts w:asciiTheme="minorHAnsi" w:eastAsiaTheme="minorHAnsi" w:hAnsiTheme="minorHAnsi" w:cstheme="minorBidi"/>
        </w:rPr>
        <w:t>different aid codes (Table 6</w:t>
      </w:r>
      <w:r w:rsidRPr="00105FFC">
        <w:rPr>
          <w:rFonts w:asciiTheme="minorHAnsi" w:eastAsiaTheme="minorHAnsi" w:hAnsiTheme="minorHAnsi" w:cstheme="minorBidi"/>
        </w:rPr>
        <w:t>). As an example, the top 10</w:t>
      </w:r>
      <w:r w:rsidR="001B4E6F" w:rsidRPr="00105FFC">
        <w:rPr>
          <w:rFonts w:asciiTheme="minorHAnsi" w:eastAsiaTheme="minorHAnsi" w:hAnsiTheme="minorHAnsi" w:cstheme="minorBidi"/>
        </w:rPr>
        <w:t xml:space="preserve"> aid codes </w:t>
      </w:r>
      <w:r w:rsidR="00077297" w:rsidRPr="00105FFC">
        <w:rPr>
          <w:rFonts w:asciiTheme="minorHAnsi" w:eastAsiaTheme="minorHAnsi" w:hAnsiTheme="minorHAnsi" w:cstheme="minorBidi"/>
        </w:rPr>
        <w:t xml:space="preserve">based on </w:t>
      </w:r>
      <w:r w:rsidR="001B4E6F" w:rsidRPr="00105FFC">
        <w:rPr>
          <w:rFonts w:asciiTheme="minorHAnsi" w:eastAsiaTheme="minorHAnsi" w:hAnsiTheme="minorHAnsi" w:cstheme="minorBidi"/>
        </w:rPr>
        <w:t xml:space="preserve">enrollment </w:t>
      </w:r>
      <w:r w:rsidR="00077297" w:rsidRPr="00105FFC">
        <w:rPr>
          <w:rFonts w:asciiTheme="minorHAnsi" w:eastAsiaTheme="minorHAnsi" w:hAnsiTheme="minorHAnsi" w:cstheme="minorBidi"/>
        </w:rPr>
        <w:t xml:space="preserve">counts </w:t>
      </w:r>
      <w:r w:rsidR="001B4E6F" w:rsidRPr="00105FFC">
        <w:rPr>
          <w:rFonts w:asciiTheme="minorHAnsi" w:eastAsiaTheme="minorHAnsi" w:hAnsiTheme="minorHAnsi" w:cstheme="minorBidi"/>
        </w:rPr>
        <w:t>represent those determined presumptively eligible</w:t>
      </w:r>
      <w:r w:rsidR="004D1914" w:rsidRPr="00105FFC">
        <w:rPr>
          <w:rFonts w:asciiTheme="minorHAnsi" w:eastAsiaTheme="minorHAnsi" w:hAnsiTheme="minorHAnsi" w:cstheme="minorBidi"/>
        </w:rPr>
        <w:t xml:space="preserve"> such as the Child and Health Disability Prevention (CHDP) child group</w:t>
      </w:r>
      <w:r w:rsidR="001B4E6F" w:rsidRPr="00105FFC">
        <w:rPr>
          <w:rFonts w:asciiTheme="minorHAnsi" w:eastAsiaTheme="minorHAnsi" w:hAnsiTheme="minorHAnsi" w:cstheme="minorBidi"/>
        </w:rPr>
        <w:t xml:space="preserve">, and those </w:t>
      </w:r>
      <w:r w:rsidR="004D1914" w:rsidRPr="00105FFC">
        <w:rPr>
          <w:rFonts w:asciiTheme="minorHAnsi" w:eastAsiaTheme="minorHAnsi" w:hAnsiTheme="minorHAnsi" w:cstheme="minorBidi"/>
        </w:rPr>
        <w:t xml:space="preserve">whose eligibility pathway was </w:t>
      </w:r>
      <w:r w:rsidR="00E36ECA" w:rsidRPr="00105FFC">
        <w:rPr>
          <w:rFonts w:asciiTheme="minorHAnsi" w:eastAsiaTheme="minorHAnsi" w:hAnsiTheme="minorHAnsi" w:cstheme="minorBidi"/>
        </w:rPr>
        <w:t>through Adoption</w:t>
      </w:r>
      <w:r w:rsidR="004D1914" w:rsidRPr="00105FFC">
        <w:rPr>
          <w:rFonts w:asciiTheme="minorHAnsi" w:eastAsiaTheme="minorHAnsi" w:hAnsiTheme="minorHAnsi" w:cstheme="minorBidi"/>
        </w:rPr>
        <w:t>/</w:t>
      </w:r>
      <w:r w:rsidR="001B4E6F" w:rsidRPr="00105FFC">
        <w:rPr>
          <w:rFonts w:asciiTheme="minorHAnsi" w:eastAsiaTheme="minorHAnsi" w:hAnsiTheme="minorHAnsi" w:cstheme="minorBidi"/>
        </w:rPr>
        <w:t xml:space="preserve">Foster Care.  </w:t>
      </w:r>
    </w:p>
    <w:p w14:paraId="55EA5C22" w14:textId="77777777" w:rsidR="001A3F08" w:rsidRPr="00105FFC" w:rsidRDefault="001A3F08" w:rsidP="00984063">
      <w:pPr>
        <w:spacing w:line="276" w:lineRule="auto"/>
        <w:rPr>
          <w:rFonts w:asciiTheme="minorHAnsi" w:eastAsiaTheme="minorHAnsi" w:hAnsiTheme="minorHAnsi" w:cstheme="minorBidi"/>
        </w:rPr>
      </w:pPr>
    </w:p>
    <w:p w14:paraId="1ADD75A5" w14:textId="77777777" w:rsidR="001B4E6F" w:rsidRPr="00105FFC" w:rsidRDefault="007068C3" w:rsidP="001A3F08">
      <w:pPr>
        <w:pStyle w:val="Caption"/>
        <w:spacing w:after="0"/>
        <w:rPr>
          <w:rFonts w:asciiTheme="minorHAnsi" w:hAnsiTheme="minorHAnsi"/>
          <w:b w:val="0"/>
          <w:color w:val="000000" w:themeColor="text1"/>
          <w:sz w:val="20"/>
          <w:szCs w:val="20"/>
        </w:rPr>
      </w:pPr>
      <w:bookmarkStart w:id="103" w:name="_Toc458783081"/>
      <w:bookmarkStart w:id="104" w:name="_Toc459285151"/>
      <w:r w:rsidRPr="00105FFC">
        <w:rPr>
          <w:rFonts w:asciiTheme="minorHAnsi" w:hAnsiTheme="minorHAnsi"/>
          <w:color w:val="000000" w:themeColor="text1"/>
          <w:sz w:val="20"/>
          <w:szCs w:val="20"/>
        </w:rPr>
        <w:t xml:space="preserve">Table </w:t>
      </w:r>
      <w:r w:rsidRPr="00105FFC">
        <w:rPr>
          <w:rFonts w:asciiTheme="minorHAnsi" w:hAnsiTheme="minorHAnsi"/>
          <w:color w:val="000000" w:themeColor="text1"/>
          <w:sz w:val="20"/>
          <w:szCs w:val="20"/>
        </w:rPr>
        <w:fldChar w:fldCharType="begin"/>
      </w:r>
      <w:r w:rsidRPr="00105FFC">
        <w:rPr>
          <w:rFonts w:asciiTheme="minorHAnsi" w:hAnsiTheme="minorHAnsi"/>
          <w:color w:val="000000" w:themeColor="text1"/>
          <w:sz w:val="20"/>
          <w:szCs w:val="20"/>
        </w:rPr>
        <w:instrText xml:space="preserve"> SEQ Table \* ARABIC </w:instrText>
      </w:r>
      <w:r w:rsidRPr="00105FFC">
        <w:rPr>
          <w:rFonts w:asciiTheme="minorHAnsi" w:hAnsiTheme="minorHAnsi"/>
          <w:color w:val="000000" w:themeColor="text1"/>
          <w:sz w:val="20"/>
          <w:szCs w:val="20"/>
        </w:rPr>
        <w:fldChar w:fldCharType="separate"/>
      </w:r>
      <w:r w:rsidR="00B04F0F">
        <w:rPr>
          <w:rFonts w:asciiTheme="minorHAnsi" w:hAnsiTheme="minorHAnsi"/>
          <w:noProof/>
          <w:color w:val="000000" w:themeColor="text1"/>
          <w:sz w:val="20"/>
          <w:szCs w:val="20"/>
        </w:rPr>
        <w:t>6</w:t>
      </w:r>
      <w:r w:rsidRPr="00105FFC">
        <w:rPr>
          <w:rFonts w:asciiTheme="minorHAnsi" w:hAnsiTheme="minorHAnsi"/>
          <w:color w:val="000000" w:themeColor="text1"/>
          <w:sz w:val="20"/>
          <w:szCs w:val="20"/>
        </w:rPr>
        <w:fldChar w:fldCharType="end"/>
      </w:r>
      <w:r w:rsidRPr="00105FFC">
        <w:rPr>
          <w:rFonts w:asciiTheme="minorHAnsi" w:hAnsiTheme="minorHAnsi"/>
          <w:color w:val="000000" w:themeColor="text1"/>
          <w:sz w:val="20"/>
          <w:szCs w:val="20"/>
        </w:rPr>
        <w:t>:</w:t>
      </w:r>
      <w:r w:rsidRPr="00105FFC">
        <w:rPr>
          <w:rFonts w:asciiTheme="minorHAnsi" w:hAnsiTheme="minorHAnsi"/>
          <w:b w:val="0"/>
          <w:color w:val="000000" w:themeColor="text1"/>
          <w:sz w:val="20"/>
          <w:szCs w:val="20"/>
        </w:rPr>
        <w:t xml:space="preserve"> Top 10 Aid Codes in the FFS Full-</w:t>
      </w:r>
      <w:r w:rsidR="001B4E6F" w:rsidRPr="00105FFC">
        <w:rPr>
          <w:rFonts w:asciiTheme="minorHAnsi" w:hAnsiTheme="minorHAnsi"/>
          <w:b w:val="0"/>
          <w:color w:val="000000" w:themeColor="text1"/>
          <w:sz w:val="20"/>
          <w:szCs w:val="20"/>
        </w:rPr>
        <w:t>Scope Medi-Cal Only Group, 2015</w:t>
      </w:r>
      <w:bookmarkEnd w:id="103"/>
      <w:bookmarkEnd w:id="104"/>
    </w:p>
    <w:tbl>
      <w:tblPr>
        <w:tblW w:w="948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0"/>
        <w:gridCol w:w="4152"/>
        <w:gridCol w:w="3951"/>
      </w:tblGrid>
      <w:tr w:rsidR="001B4E6F" w:rsidRPr="00105FFC" w14:paraId="313B3E46" w14:textId="77777777" w:rsidTr="00F50294">
        <w:trPr>
          <w:trHeight w:val="300"/>
        </w:trPr>
        <w:tc>
          <w:tcPr>
            <w:tcW w:w="1380" w:type="dxa"/>
            <w:shd w:val="clear" w:color="auto" w:fill="DCE6F1"/>
            <w:noWrap/>
            <w:tcMar>
              <w:top w:w="0" w:type="dxa"/>
              <w:left w:w="108" w:type="dxa"/>
              <w:bottom w:w="0" w:type="dxa"/>
              <w:right w:w="108" w:type="dxa"/>
            </w:tcMar>
            <w:vAlign w:val="bottom"/>
            <w:hideMark/>
          </w:tcPr>
          <w:p w14:paraId="3CF706FE" w14:textId="77777777" w:rsidR="001B4E6F" w:rsidRPr="00105FFC" w:rsidRDefault="001B4E6F" w:rsidP="00F50294">
            <w:pPr>
              <w:jc w:val="center"/>
              <w:rPr>
                <w:rFonts w:asciiTheme="minorHAnsi" w:eastAsiaTheme="minorHAnsi" w:hAnsiTheme="minorHAnsi"/>
                <w:b/>
                <w:bCs/>
                <w:color w:val="000000"/>
                <w:sz w:val="22"/>
                <w:szCs w:val="22"/>
              </w:rPr>
            </w:pPr>
            <w:r w:rsidRPr="00105FFC">
              <w:rPr>
                <w:rFonts w:asciiTheme="minorHAnsi" w:hAnsiTheme="minorHAnsi"/>
                <w:b/>
                <w:bCs/>
                <w:color w:val="000000"/>
                <w:sz w:val="22"/>
                <w:szCs w:val="22"/>
              </w:rPr>
              <w:t>Aid Code</w:t>
            </w:r>
          </w:p>
        </w:tc>
        <w:tc>
          <w:tcPr>
            <w:tcW w:w="4152" w:type="dxa"/>
            <w:shd w:val="clear" w:color="auto" w:fill="DCE6F1"/>
          </w:tcPr>
          <w:p w14:paraId="6BD4261F" w14:textId="77777777" w:rsidR="001B4E6F" w:rsidRPr="00105FFC" w:rsidRDefault="001B4E6F" w:rsidP="00F50294">
            <w:pPr>
              <w:jc w:val="center"/>
              <w:rPr>
                <w:rFonts w:asciiTheme="minorHAnsi" w:eastAsiaTheme="minorHAnsi" w:hAnsiTheme="minorHAnsi"/>
                <w:b/>
                <w:bCs/>
                <w:color w:val="000000"/>
                <w:sz w:val="22"/>
                <w:szCs w:val="22"/>
              </w:rPr>
            </w:pPr>
          </w:p>
        </w:tc>
        <w:tc>
          <w:tcPr>
            <w:tcW w:w="3951" w:type="dxa"/>
            <w:shd w:val="clear" w:color="auto" w:fill="DCE6F1"/>
            <w:noWrap/>
            <w:tcMar>
              <w:top w:w="0" w:type="dxa"/>
              <w:left w:w="108" w:type="dxa"/>
              <w:bottom w:w="0" w:type="dxa"/>
              <w:right w:w="108" w:type="dxa"/>
            </w:tcMar>
            <w:vAlign w:val="bottom"/>
            <w:hideMark/>
          </w:tcPr>
          <w:p w14:paraId="44C76A06" w14:textId="77777777" w:rsidR="001B4E6F" w:rsidRPr="00105FFC" w:rsidRDefault="001B4E6F" w:rsidP="00F50294">
            <w:pPr>
              <w:jc w:val="center"/>
              <w:rPr>
                <w:rFonts w:asciiTheme="minorHAnsi" w:eastAsiaTheme="minorHAnsi" w:hAnsiTheme="minorHAnsi"/>
                <w:b/>
                <w:bCs/>
                <w:color w:val="000000"/>
                <w:sz w:val="22"/>
                <w:szCs w:val="22"/>
              </w:rPr>
            </w:pPr>
            <w:r w:rsidRPr="00105FFC">
              <w:rPr>
                <w:rFonts w:asciiTheme="minorHAnsi" w:hAnsiTheme="minorHAnsi"/>
                <w:b/>
                <w:bCs/>
                <w:color w:val="000000"/>
                <w:sz w:val="22"/>
                <w:szCs w:val="22"/>
              </w:rPr>
              <w:t># of Beneficiaries</w:t>
            </w:r>
          </w:p>
        </w:tc>
      </w:tr>
      <w:tr w:rsidR="001B4E6F" w:rsidRPr="00105FFC" w14:paraId="7620AE4F" w14:textId="77777777" w:rsidTr="00F50294">
        <w:trPr>
          <w:trHeight w:val="300"/>
        </w:trPr>
        <w:tc>
          <w:tcPr>
            <w:tcW w:w="1380" w:type="dxa"/>
            <w:noWrap/>
            <w:tcMar>
              <w:top w:w="0" w:type="dxa"/>
              <w:left w:w="108" w:type="dxa"/>
              <w:bottom w:w="0" w:type="dxa"/>
              <w:right w:w="108" w:type="dxa"/>
            </w:tcMar>
            <w:vAlign w:val="bottom"/>
            <w:hideMark/>
          </w:tcPr>
          <w:p w14:paraId="48D0D1F4"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8W</w:t>
            </w:r>
          </w:p>
        </w:tc>
        <w:tc>
          <w:tcPr>
            <w:tcW w:w="4152" w:type="dxa"/>
            <w:hideMark/>
          </w:tcPr>
          <w:p w14:paraId="0E136545" w14:textId="77777777" w:rsidR="001B4E6F" w:rsidRPr="00105FFC" w:rsidRDefault="003830A8" w:rsidP="00F50294">
            <w:pPr>
              <w:jc w:val="center"/>
              <w:rPr>
                <w:rFonts w:asciiTheme="minorHAnsi" w:hAnsiTheme="minorHAnsi"/>
                <w:bCs/>
                <w:color w:val="000000"/>
                <w:sz w:val="22"/>
                <w:szCs w:val="22"/>
              </w:rPr>
            </w:pPr>
            <w:r w:rsidRPr="00105FFC">
              <w:rPr>
                <w:rFonts w:asciiTheme="minorHAnsi" w:hAnsiTheme="minorHAnsi"/>
                <w:bCs/>
                <w:color w:val="000000"/>
                <w:sz w:val="22"/>
                <w:szCs w:val="22"/>
              </w:rPr>
              <w:t>CHDP Gateway</w:t>
            </w:r>
            <w:r w:rsidR="00991D6A" w:rsidRPr="00105FFC">
              <w:rPr>
                <w:rFonts w:asciiTheme="minorHAnsi" w:hAnsiTheme="minorHAnsi"/>
                <w:bCs/>
                <w:color w:val="000000"/>
                <w:sz w:val="22"/>
                <w:szCs w:val="22"/>
              </w:rPr>
              <w:footnoteReference w:id="7"/>
            </w:r>
          </w:p>
        </w:tc>
        <w:tc>
          <w:tcPr>
            <w:tcW w:w="3951" w:type="dxa"/>
            <w:noWrap/>
            <w:tcMar>
              <w:top w:w="0" w:type="dxa"/>
              <w:left w:w="108" w:type="dxa"/>
              <w:bottom w:w="0" w:type="dxa"/>
              <w:right w:w="108" w:type="dxa"/>
            </w:tcMar>
            <w:vAlign w:val="bottom"/>
            <w:hideMark/>
          </w:tcPr>
          <w:p w14:paraId="18FB2755"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180,129</w:t>
            </w:r>
          </w:p>
        </w:tc>
      </w:tr>
      <w:tr w:rsidR="001B4E6F" w:rsidRPr="00105FFC" w14:paraId="6ED90BC8" w14:textId="77777777" w:rsidTr="00F50294">
        <w:trPr>
          <w:trHeight w:val="300"/>
        </w:trPr>
        <w:tc>
          <w:tcPr>
            <w:tcW w:w="1380" w:type="dxa"/>
            <w:noWrap/>
            <w:tcMar>
              <w:top w:w="0" w:type="dxa"/>
              <w:left w:w="108" w:type="dxa"/>
              <w:bottom w:w="0" w:type="dxa"/>
              <w:right w:w="108" w:type="dxa"/>
            </w:tcMar>
            <w:vAlign w:val="bottom"/>
            <w:hideMark/>
          </w:tcPr>
          <w:p w14:paraId="5ECC0302"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8E</w:t>
            </w:r>
          </w:p>
        </w:tc>
        <w:tc>
          <w:tcPr>
            <w:tcW w:w="4152" w:type="dxa"/>
            <w:hideMark/>
          </w:tcPr>
          <w:p w14:paraId="539C5CBC" w14:textId="77777777" w:rsidR="001B4E6F" w:rsidRPr="00105FFC" w:rsidRDefault="003830A8" w:rsidP="003830A8">
            <w:pPr>
              <w:jc w:val="center"/>
              <w:rPr>
                <w:rFonts w:asciiTheme="minorHAnsi" w:hAnsiTheme="minorHAnsi"/>
                <w:bCs/>
                <w:color w:val="000000"/>
                <w:sz w:val="22"/>
                <w:szCs w:val="22"/>
              </w:rPr>
            </w:pPr>
            <w:r w:rsidRPr="00105FFC">
              <w:rPr>
                <w:rFonts w:asciiTheme="minorHAnsi" w:hAnsiTheme="minorHAnsi"/>
                <w:bCs/>
                <w:color w:val="000000"/>
                <w:sz w:val="22"/>
                <w:szCs w:val="22"/>
              </w:rPr>
              <w:t>Accelerated Enrollment.  Provides immediate, temporary</w:t>
            </w:r>
            <w:r w:rsidR="00991D6A" w:rsidRPr="00105FFC">
              <w:rPr>
                <w:rFonts w:asciiTheme="minorHAnsi" w:hAnsiTheme="minorHAnsi"/>
                <w:bCs/>
                <w:color w:val="000000"/>
                <w:sz w:val="22"/>
                <w:szCs w:val="22"/>
              </w:rPr>
              <w:footnoteReference w:id="8"/>
            </w:r>
            <w:r w:rsidRPr="00105FFC">
              <w:rPr>
                <w:rFonts w:asciiTheme="minorHAnsi" w:hAnsiTheme="minorHAnsi"/>
                <w:bCs/>
                <w:color w:val="000000"/>
                <w:sz w:val="22"/>
                <w:szCs w:val="22"/>
              </w:rPr>
              <w:t xml:space="preserve">, </w:t>
            </w:r>
          </w:p>
        </w:tc>
        <w:tc>
          <w:tcPr>
            <w:tcW w:w="3951" w:type="dxa"/>
            <w:noWrap/>
            <w:tcMar>
              <w:top w:w="0" w:type="dxa"/>
              <w:left w:w="108" w:type="dxa"/>
              <w:bottom w:w="0" w:type="dxa"/>
              <w:right w:w="108" w:type="dxa"/>
            </w:tcMar>
            <w:vAlign w:val="bottom"/>
            <w:hideMark/>
          </w:tcPr>
          <w:p w14:paraId="4B90033D"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136,269</w:t>
            </w:r>
          </w:p>
        </w:tc>
      </w:tr>
      <w:tr w:rsidR="001B4E6F" w:rsidRPr="00105FFC" w14:paraId="56006333" w14:textId="77777777" w:rsidTr="00F50294">
        <w:trPr>
          <w:trHeight w:val="300"/>
        </w:trPr>
        <w:tc>
          <w:tcPr>
            <w:tcW w:w="1380" w:type="dxa"/>
            <w:noWrap/>
            <w:tcMar>
              <w:top w:w="0" w:type="dxa"/>
              <w:left w:w="108" w:type="dxa"/>
              <w:bottom w:w="0" w:type="dxa"/>
              <w:right w:w="108" w:type="dxa"/>
            </w:tcMar>
            <w:vAlign w:val="bottom"/>
            <w:hideMark/>
          </w:tcPr>
          <w:p w14:paraId="17A5E295"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P3</w:t>
            </w:r>
          </w:p>
        </w:tc>
        <w:tc>
          <w:tcPr>
            <w:tcW w:w="4152" w:type="dxa"/>
            <w:hideMark/>
          </w:tcPr>
          <w:p w14:paraId="51F22965" w14:textId="77777777" w:rsidR="001B4E6F" w:rsidRPr="00105FFC" w:rsidRDefault="001B4E6F" w:rsidP="00F50294">
            <w:pPr>
              <w:jc w:val="center"/>
              <w:rPr>
                <w:rFonts w:asciiTheme="minorHAnsi" w:hAnsiTheme="minorHAnsi"/>
                <w:bCs/>
                <w:color w:val="000000"/>
                <w:sz w:val="22"/>
                <w:szCs w:val="22"/>
              </w:rPr>
            </w:pPr>
            <w:r w:rsidRPr="00105FFC">
              <w:rPr>
                <w:rFonts w:asciiTheme="minorHAnsi" w:hAnsiTheme="minorHAnsi"/>
                <w:bCs/>
                <w:color w:val="000000"/>
                <w:sz w:val="22"/>
                <w:szCs w:val="22"/>
              </w:rPr>
              <w:t>Presumptive Eligibility - Adults</w:t>
            </w:r>
          </w:p>
        </w:tc>
        <w:tc>
          <w:tcPr>
            <w:tcW w:w="3951" w:type="dxa"/>
            <w:noWrap/>
            <w:tcMar>
              <w:top w:w="0" w:type="dxa"/>
              <w:left w:w="108" w:type="dxa"/>
              <w:bottom w:w="0" w:type="dxa"/>
              <w:right w:w="108" w:type="dxa"/>
            </w:tcMar>
            <w:vAlign w:val="bottom"/>
            <w:hideMark/>
          </w:tcPr>
          <w:p w14:paraId="522AFB88"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94,238</w:t>
            </w:r>
          </w:p>
        </w:tc>
      </w:tr>
      <w:tr w:rsidR="001B4E6F" w:rsidRPr="00105FFC" w14:paraId="6A0A041F" w14:textId="77777777" w:rsidTr="00F50294">
        <w:trPr>
          <w:trHeight w:val="300"/>
        </w:trPr>
        <w:tc>
          <w:tcPr>
            <w:tcW w:w="1380" w:type="dxa"/>
            <w:noWrap/>
            <w:tcMar>
              <w:top w:w="0" w:type="dxa"/>
              <w:left w:w="108" w:type="dxa"/>
              <w:bottom w:w="0" w:type="dxa"/>
              <w:right w:w="108" w:type="dxa"/>
            </w:tcMar>
            <w:vAlign w:val="bottom"/>
            <w:hideMark/>
          </w:tcPr>
          <w:p w14:paraId="67EA90B7"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8U</w:t>
            </w:r>
          </w:p>
        </w:tc>
        <w:tc>
          <w:tcPr>
            <w:tcW w:w="4152" w:type="dxa"/>
            <w:hideMark/>
          </w:tcPr>
          <w:p w14:paraId="2CBE999E" w14:textId="77777777" w:rsidR="001B4E6F" w:rsidRPr="00105FFC" w:rsidRDefault="000B5D4F" w:rsidP="00F50294">
            <w:pPr>
              <w:jc w:val="center"/>
              <w:rPr>
                <w:rFonts w:asciiTheme="minorHAnsi" w:hAnsiTheme="minorHAnsi"/>
                <w:bCs/>
                <w:color w:val="000000"/>
                <w:sz w:val="22"/>
                <w:szCs w:val="22"/>
              </w:rPr>
            </w:pPr>
            <w:r w:rsidRPr="00105FFC">
              <w:rPr>
                <w:rFonts w:asciiTheme="minorHAnsi" w:hAnsiTheme="minorHAnsi"/>
                <w:bCs/>
                <w:color w:val="000000"/>
                <w:sz w:val="22"/>
                <w:szCs w:val="22"/>
              </w:rPr>
              <w:t>Child Health and Disability Prevention (CHDP) Gateway Deemed</w:t>
            </w:r>
            <w:r w:rsidR="00991D6A" w:rsidRPr="00105FFC">
              <w:rPr>
                <w:rFonts w:asciiTheme="minorHAnsi" w:hAnsiTheme="minorHAnsi"/>
                <w:bCs/>
                <w:color w:val="000000"/>
                <w:sz w:val="22"/>
                <w:szCs w:val="22"/>
              </w:rPr>
              <w:footnoteReference w:id="9"/>
            </w:r>
            <w:r w:rsidRPr="00105FFC">
              <w:rPr>
                <w:rFonts w:asciiTheme="minorHAnsi" w:hAnsiTheme="minorHAnsi"/>
                <w:bCs/>
                <w:color w:val="000000"/>
                <w:sz w:val="22"/>
                <w:szCs w:val="22"/>
              </w:rPr>
              <w:t xml:space="preserve"> Infant.  </w:t>
            </w:r>
          </w:p>
        </w:tc>
        <w:tc>
          <w:tcPr>
            <w:tcW w:w="3951" w:type="dxa"/>
            <w:noWrap/>
            <w:tcMar>
              <w:top w:w="0" w:type="dxa"/>
              <w:left w:w="108" w:type="dxa"/>
              <w:bottom w:w="0" w:type="dxa"/>
              <w:right w:w="108" w:type="dxa"/>
            </w:tcMar>
            <w:vAlign w:val="bottom"/>
            <w:hideMark/>
          </w:tcPr>
          <w:p w14:paraId="61BB5072"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51,498</w:t>
            </w:r>
          </w:p>
        </w:tc>
      </w:tr>
      <w:tr w:rsidR="001B4E6F" w:rsidRPr="00105FFC" w14:paraId="4135FD19" w14:textId="77777777" w:rsidTr="00F50294">
        <w:trPr>
          <w:trHeight w:val="300"/>
        </w:trPr>
        <w:tc>
          <w:tcPr>
            <w:tcW w:w="1380" w:type="dxa"/>
            <w:noWrap/>
            <w:tcMar>
              <w:top w:w="0" w:type="dxa"/>
              <w:left w:w="108" w:type="dxa"/>
              <w:bottom w:w="0" w:type="dxa"/>
              <w:right w:w="108" w:type="dxa"/>
            </w:tcMar>
            <w:vAlign w:val="bottom"/>
            <w:hideMark/>
          </w:tcPr>
          <w:p w14:paraId="1D4D09E2"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03</w:t>
            </w:r>
          </w:p>
        </w:tc>
        <w:tc>
          <w:tcPr>
            <w:tcW w:w="4152" w:type="dxa"/>
            <w:hideMark/>
          </w:tcPr>
          <w:p w14:paraId="2F80D6CE" w14:textId="77777777" w:rsidR="001B4E6F" w:rsidRPr="00105FFC" w:rsidRDefault="00991D6A" w:rsidP="00F50294">
            <w:pPr>
              <w:jc w:val="center"/>
              <w:rPr>
                <w:rFonts w:asciiTheme="minorHAnsi" w:hAnsiTheme="minorHAnsi"/>
                <w:bCs/>
                <w:color w:val="000000"/>
                <w:sz w:val="22"/>
                <w:szCs w:val="22"/>
              </w:rPr>
            </w:pPr>
            <w:r w:rsidRPr="00105FFC">
              <w:rPr>
                <w:rFonts w:asciiTheme="minorHAnsi" w:hAnsiTheme="minorHAnsi"/>
                <w:bCs/>
                <w:color w:val="000000"/>
                <w:sz w:val="22"/>
                <w:szCs w:val="22"/>
              </w:rPr>
              <w:t>Adoption Assistance Program (AAP)</w:t>
            </w:r>
            <w:r w:rsidRPr="00105FFC">
              <w:rPr>
                <w:rFonts w:asciiTheme="minorHAnsi" w:hAnsiTheme="minorHAnsi"/>
                <w:bCs/>
                <w:color w:val="000000"/>
                <w:sz w:val="22"/>
                <w:szCs w:val="22"/>
              </w:rPr>
              <w:footnoteReference w:id="10"/>
            </w:r>
          </w:p>
        </w:tc>
        <w:tc>
          <w:tcPr>
            <w:tcW w:w="3951" w:type="dxa"/>
            <w:noWrap/>
            <w:tcMar>
              <w:top w:w="0" w:type="dxa"/>
              <w:left w:w="108" w:type="dxa"/>
              <w:bottom w:w="0" w:type="dxa"/>
              <w:right w:w="108" w:type="dxa"/>
            </w:tcMar>
            <w:vAlign w:val="bottom"/>
            <w:hideMark/>
          </w:tcPr>
          <w:p w14:paraId="07A788C1"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51,481</w:t>
            </w:r>
          </w:p>
        </w:tc>
      </w:tr>
      <w:tr w:rsidR="001B4E6F" w:rsidRPr="00105FFC" w14:paraId="51A948E5" w14:textId="77777777" w:rsidTr="00F50294">
        <w:trPr>
          <w:trHeight w:val="300"/>
        </w:trPr>
        <w:tc>
          <w:tcPr>
            <w:tcW w:w="1380" w:type="dxa"/>
            <w:noWrap/>
            <w:tcMar>
              <w:top w:w="0" w:type="dxa"/>
              <w:left w:w="108" w:type="dxa"/>
              <w:bottom w:w="0" w:type="dxa"/>
              <w:right w:w="108" w:type="dxa"/>
            </w:tcMar>
            <w:vAlign w:val="bottom"/>
            <w:hideMark/>
          </w:tcPr>
          <w:p w14:paraId="4F3B8FA2"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42</w:t>
            </w:r>
          </w:p>
        </w:tc>
        <w:tc>
          <w:tcPr>
            <w:tcW w:w="4152" w:type="dxa"/>
            <w:hideMark/>
          </w:tcPr>
          <w:p w14:paraId="3B0214BD" w14:textId="77777777" w:rsidR="001B4E6F" w:rsidRPr="00105FFC" w:rsidRDefault="00991D6A" w:rsidP="00F50294">
            <w:pPr>
              <w:jc w:val="center"/>
              <w:rPr>
                <w:rFonts w:asciiTheme="minorHAnsi" w:hAnsiTheme="minorHAnsi"/>
                <w:bCs/>
                <w:color w:val="000000"/>
                <w:sz w:val="22"/>
                <w:szCs w:val="22"/>
              </w:rPr>
            </w:pPr>
            <w:r w:rsidRPr="00105FFC">
              <w:rPr>
                <w:rFonts w:asciiTheme="minorHAnsi" w:hAnsiTheme="minorHAnsi"/>
                <w:bCs/>
                <w:color w:val="000000"/>
                <w:sz w:val="22"/>
                <w:szCs w:val="22"/>
              </w:rPr>
              <w:t>AFDC-Foster Care</w:t>
            </w:r>
            <w:r w:rsidRPr="00105FFC">
              <w:rPr>
                <w:rFonts w:asciiTheme="minorHAnsi" w:hAnsiTheme="minorHAnsi"/>
                <w:bCs/>
                <w:color w:val="000000"/>
                <w:sz w:val="22"/>
                <w:szCs w:val="22"/>
              </w:rPr>
              <w:footnoteReference w:id="11"/>
            </w:r>
          </w:p>
        </w:tc>
        <w:tc>
          <w:tcPr>
            <w:tcW w:w="3951" w:type="dxa"/>
            <w:noWrap/>
            <w:tcMar>
              <w:top w:w="0" w:type="dxa"/>
              <w:left w:w="108" w:type="dxa"/>
              <w:bottom w:w="0" w:type="dxa"/>
              <w:right w:w="108" w:type="dxa"/>
            </w:tcMar>
            <w:vAlign w:val="bottom"/>
            <w:hideMark/>
          </w:tcPr>
          <w:p w14:paraId="60E87A50"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22,860</w:t>
            </w:r>
          </w:p>
        </w:tc>
      </w:tr>
      <w:tr w:rsidR="001B4E6F" w:rsidRPr="00105FFC" w14:paraId="67940FE9" w14:textId="77777777" w:rsidTr="00F50294">
        <w:trPr>
          <w:trHeight w:val="300"/>
        </w:trPr>
        <w:tc>
          <w:tcPr>
            <w:tcW w:w="1380" w:type="dxa"/>
            <w:noWrap/>
            <w:tcMar>
              <w:top w:w="0" w:type="dxa"/>
              <w:left w:w="108" w:type="dxa"/>
              <w:bottom w:w="0" w:type="dxa"/>
              <w:right w:w="108" w:type="dxa"/>
            </w:tcMar>
            <w:vAlign w:val="bottom"/>
            <w:hideMark/>
          </w:tcPr>
          <w:p w14:paraId="665E605E"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8X</w:t>
            </w:r>
          </w:p>
        </w:tc>
        <w:tc>
          <w:tcPr>
            <w:tcW w:w="4152" w:type="dxa"/>
            <w:hideMark/>
          </w:tcPr>
          <w:p w14:paraId="4DA3D48F" w14:textId="77777777" w:rsidR="001B4E6F" w:rsidRPr="00105FFC" w:rsidRDefault="007D39B1" w:rsidP="007D39B1">
            <w:pPr>
              <w:jc w:val="center"/>
              <w:rPr>
                <w:rFonts w:asciiTheme="minorHAnsi" w:hAnsiTheme="minorHAnsi"/>
                <w:bCs/>
                <w:color w:val="000000"/>
                <w:sz w:val="22"/>
                <w:szCs w:val="22"/>
              </w:rPr>
            </w:pPr>
            <w:r w:rsidRPr="00105FFC">
              <w:rPr>
                <w:rFonts w:asciiTheme="minorHAnsi" w:hAnsiTheme="minorHAnsi"/>
                <w:bCs/>
                <w:color w:val="000000"/>
                <w:sz w:val="22"/>
                <w:szCs w:val="22"/>
              </w:rPr>
              <w:t xml:space="preserve">CHDP Gateway Title XXI Medi-Cal PE, Targeted Low-Income FPL for Children </w:t>
            </w:r>
            <w:r w:rsidRPr="00105FFC">
              <w:rPr>
                <w:rFonts w:asciiTheme="minorHAnsi" w:hAnsiTheme="minorHAnsi"/>
                <w:bCs/>
                <w:color w:val="000000"/>
                <w:sz w:val="22"/>
                <w:szCs w:val="22"/>
              </w:rPr>
              <w:lastRenderedPageBreak/>
              <w:t xml:space="preserve">(Medicaid-Children’s Health Insurance Program Title XXI). </w:t>
            </w:r>
            <w:r w:rsidR="00991D6A" w:rsidRPr="00105FFC">
              <w:rPr>
                <w:rFonts w:asciiTheme="minorHAnsi" w:hAnsiTheme="minorHAnsi"/>
                <w:bCs/>
                <w:color w:val="000000"/>
                <w:sz w:val="22"/>
                <w:szCs w:val="22"/>
              </w:rPr>
              <w:footnoteReference w:id="12"/>
            </w:r>
            <w:r w:rsidRPr="00105FFC">
              <w:rPr>
                <w:rFonts w:asciiTheme="minorHAnsi" w:hAnsiTheme="minorHAnsi"/>
                <w:bCs/>
                <w:color w:val="000000"/>
                <w:sz w:val="22"/>
                <w:szCs w:val="22"/>
              </w:rPr>
              <w:t xml:space="preserve"> </w:t>
            </w:r>
            <w:r w:rsidR="001B4E6F" w:rsidRPr="00105FFC">
              <w:rPr>
                <w:rFonts w:asciiTheme="minorHAnsi" w:hAnsiTheme="minorHAnsi"/>
                <w:bCs/>
                <w:color w:val="000000"/>
                <w:sz w:val="22"/>
                <w:szCs w:val="22"/>
              </w:rPr>
              <w:t>Program</w:t>
            </w:r>
          </w:p>
        </w:tc>
        <w:tc>
          <w:tcPr>
            <w:tcW w:w="3951" w:type="dxa"/>
            <w:noWrap/>
            <w:tcMar>
              <w:top w:w="0" w:type="dxa"/>
              <w:left w:w="108" w:type="dxa"/>
              <w:bottom w:w="0" w:type="dxa"/>
              <w:right w:w="108" w:type="dxa"/>
            </w:tcMar>
            <w:vAlign w:val="bottom"/>
            <w:hideMark/>
          </w:tcPr>
          <w:p w14:paraId="218ADEDA"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lastRenderedPageBreak/>
              <w:t>14,390</w:t>
            </w:r>
          </w:p>
        </w:tc>
      </w:tr>
      <w:tr w:rsidR="001B4E6F" w:rsidRPr="00105FFC" w14:paraId="39A5CC35" w14:textId="77777777" w:rsidTr="00F50294">
        <w:trPr>
          <w:trHeight w:val="300"/>
        </w:trPr>
        <w:tc>
          <w:tcPr>
            <w:tcW w:w="1380" w:type="dxa"/>
            <w:noWrap/>
            <w:tcMar>
              <w:top w:w="0" w:type="dxa"/>
              <w:left w:w="108" w:type="dxa"/>
              <w:bottom w:w="0" w:type="dxa"/>
              <w:right w:w="108" w:type="dxa"/>
            </w:tcMar>
            <w:vAlign w:val="bottom"/>
            <w:hideMark/>
          </w:tcPr>
          <w:p w14:paraId="363338C2"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P2</w:t>
            </w:r>
          </w:p>
        </w:tc>
        <w:tc>
          <w:tcPr>
            <w:tcW w:w="4152" w:type="dxa"/>
            <w:hideMark/>
          </w:tcPr>
          <w:p w14:paraId="66153F85" w14:textId="77777777" w:rsidR="001B4E6F" w:rsidRPr="00105FFC" w:rsidRDefault="001B4E6F" w:rsidP="00F50294">
            <w:pPr>
              <w:jc w:val="center"/>
              <w:rPr>
                <w:rFonts w:asciiTheme="minorHAnsi" w:hAnsiTheme="minorHAnsi"/>
                <w:bCs/>
                <w:color w:val="000000"/>
                <w:sz w:val="22"/>
                <w:szCs w:val="22"/>
              </w:rPr>
            </w:pPr>
            <w:r w:rsidRPr="00105FFC">
              <w:rPr>
                <w:rFonts w:asciiTheme="minorHAnsi" w:hAnsiTheme="minorHAnsi"/>
                <w:bCs/>
                <w:color w:val="000000"/>
                <w:sz w:val="22"/>
                <w:szCs w:val="22"/>
              </w:rPr>
              <w:t>Presumptive Eligibility – Parent/Caretaker Relative</w:t>
            </w:r>
            <w:r w:rsidR="00991D6A" w:rsidRPr="00105FFC">
              <w:rPr>
                <w:rFonts w:asciiTheme="minorHAnsi" w:hAnsiTheme="minorHAnsi"/>
                <w:bCs/>
                <w:color w:val="000000"/>
                <w:sz w:val="22"/>
                <w:szCs w:val="22"/>
              </w:rPr>
              <w:footnoteReference w:id="13"/>
            </w:r>
          </w:p>
        </w:tc>
        <w:tc>
          <w:tcPr>
            <w:tcW w:w="3951" w:type="dxa"/>
            <w:noWrap/>
            <w:tcMar>
              <w:top w:w="0" w:type="dxa"/>
              <w:left w:w="108" w:type="dxa"/>
              <w:bottom w:w="0" w:type="dxa"/>
              <w:right w:w="108" w:type="dxa"/>
            </w:tcMar>
            <w:vAlign w:val="bottom"/>
            <w:hideMark/>
          </w:tcPr>
          <w:p w14:paraId="2BCB8478"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11,303</w:t>
            </w:r>
          </w:p>
        </w:tc>
      </w:tr>
      <w:tr w:rsidR="001B4E6F" w:rsidRPr="00105FFC" w14:paraId="0AFEA04F" w14:textId="77777777" w:rsidTr="00F50294">
        <w:trPr>
          <w:trHeight w:val="300"/>
        </w:trPr>
        <w:tc>
          <w:tcPr>
            <w:tcW w:w="1380" w:type="dxa"/>
            <w:noWrap/>
            <w:tcMar>
              <w:top w:w="0" w:type="dxa"/>
              <w:left w:w="108" w:type="dxa"/>
              <w:bottom w:w="0" w:type="dxa"/>
              <w:right w:w="108" w:type="dxa"/>
            </w:tcMar>
            <w:vAlign w:val="bottom"/>
            <w:hideMark/>
          </w:tcPr>
          <w:p w14:paraId="2897D436"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40</w:t>
            </w:r>
          </w:p>
        </w:tc>
        <w:tc>
          <w:tcPr>
            <w:tcW w:w="4152" w:type="dxa"/>
            <w:hideMark/>
          </w:tcPr>
          <w:p w14:paraId="63B4F5FB" w14:textId="77777777" w:rsidR="001B4E6F" w:rsidRPr="00105FFC" w:rsidRDefault="00991D6A" w:rsidP="00F50294">
            <w:pPr>
              <w:jc w:val="center"/>
              <w:rPr>
                <w:rFonts w:asciiTheme="minorHAnsi" w:hAnsiTheme="minorHAnsi"/>
                <w:bCs/>
                <w:color w:val="000000"/>
                <w:sz w:val="22"/>
                <w:szCs w:val="22"/>
              </w:rPr>
            </w:pPr>
            <w:r w:rsidRPr="00105FFC">
              <w:rPr>
                <w:rFonts w:asciiTheme="minorHAnsi" w:hAnsiTheme="minorHAnsi"/>
                <w:bCs/>
                <w:color w:val="000000"/>
                <w:sz w:val="22"/>
                <w:szCs w:val="22"/>
              </w:rPr>
              <w:t>AFDC-Foster Care</w:t>
            </w:r>
            <w:r w:rsidRPr="00105FFC">
              <w:rPr>
                <w:rFonts w:asciiTheme="minorHAnsi" w:hAnsiTheme="minorHAnsi"/>
                <w:bCs/>
                <w:color w:val="000000"/>
                <w:sz w:val="22"/>
                <w:szCs w:val="22"/>
              </w:rPr>
              <w:footnoteReference w:id="14"/>
            </w:r>
          </w:p>
        </w:tc>
        <w:tc>
          <w:tcPr>
            <w:tcW w:w="3951" w:type="dxa"/>
            <w:noWrap/>
            <w:tcMar>
              <w:top w:w="0" w:type="dxa"/>
              <w:left w:w="108" w:type="dxa"/>
              <w:bottom w:w="0" w:type="dxa"/>
              <w:right w:w="108" w:type="dxa"/>
            </w:tcMar>
            <w:vAlign w:val="bottom"/>
            <w:hideMark/>
          </w:tcPr>
          <w:p w14:paraId="27588BF9"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11,195</w:t>
            </w:r>
          </w:p>
        </w:tc>
      </w:tr>
      <w:tr w:rsidR="001B4E6F" w:rsidRPr="00105FFC" w14:paraId="64752577" w14:textId="77777777" w:rsidTr="00F50294">
        <w:trPr>
          <w:trHeight w:val="300"/>
        </w:trPr>
        <w:tc>
          <w:tcPr>
            <w:tcW w:w="1380" w:type="dxa"/>
            <w:noWrap/>
            <w:tcMar>
              <w:top w:w="0" w:type="dxa"/>
              <w:left w:w="108" w:type="dxa"/>
              <w:bottom w:w="0" w:type="dxa"/>
              <w:right w:w="108" w:type="dxa"/>
            </w:tcMar>
            <w:vAlign w:val="bottom"/>
            <w:hideMark/>
          </w:tcPr>
          <w:p w14:paraId="6558A9CC"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04</w:t>
            </w:r>
          </w:p>
        </w:tc>
        <w:tc>
          <w:tcPr>
            <w:tcW w:w="4152" w:type="dxa"/>
            <w:hideMark/>
          </w:tcPr>
          <w:p w14:paraId="1576F2AB" w14:textId="77777777" w:rsidR="001B4E6F" w:rsidRPr="00105FFC" w:rsidRDefault="00991D6A" w:rsidP="00F50294">
            <w:pPr>
              <w:jc w:val="center"/>
              <w:rPr>
                <w:rFonts w:asciiTheme="minorHAnsi" w:hAnsiTheme="minorHAnsi"/>
                <w:bCs/>
                <w:color w:val="000000"/>
                <w:sz w:val="22"/>
                <w:szCs w:val="22"/>
              </w:rPr>
            </w:pPr>
            <w:r w:rsidRPr="00105FFC">
              <w:rPr>
                <w:rFonts w:asciiTheme="minorHAnsi" w:hAnsiTheme="minorHAnsi"/>
                <w:bCs/>
                <w:color w:val="000000"/>
                <w:sz w:val="22"/>
                <w:szCs w:val="22"/>
              </w:rPr>
              <w:t>AAP/Aid for Adoption of Children (AAC)</w:t>
            </w:r>
          </w:p>
        </w:tc>
        <w:tc>
          <w:tcPr>
            <w:tcW w:w="3951" w:type="dxa"/>
            <w:noWrap/>
            <w:tcMar>
              <w:top w:w="0" w:type="dxa"/>
              <w:left w:w="108" w:type="dxa"/>
              <w:bottom w:w="0" w:type="dxa"/>
              <w:right w:w="108" w:type="dxa"/>
            </w:tcMar>
            <w:vAlign w:val="bottom"/>
            <w:hideMark/>
          </w:tcPr>
          <w:p w14:paraId="0F4851C1" w14:textId="77777777" w:rsidR="001B4E6F" w:rsidRPr="00105FFC" w:rsidRDefault="001B4E6F" w:rsidP="00F50294">
            <w:pPr>
              <w:jc w:val="center"/>
              <w:rPr>
                <w:rFonts w:asciiTheme="minorHAnsi" w:eastAsiaTheme="minorHAnsi" w:hAnsiTheme="minorHAnsi"/>
                <w:color w:val="000000"/>
                <w:sz w:val="22"/>
                <w:szCs w:val="22"/>
              </w:rPr>
            </w:pPr>
            <w:r w:rsidRPr="00105FFC">
              <w:rPr>
                <w:rFonts w:asciiTheme="minorHAnsi" w:hAnsiTheme="minorHAnsi"/>
                <w:color w:val="000000"/>
                <w:sz w:val="22"/>
                <w:szCs w:val="22"/>
              </w:rPr>
              <w:t>10,896</w:t>
            </w:r>
          </w:p>
        </w:tc>
      </w:tr>
      <w:tr w:rsidR="001B4E6F" w:rsidRPr="00105FFC" w14:paraId="5AEE856D" w14:textId="77777777" w:rsidTr="007E5A24">
        <w:trPr>
          <w:trHeight w:val="300"/>
        </w:trPr>
        <w:tc>
          <w:tcPr>
            <w:tcW w:w="1380" w:type="dxa"/>
            <w:noWrap/>
            <w:tcMar>
              <w:top w:w="0" w:type="dxa"/>
              <w:left w:w="108" w:type="dxa"/>
              <w:bottom w:w="0" w:type="dxa"/>
              <w:right w:w="108" w:type="dxa"/>
            </w:tcMar>
            <w:vAlign w:val="center"/>
          </w:tcPr>
          <w:p w14:paraId="7D2B2396" w14:textId="77777777" w:rsidR="001B4E6F" w:rsidRPr="00105FFC" w:rsidRDefault="001B4E6F" w:rsidP="007E5A24">
            <w:pPr>
              <w:jc w:val="center"/>
              <w:rPr>
                <w:rFonts w:asciiTheme="minorHAnsi" w:hAnsiTheme="minorHAnsi"/>
                <w:i/>
                <w:color w:val="000000"/>
                <w:sz w:val="22"/>
                <w:szCs w:val="22"/>
              </w:rPr>
            </w:pPr>
            <w:r w:rsidRPr="00105FFC">
              <w:rPr>
                <w:rFonts w:asciiTheme="minorHAnsi" w:hAnsiTheme="minorHAnsi"/>
                <w:i/>
                <w:color w:val="000000"/>
                <w:sz w:val="22"/>
                <w:szCs w:val="22"/>
              </w:rPr>
              <w:t>Multiple</w:t>
            </w:r>
          </w:p>
        </w:tc>
        <w:tc>
          <w:tcPr>
            <w:tcW w:w="4152" w:type="dxa"/>
            <w:vAlign w:val="center"/>
          </w:tcPr>
          <w:p w14:paraId="7B013E21" w14:textId="77777777" w:rsidR="001B4E6F" w:rsidRPr="00105FFC" w:rsidRDefault="001B4E6F" w:rsidP="007E5A24">
            <w:pPr>
              <w:jc w:val="center"/>
              <w:rPr>
                <w:rFonts w:asciiTheme="minorHAnsi" w:hAnsiTheme="minorHAnsi"/>
                <w:i/>
                <w:color w:val="000000"/>
                <w:sz w:val="22"/>
                <w:szCs w:val="22"/>
              </w:rPr>
            </w:pPr>
            <w:r w:rsidRPr="00105FFC">
              <w:rPr>
                <w:rFonts w:asciiTheme="minorHAnsi" w:hAnsiTheme="minorHAnsi"/>
                <w:i/>
                <w:color w:val="000000"/>
                <w:sz w:val="22"/>
                <w:szCs w:val="22"/>
              </w:rPr>
              <w:t>115 other aid codes</w:t>
            </w:r>
          </w:p>
        </w:tc>
        <w:tc>
          <w:tcPr>
            <w:tcW w:w="3951" w:type="dxa"/>
            <w:noWrap/>
            <w:tcMar>
              <w:top w:w="0" w:type="dxa"/>
              <w:left w:w="108" w:type="dxa"/>
              <w:bottom w:w="0" w:type="dxa"/>
              <w:right w:w="108" w:type="dxa"/>
            </w:tcMar>
            <w:vAlign w:val="center"/>
          </w:tcPr>
          <w:p w14:paraId="79B975F1" w14:textId="77777777" w:rsidR="001B4E6F" w:rsidRPr="00105FFC" w:rsidRDefault="007E5A24" w:rsidP="007E5A24">
            <w:pPr>
              <w:jc w:val="center"/>
              <w:rPr>
                <w:rFonts w:asciiTheme="minorHAnsi" w:hAnsiTheme="minorHAnsi"/>
                <w:i/>
                <w:color w:val="000000"/>
                <w:sz w:val="22"/>
                <w:szCs w:val="22"/>
              </w:rPr>
            </w:pPr>
            <w:r w:rsidRPr="00105FFC">
              <w:rPr>
                <w:rFonts w:asciiTheme="minorHAnsi" w:hAnsiTheme="minorHAnsi"/>
                <w:i/>
                <w:color w:val="000000"/>
                <w:sz w:val="22"/>
                <w:szCs w:val="22"/>
              </w:rPr>
              <w:t>Individual aid codes each include fewer than 10,000 beneficiaries</w:t>
            </w:r>
          </w:p>
        </w:tc>
      </w:tr>
      <w:tr w:rsidR="001B4E6F" w:rsidRPr="00105FFC" w14:paraId="729386BE" w14:textId="77777777" w:rsidTr="00F50294">
        <w:trPr>
          <w:trHeight w:val="300"/>
        </w:trPr>
        <w:tc>
          <w:tcPr>
            <w:tcW w:w="1380" w:type="dxa"/>
            <w:shd w:val="clear" w:color="auto" w:fill="DCE6F1"/>
            <w:noWrap/>
            <w:tcMar>
              <w:top w:w="0" w:type="dxa"/>
              <w:left w:w="108" w:type="dxa"/>
              <w:bottom w:w="0" w:type="dxa"/>
              <w:right w:w="108" w:type="dxa"/>
            </w:tcMar>
            <w:vAlign w:val="bottom"/>
            <w:hideMark/>
          </w:tcPr>
          <w:p w14:paraId="0B818F93" w14:textId="77777777" w:rsidR="001B4E6F" w:rsidRPr="00105FFC" w:rsidRDefault="001B4E6F" w:rsidP="00F50294">
            <w:pPr>
              <w:jc w:val="center"/>
              <w:rPr>
                <w:rFonts w:asciiTheme="minorHAnsi" w:eastAsiaTheme="minorHAnsi" w:hAnsiTheme="minorHAnsi"/>
                <w:b/>
                <w:bCs/>
                <w:color w:val="000000"/>
                <w:sz w:val="22"/>
                <w:szCs w:val="22"/>
              </w:rPr>
            </w:pPr>
            <w:r w:rsidRPr="00105FFC">
              <w:rPr>
                <w:rFonts w:asciiTheme="minorHAnsi" w:hAnsiTheme="minorHAnsi"/>
                <w:b/>
                <w:bCs/>
                <w:color w:val="000000"/>
                <w:sz w:val="22"/>
                <w:szCs w:val="22"/>
              </w:rPr>
              <w:t>Grand Total</w:t>
            </w:r>
          </w:p>
        </w:tc>
        <w:tc>
          <w:tcPr>
            <w:tcW w:w="4152" w:type="dxa"/>
            <w:shd w:val="clear" w:color="auto" w:fill="DCE6F1"/>
            <w:hideMark/>
          </w:tcPr>
          <w:p w14:paraId="046DC03D" w14:textId="77777777" w:rsidR="001B4E6F" w:rsidRPr="00105FFC" w:rsidRDefault="001B4E6F" w:rsidP="00F50294">
            <w:pPr>
              <w:jc w:val="center"/>
              <w:rPr>
                <w:rFonts w:asciiTheme="minorHAnsi" w:eastAsiaTheme="minorHAnsi" w:hAnsiTheme="minorHAnsi"/>
                <w:b/>
                <w:bCs/>
                <w:color w:val="000000"/>
                <w:sz w:val="22"/>
                <w:szCs w:val="22"/>
              </w:rPr>
            </w:pPr>
            <w:r w:rsidRPr="00105FFC">
              <w:rPr>
                <w:rFonts w:asciiTheme="minorHAnsi" w:hAnsiTheme="minorHAnsi"/>
                <w:b/>
                <w:bCs/>
                <w:color w:val="000000"/>
                <w:sz w:val="22"/>
                <w:szCs w:val="22"/>
              </w:rPr>
              <w:t>125 Aid Codes</w:t>
            </w:r>
          </w:p>
        </w:tc>
        <w:tc>
          <w:tcPr>
            <w:tcW w:w="3951" w:type="dxa"/>
            <w:shd w:val="clear" w:color="auto" w:fill="DCE6F1"/>
            <w:noWrap/>
            <w:tcMar>
              <w:top w:w="0" w:type="dxa"/>
              <w:left w:w="108" w:type="dxa"/>
              <w:bottom w:w="0" w:type="dxa"/>
              <w:right w:w="108" w:type="dxa"/>
            </w:tcMar>
            <w:vAlign w:val="bottom"/>
            <w:hideMark/>
          </w:tcPr>
          <w:p w14:paraId="0174A2BB" w14:textId="77777777" w:rsidR="001B4E6F" w:rsidRPr="00105FFC" w:rsidRDefault="001B4E6F" w:rsidP="00F50294">
            <w:pPr>
              <w:jc w:val="center"/>
              <w:rPr>
                <w:rFonts w:asciiTheme="minorHAnsi" w:eastAsiaTheme="minorHAnsi" w:hAnsiTheme="minorHAnsi"/>
                <w:b/>
                <w:bCs/>
                <w:color w:val="000000"/>
                <w:sz w:val="22"/>
                <w:szCs w:val="22"/>
              </w:rPr>
            </w:pPr>
            <w:r w:rsidRPr="00105FFC">
              <w:rPr>
                <w:rFonts w:asciiTheme="minorHAnsi" w:hAnsiTheme="minorHAnsi"/>
                <w:b/>
                <w:bCs/>
                <w:color w:val="000000"/>
                <w:sz w:val="22"/>
                <w:szCs w:val="22"/>
              </w:rPr>
              <w:t>669,825</w:t>
            </w:r>
          </w:p>
        </w:tc>
      </w:tr>
    </w:tbl>
    <w:p w14:paraId="20A52AAD" w14:textId="77777777" w:rsidR="00F50294" w:rsidRPr="00105FFC" w:rsidRDefault="00F50294" w:rsidP="001A3F08">
      <w:pPr>
        <w:rPr>
          <w:rFonts w:asciiTheme="minorHAnsi" w:eastAsiaTheme="minorHAnsi" w:hAnsiTheme="minorHAnsi" w:cstheme="minorBidi"/>
          <w:sz w:val="16"/>
          <w:szCs w:val="16"/>
        </w:rPr>
      </w:pP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for 2015.</w:t>
      </w:r>
    </w:p>
    <w:p w14:paraId="7B62F367" w14:textId="77777777" w:rsidR="001A3F08" w:rsidRPr="00105FFC" w:rsidRDefault="001A3F08" w:rsidP="001A3F08">
      <w:pPr>
        <w:spacing w:line="276" w:lineRule="auto"/>
        <w:rPr>
          <w:rFonts w:asciiTheme="minorHAnsi" w:eastAsiaTheme="minorHAnsi" w:hAnsiTheme="minorHAnsi" w:cstheme="minorBidi"/>
        </w:rPr>
      </w:pPr>
    </w:p>
    <w:p w14:paraId="1E20BE57" w14:textId="77777777" w:rsidR="00070877" w:rsidRPr="00105FFC" w:rsidRDefault="001B4E6F"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It is a melting</w:t>
      </w:r>
      <w:r w:rsidR="00AB26B0" w:rsidRPr="00105FFC">
        <w:rPr>
          <w:rFonts w:asciiTheme="minorHAnsi" w:eastAsiaTheme="minorHAnsi" w:hAnsiTheme="minorHAnsi" w:cstheme="minorBidi"/>
        </w:rPr>
        <w:t xml:space="preserve"> pot of different aid codes that</w:t>
      </w:r>
      <w:r w:rsidRPr="00105FFC">
        <w:rPr>
          <w:rFonts w:asciiTheme="minorHAnsi" w:eastAsiaTheme="minorHAnsi" w:hAnsiTheme="minorHAnsi" w:cstheme="minorBidi"/>
        </w:rPr>
        <w:t xml:space="preserve"> span the spectrum of eligibility </w:t>
      </w:r>
      <w:r w:rsidR="00AB26B0" w:rsidRPr="00105FFC">
        <w:rPr>
          <w:rFonts w:asciiTheme="minorHAnsi" w:eastAsiaTheme="minorHAnsi" w:hAnsiTheme="minorHAnsi" w:cstheme="minorBidi"/>
        </w:rPr>
        <w:t>pathways.</w:t>
      </w:r>
      <w:r w:rsidR="000A1695" w:rsidRPr="00105FFC">
        <w:rPr>
          <w:rFonts w:asciiTheme="minorHAnsi" w:eastAsiaTheme="minorHAnsi" w:hAnsiTheme="minorHAnsi" w:cstheme="minorBidi"/>
        </w:rPr>
        <w:t xml:space="preserve">  Some like the presumptively eligible are awarded Medi-Cal eligibility and will eventually undergo </w:t>
      </w:r>
      <w:r w:rsidR="00BF2A5D" w:rsidRPr="00105FFC">
        <w:rPr>
          <w:rFonts w:asciiTheme="minorHAnsi" w:eastAsiaTheme="minorHAnsi" w:hAnsiTheme="minorHAnsi" w:cstheme="minorBidi"/>
        </w:rPr>
        <w:t>a</w:t>
      </w:r>
      <w:r w:rsidR="000A1695" w:rsidRPr="00105FFC">
        <w:rPr>
          <w:rFonts w:asciiTheme="minorHAnsi" w:eastAsiaTheme="minorHAnsi" w:hAnsiTheme="minorHAnsi" w:cstheme="minorBidi"/>
        </w:rPr>
        <w:t xml:space="preserve"> </w:t>
      </w:r>
      <w:r w:rsidR="003300F3" w:rsidRPr="00105FFC">
        <w:rPr>
          <w:rFonts w:asciiTheme="minorHAnsi" w:eastAsiaTheme="minorHAnsi" w:hAnsiTheme="minorHAnsi" w:cstheme="minorBidi"/>
        </w:rPr>
        <w:t xml:space="preserve">final </w:t>
      </w:r>
      <w:r w:rsidR="000A1695" w:rsidRPr="00105FFC">
        <w:rPr>
          <w:rFonts w:asciiTheme="minorHAnsi" w:eastAsiaTheme="minorHAnsi" w:hAnsiTheme="minorHAnsi" w:cstheme="minorBidi"/>
        </w:rPr>
        <w:t xml:space="preserve">eligibility determination and be enrolled in aid codes that are most likely classified as mandatorily enrolled in managed care.  Others like the foster care subgroups are unique in that they require specific types of services based on their underlying medical and </w:t>
      </w:r>
      <w:r w:rsidR="003300F3" w:rsidRPr="00105FFC">
        <w:rPr>
          <w:rFonts w:asciiTheme="minorHAnsi" w:eastAsiaTheme="minorHAnsi" w:hAnsiTheme="minorHAnsi" w:cstheme="minorBidi"/>
        </w:rPr>
        <w:t xml:space="preserve">psychological/social </w:t>
      </w:r>
      <w:r w:rsidR="000A1695" w:rsidRPr="00105FFC">
        <w:rPr>
          <w:rFonts w:asciiTheme="minorHAnsi" w:eastAsiaTheme="minorHAnsi" w:hAnsiTheme="minorHAnsi" w:cstheme="minorBidi"/>
        </w:rPr>
        <w:t>needs.</w:t>
      </w:r>
      <w:r w:rsidR="00070877" w:rsidRPr="00105FFC">
        <w:rPr>
          <w:rFonts w:asciiTheme="minorHAnsi" w:eastAsiaTheme="minorHAnsi" w:hAnsiTheme="minorHAnsi" w:cstheme="minorBidi"/>
        </w:rPr>
        <w:t xml:space="preserve"> Beneficiaries in the CHDP Gateway Title XXI Medi-Cal PE, Targeted Low-Income FPL for Children (Medicaid-Children’s Health Insurance Program Title XXI) Program are children who are pre-enrolled into Medi-Cal and screened as probable for program eligibility providing for temporary full-scope benefits with no SOC. Note that these children may transition to mandatory aid codes and then move to managed care, making this a temporary program until a full Medi-Cal eligibility determination is performed. </w:t>
      </w:r>
    </w:p>
    <w:p w14:paraId="6932D643" w14:textId="77777777" w:rsidR="00984063" w:rsidRPr="00105FFC" w:rsidRDefault="00984063" w:rsidP="00984063">
      <w:pPr>
        <w:spacing w:line="276" w:lineRule="auto"/>
        <w:rPr>
          <w:rFonts w:asciiTheme="minorHAnsi" w:eastAsiaTheme="minorHAnsi" w:hAnsiTheme="minorHAnsi" w:cstheme="minorBidi"/>
        </w:rPr>
      </w:pPr>
      <w:r w:rsidRPr="00105FFC">
        <w:rPr>
          <w:rFonts w:asciiTheme="minorHAnsi" w:eastAsiaTheme="minorHAnsi" w:hAnsiTheme="minorHAnsi" w:cstheme="minorBidi"/>
        </w:rPr>
        <w:t>As with most issues related to Medi-Cal, generalizations about Medi-Cal’s FFS participants entitled to state plan full scope services cannot be easily made, the exceptions and caveats a numerous and complicated. Each group has unique needs and even though they may be entitled to full scope services, many are transitioning between Medi-Cal’s traditional FFS system and managed care.  This in turn results in short stays in the FFS delivery system, where the care may be episodic and associated with urgent or emergent conditions.</w:t>
      </w:r>
    </w:p>
    <w:p w14:paraId="5E52AD31" w14:textId="77777777" w:rsidR="00496493" w:rsidRPr="00105FFC" w:rsidRDefault="00496493" w:rsidP="001A3F08">
      <w:pPr>
        <w:spacing w:line="276" w:lineRule="auto"/>
        <w:rPr>
          <w:rFonts w:asciiTheme="minorHAnsi" w:eastAsiaTheme="minorHAnsi" w:hAnsiTheme="minorHAnsi" w:cstheme="minorBidi"/>
        </w:rPr>
      </w:pPr>
    </w:p>
    <w:p w14:paraId="24CB1D60" w14:textId="77777777" w:rsidR="00AB7480" w:rsidRPr="00105FFC" w:rsidRDefault="008B6377" w:rsidP="00F50294">
      <w:pPr>
        <w:pStyle w:val="Heading3"/>
        <w:spacing w:before="0" w:after="120" w:line="276" w:lineRule="auto"/>
        <w:rPr>
          <w:rFonts w:eastAsiaTheme="minorHAnsi"/>
          <w:color w:val="auto"/>
        </w:rPr>
      </w:pPr>
      <w:bookmarkStart w:id="105" w:name="_Toc459287718"/>
      <w:r w:rsidRPr="00105FFC">
        <w:rPr>
          <w:rFonts w:eastAsiaTheme="minorHAnsi"/>
          <w:color w:val="auto"/>
        </w:rPr>
        <w:t>Characteristics of the Fee-for-Service Population</w:t>
      </w:r>
      <w:bookmarkEnd w:id="105"/>
    </w:p>
    <w:p w14:paraId="1F32A6EC" w14:textId="77777777" w:rsidR="00AE73E2" w:rsidRPr="00105FFC" w:rsidRDefault="008B6377"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t>The Medi-Cal FFS population differs from the Medi-Cal managed care population</w:t>
      </w:r>
      <w:r w:rsidR="00AB26B0" w:rsidRPr="00105FFC">
        <w:rPr>
          <w:rFonts w:asciiTheme="minorHAnsi" w:eastAsiaTheme="minorHAnsi" w:hAnsiTheme="minorHAnsi" w:cstheme="minorBidi"/>
        </w:rPr>
        <w:t>,</w:t>
      </w:r>
      <w:r w:rsidRPr="00105FFC">
        <w:rPr>
          <w:rFonts w:asciiTheme="minorHAnsi" w:eastAsiaTheme="minorHAnsi" w:hAnsiTheme="minorHAnsi" w:cstheme="minorBidi"/>
        </w:rPr>
        <w:t xml:space="preserve"> as well as from the overall California population in several ways that can impact health care needs</w:t>
      </w:r>
      <w:r w:rsidR="00D66826" w:rsidRPr="00105FFC">
        <w:rPr>
          <w:rFonts w:asciiTheme="minorHAnsi" w:eastAsiaTheme="minorHAnsi" w:hAnsiTheme="minorHAnsi" w:cstheme="minorBidi"/>
        </w:rPr>
        <w:t>, access to care,</w:t>
      </w:r>
      <w:r w:rsidRPr="00105FFC">
        <w:rPr>
          <w:rFonts w:asciiTheme="minorHAnsi" w:eastAsiaTheme="minorHAnsi" w:hAnsiTheme="minorHAnsi" w:cstheme="minorBidi"/>
        </w:rPr>
        <w:t xml:space="preserve"> and outcomes.  Much research </w:t>
      </w:r>
      <w:r w:rsidR="00AB26B0" w:rsidRPr="00105FFC">
        <w:rPr>
          <w:rFonts w:asciiTheme="minorHAnsi" w:eastAsiaTheme="minorHAnsi" w:hAnsiTheme="minorHAnsi" w:cstheme="minorBidi"/>
        </w:rPr>
        <w:t xml:space="preserve">that </w:t>
      </w:r>
      <w:r w:rsidRPr="00105FFC">
        <w:rPr>
          <w:rFonts w:asciiTheme="minorHAnsi" w:eastAsiaTheme="minorHAnsi" w:hAnsiTheme="minorHAnsi" w:cstheme="minorBidi"/>
        </w:rPr>
        <w:t xml:space="preserve">has been </w:t>
      </w:r>
      <w:r w:rsidR="00AB26B0" w:rsidRPr="00105FFC">
        <w:rPr>
          <w:rFonts w:asciiTheme="minorHAnsi" w:eastAsiaTheme="minorHAnsi" w:hAnsiTheme="minorHAnsi" w:cstheme="minorBidi"/>
        </w:rPr>
        <w:t>conducted</w:t>
      </w:r>
      <w:r w:rsidRPr="00105FFC">
        <w:rPr>
          <w:rFonts w:asciiTheme="minorHAnsi" w:eastAsiaTheme="minorHAnsi" w:hAnsiTheme="minorHAnsi" w:cstheme="minorBidi"/>
        </w:rPr>
        <w:t xml:space="preserve"> </w:t>
      </w:r>
      <w:r w:rsidR="005E369A" w:rsidRPr="00105FFC">
        <w:rPr>
          <w:rFonts w:asciiTheme="minorHAnsi" w:eastAsiaTheme="minorHAnsi" w:hAnsiTheme="minorHAnsi" w:cstheme="minorBidi"/>
        </w:rPr>
        <w:t xml:space="preserve">that </w:t>
      </w:r>
      <w:r w:rsidRPr="00105FFC">
        <w:rPr>
          <w:rFonts w:asciiTheme="minorHAnsi" w:eastAsiaTheme="minorHAnsi" w:hAnsiTheme="minorHAnsi" w:cstheme="minorBidi"/>
        </w:rPr>
        <w:t>demonstrates the unique factors, needs,</w:t>
      </w:r>
      <w:r w:rsidR="00AB26B0" w:rsidRPr="00105FFC">
        <w:rPr>
          <w:rFonts w:asciiTheme="minorHAnsi" w:eastAsiaTheme="minorHAnsi" w:hAnsiTheme="minorHAnsi" w:cstheme="minorBidi"/>
        </w:rPr>
        <w:t xml:space="preserve"> and utilization patterns of </w:t>
      </w:r>
      <w:r w:rsidR="005E369A" w:rsidRPr="00105FFC">
        <w:rPr>
          <w:rFonts w:asciiTheme="minorHAnsi" w:eastAsiaTheme="minorHAnsi" w:hAnsiTheme="minorHAnsi" w:cstheme="minorBidi"/>
        </w:rPr>
        <w:t xml:space="preserve">Medi-Cal’s unique </w:t>
      </w:r>
      <w:r w:rsidRPr="00105FFC">
        <w:rPr>
          <w:rFonts w:asciiTheme="minorHAnsi" w:eastAsiaTheme="minorHAnsi" w:hAnsiTheme="minorHAnsi" w:cstheme="minorBidi"/>
        </w:rPr>
        <w:t xml:space="preserve">population.  However, differences between the Medi-Cal FFS and managed care populations </w:t>
      </w:r>
      <w:r w:rsidR="005E369A" w:rsidRPr="00105FFC">
        <w:rPr>
          <w:rFonts w:asciiTheme="minorHAnsi" w:eastAsiaTheme="minorHAnsi" w:hAnsiTheme="minorHAnsi" w:cstheme="minorBidi"/>
        </w:rPr>
        <w:t>has not received the same in-depth exploration</w:t>
      </w:r>
      <w:r w:rsidR="00AE73E2" w:rsidRPr="00105FFC">
        <w:rPr>
          <w:rFonts w:asciiTheme="minorHAnsi" w:eastAsiaTheme="minorHAnsi" w:hAnsiTheme="minorHAnsi" w:cstheme="minorBidi"/>
        </w:rPr>
        <w:t>.</w:t>
      </w:r>
      <w:r w:rsidR="00FA1A37" w:rsidRPr="00105FFC">
        <w:rPr>
          <w:rFonts w:asciiTheme="minorHAnsi" w:eastAsiaTheme="minorHAnsi" w:hAnsiTheme="minorHAnsi" w:cstheme="minorBidi"/>
        </w:rPr>
        <w:t xml:space="preserve">  This is especially the case in recent ye</w:t>
      </w:r>
      <w:r w:rsidR="00984063" w:rsidRPr="00105FFC">
        <w:rPr>
          <w:rFonts w:asciiTheme="minorHAnsi" w:eastAsiaTheme="minorHAnsi" w:hAnsiTheme="minorHAnsi" w:cstheme="minorBidi"/>
        </w:rPr>
        <w:t xml:space="preserve">ars as the FFS population </w:t>
      </w:r>
      <w:r w:rsidR="00FA1A37" w:rsidRPr="00105FFC">
        <w:rPr>
          <w:rFonts w:asciiTheme="minorHAnsi" w:eastAsiaTheme="minorHAnsi" w:hAnsiTheme="minorHAnsi" w:cstheme="minorBidi"/>
        </w:rPr>
        <w:t>has been altered by Medi-Cal’s delivery system reforms.</w:t>
      </w:r>
    </w:p>
    <w:p w14:paraId="753A644D" w14:textId="77777777" w:rsidR="00FA1A37" w:rsidRPr="00105FFC" w:rsidRDefault="00FA1A37" w:rsidP="001A3F08">
      <w:pPr>
        <w:spacing w:line="276" w:lineRule="auto"/>
        <w:rPr>
          <w:rFonts w:asciiTheme="minorHAnsi" w:eastAsiaTheme="minorHAnsi" w:hAnsiTheme="minorHAnsi" w:cstheme="minorBidi"/>
        </w:rPr>
      </w:pPr>
    </w:p>
    <w:p w14:paraId="5C26E37E" w14:textId="77777777" w:rsidR="00AF1CCC" w:rsidRPr="00105FFC" w:rsidRDefault="00AE73E2"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t>T</w:t>
      </w:r>
      <w:r w:rsidR="008B6377" w:rsidRPr="00105FFC">
        <w:rPr>
          <w:rFonts w:asciiTheme="minorHAnsi" w:eastAsiaTheme="minorHAnsi" w:hAnsiTheme="minorHAnsi" w:cstheme="minorBidi"/>
        </w:rPr>
        <w:t>he median age for</w:t>
      </w:r>
      <w:r w:rsidR="00AB26B0" w:rsidRPr="00105FFC">
        <w:rPr>
          <w:rFonts w:asciiTheme="minorHAnsi" w:eastAsiaTheme="minorHAnsi" w:hAnsiTheme="minorHAnsi" w:cstheme="minorBidi"/>
        </w:rPr>
        <w:t xml:space="preserve"> </w:t>
      </w:r>
      <w:r w:rsidR="00984063" w:rsidRPr="00105FFC">
        <w:rPr>
          <w:rFonts w:asciiTheme="minorHAnsi" w:eastAsiaTheme="minorHAnsi" w:hAnsiTheme="minorHAnsi" w:cstheme="minorBidi"/>
        </w:rPr>
        <w:t xml:space="preserve">Medi-Cal’s </w:t>
      </w:r>
      <w:r w:rsidR="00AB26B0" w:rsidRPr="00105FFC">
        <w:rPr>
          <w:rFonts w:asciiTheme="minorHAnsi" w:eastAsiaTheme="minorHAnsi" w:hAnsiTheme="minorHAnsi" w:cstheme="minorBidi"/>
        </w:rPr>
        <w:t>FFS</w:t>
      </w:r>
      <w:r w:rsidR="008B6377" w:rsidRPr="00105FFC">
        <w:rPr>
          <w:rFonts w:asciiTheme="minorHAnsi" w:eastAsiaTheme="minorHAnsi" w:hAnsiTheme="minorHAnsi" w:cstheme="minorBidi"/>
        </w:rPr>
        <w:t xml:space="preserve"> </w:t>
      </w:r>
      <w:r w:rsidR="00984063" w:rsidRPr="00105FFC">
        <w:rPr>
          <w:rFonts w:asciiTheme="minorHAnsi" w:eastAsiaTheme="minorHAnsi" w:hAnsiTheme="minorHAnsi" w:cstheme="minorBidi"/>
        </w:rPr>
        <w:t>population</w:t>
      </w:r>
      <w:r w:rsidR="008B6377" w:rsidRPr="00105FFC">
        <w:rPr>
          <w:rFonts w:asciiTheme="minorHAnsi" w:eastAsiaTheme="minorHAnsi" w:hAnsiTheme="minorHAnsi" w:cstheme="minorBidi"/>
        </w:rPr>
        <w:t xml:space="preserve"> is 15 years older than for the Medi-Cal managed care population.  Interestingly, the </w:t>
      </w:r>
      <w:r w:rsidR="00AB26B0" w:rsidRPr="00105FFC">
        <w:rPr>
          <w:rFonts w:asciiTheme="minorHAnsi" w:eastAsiaTheme="minorHAnsi" w:hAnsiTheme="minorHAnsi" w:cstheme="minorBidi"/>
        </w:rPr>
        <w:t xml:space="preserve">FFS </w:t>
      </w:r>
      <w:r w:rsidR="008B6377" w:rsidRPr="00105FFC">
        <w:rPr>
          <w:rFonts w:asciiTheme="minorHAnsi" w:eastAsiaTheme="minorHAnsi" w:hAnsiTheme="minorHAnsi" w:cstheme="minorBidi"/>
        </w:rPr>
        <w:t xml:space="preserve">Medi-Cal median age is the same as for California as a whole (Table </w:t>
      </w:r>
      <w:r w:rsidR="00D82233" w:rsidRPr="00105FFC">
        <w:rPr>
          <w:rFonts w:asciiTheme="minorHAnsi" w:eastAsiaTheme="minorHAnsi" w:hAnsiTheme="minorHAnsi" w:cstheme="minorBidi"/>
        </w:rPr>
        <w:t>7</w:t>
      </w:r>
      <w:r w:rsidR="008B6377" w:rsidRPr="00105FFC">
        <w:rPr>
          <w:rFonts w:asciiTheme="minorHAnsi" w:eastAsiaTheme="minorHAnsi" w:hAnsiTheme="minorHAnsi" w:cstheme="minorBidi"/>
        </w:rPr>
        <w:t>).</w:t>
      </w:r>
    </w:p>
    <w:p w14:paraId="5AF24CFC" w14:textId="77777777" w:rsidR="001A3F08" w:rsidRPr="00105FFC" w:rsidRDefault="001A3F08" w:rsidP="001A3F08">
      <w:pPr>
        <w:spacing w:line="276" w:lineRule="auto"/>
        <w:rPr>
          <w:rFonts w:asciiTheme="minorHAnsi" w:eastAsiaTheme="minorHAnsi" w:hAnsiTheme="minorHAnsi" w:cstheme="minorBidi"/>
        </w:rPr>
      </w:pPr>
    </w:p>
    <w:p w14:paraId="1C805530" w14:textId="77777777" w:rsidR="008B6377" w:rsidRPr="00105FFC" w:rsidRDefault="001F2D87" w:rsidP="008149B7">
      <w:pPr>
        <w:pStyle w:val="Caption"/>
        <w:spacing w:after="0"/>
        <w:rPr>
          <w:rFonts w:asciiTheme="minorHAnsi" w:eastAsiaTheme="minorHAnsi" w:hAnsiTheme="minorHAnsi" w:cstheme="minorBidi"/>
          <w:color w:val="auto"/>
          <w:sz w:val="20"/>
          <w:szCs w:val="20"/>
        </w:rPr>
      </w:pPr>
      <w:bookmarkStart w:id="106" w:name="_Toc458783082"/>
      <w:bookmarkStart w:id="107" w:name="_Toc459285152"/>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7</w:t>
      </w:r>
      <w:r w:rsidRPr="00105FFC">
        <w:rPr>
          <w:rFonts w:asciiTheme="minorHAnsi" w:hAnsiTheme="minorHAnsi"/>
          <w:color w:val="auto"/>
          <w:sz w:val="20"/>
          <w:szCs w:val="20"/>
        </w:rPr>
        <w:fldChar w:fldCharType="end"/>
      </w:r>
      <w:r w:rsidR="008B6377" w:rsidRPr="00105FFC">
        <w:rPr>
          <w:rFonts w:asciiTheme="minorHAnsi" w:eastAsiaTheme="minorHAnsi" w:hAnsiTheme="minorHAnsi" w:cstheme="minorBidi"/>
          <w:b w:val="0"/>
          <w:color w:val="auto"/>
          <w:sz w:val="20"/>
          <w:szCs w:val="20"/>
        </w:rPr>
        <w:t>:</w:t>
      </w:r>
      <w:r w:rsidR="008B6377" w:rsidRPr="00105FFC">
        <w:rPr>
          <w:rFonts w:asciiTheme="minorHAnsi" w:eastAsiaTheme="minorHAnsi" w:hAnsiTheme="minorHAnsi" w:cstheme="minorBidi"/>
          <w:color w:val="auto"/>
          <w:sz w:val="20"/>
          <w:szCs w:val="20"/>
        </w:rPr>
        <w:t xml:space="preserve"> </w:t>
      </w:r>
      <w:r w:rsidR="008B6377" w:rsidRPr="00105FFC">
        <w:rPr>
          <w:rFonts w:asciiTheme="minorHAnsi" w:eastAsiaTheme="minorHAnsi" w:hAnsiTheme="minorHAnsi" w:cstheme="minorBidi"/>
          <w:b w:val="0"/>
          <w:color w:val="auto"/>
          <w:sz w:val="20"/>
          <w:szCs w:val="20"/>
        </w:rPr>
        <w:t>Median Age of Medi-Cal FFS Beneficiaries and Medi-Cal Managed Care Benefi</w:t>
      </w:r>
      <w:r w:rsidR="00B62AD1" w:rsidRPr="00105FFC">
        <w:rPr>
          <w:rFonts w:asciiTheme="minorHAnsi" w:eastAsiaTheme="minorHAnsi" w:hAnsiTheme="minorHAnsi" w:cstheme="minorBidi"/>
          <w:b w:val="0"/>
          <w:color w:val="auto"/>
          <w:sz w:val="20"/>
          <w:szCs w:val="20"/>
        </w:rPr>
        <w:t>ciaries in 2015, and California Residents</w:t>
      </w:r>
      <w:r w:rsidR="008B6377" w:rsidRPr="00105FFC">
        <w:rPr>
          <w:rFonts w:asciiTheme="minorHAnsi" w:eastAsiaTheme="minorHAnsi" w:hAnsiTheme="minorHAnsi" w:cstheme="minorBidi"/>
          <w:b w:val="0"/>
          <w:color w:val="auto"/>
          <w:sz w:val="20"/>
          <w:szCs w:val="20"/>
        </w:rPr>
        <w:t xml:space="preserve"> in 2014</w:t>
      </w:r>
      <w:bookmarkEnd w:id="106"/>
      <w:bookmarkEnd w:id="107"/>
      <w:r w:rsidR="008B6377" w:rsidRPr="00105FFC">
        <w:rPr>
          <w:rFonts w:asciiTheme="minorHAnsi" w:eastAsiaTheme="minorHAnsi" w:hAnsiTheme="minorHAnsi" w:cstheme="minorBidi"/>
          <w:b w:val="0"/>
          <w:color w:val="auto"/>
          <w:sz w:val="20"/>
          <w:szCs w:val="20"/>
        </w:rPr>
        <w:t xml:space="preserve">  </w:t>
      </w:r>
    </w:p>
    <w:tbl>
      <w:tblPr>
        <w:tblStyle w:val="MediumList1-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94"/>
        <w:gridCol w:w="2394"/>
        <w:gridCol w:w="2394"/>
        <w:gridCol w:w="2394"/>
      </w:tblGrid>
      <w:tr w:rsidR="008B6377" w:rsidRPr="00105FFC" w14:paraId="7E25383D" w14:textId="77777777" w:rsidTr="00073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bottom w:val="none" w:sz="0" w:space="0" w:color="auto"/>
            </w:tcBorders>
          </w:tcPr>
          <w:p w14:paraId="0250CCA9" w14:textId="77777777" w:rsidR="008B6377" w:rsidRPr="00105FFC" w:rsidRDefault="001F2D87" w:rsidP="001F2D87">
            <w:pPr>
              <w:contextualSpacing/>
              <w:jc w:val="center"/>
              <w:rPr>
                <w:rFonts w:asciiTheme="minorHAnsi" w:eastAsiaTheme="minorHAnsi" w:hAnsiTheme="minorHAnsi" w:cstheme="minorBidi"/>
                <w:sz w:val="22"/>
                <w:szCs w:val="22"/>
              </w:rPr>
            </w:pPr>
            <w:r w:rsidRPr="00105FFC">
              <w:rPr>
                <w:rFonts w:asciiTheme="minorHAnsi" w:eastAsiaTheme="minorHAnsi" w:hAnsiTheme="minorHAnsi" w:cstheme="minorBidi"/>
                <w:color w:val="FFFFFF" w:themeColor="background1"/>
                <w:sz w:val="22"/>
                <w:szCs w:val="22"/>
              </w:rPr>
              <w:t>Median Age</w:t>
            </w:r>
          </w:p>
        </w:tc>
        <w:tc>
          <w:tcPr>
            <w:tcW w:w="2394" w:type="dxa"/>
            <w:tcBorders>
              <w:top w:val="none" w:sz="0" w:space="0" w:color="auto"/>
              <w:bottom w:val="none" w:sz="0" w:space="0" w:color="auto"/>
            </w:tcBorders>
          </w:tcPr>
          <w:p w14:paraId="70C8280A" w14:textId="77777777" w:rsidR="008B6377" w:rsidRPr="00105FFC" w:rsidRDefault="008B6377" w:rsidP="008B637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Fee-for-Service</w:t>
            </w:r>
          </w:p>
        </w:tc>
        <w:tc>
          <w:tcPr>
            <w:tcW w:w="2394" w:type="dxa"/>
            <w:tcBorders>
              <w:top w:val="none" w:sz="0" w:space="0" w:color="auto"/>
              <w:bottom w:val="none" w:sz="0" w:space="0" w:color="auto"/>
            </w:tcBorders>
          </w:tcPr>
          <w:p w14:paraId="49B4EDC3" w14:textId="77777777" w:rsidR="008B6377" w:rsidRPr="00105FFC" w:rsidRDefault="008B6377" w:rsidP="008B637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Managed Care</w:t>
            </w:r>
          </w:p>
        </w:tc>
        <w:tc>
          <w:tcPr>
            <w:tcW w:w="2394" w:type="dxa"/>
            <w:tcBorders>
              <w:top w:val="none" w:sz="0" w:space="0" w:color="auto"/>
              <w:bottom w:val="none" w:sz="0" w:space="0" w:color="auto"/>
            </w:tcBorders>
          </w:tcPr>
          <w:p w14:paraId="3D12326C" w14:textId="77777777" w:rsidR="008B6377" w:rsidRPr="00105FFC" w:rsidRDefault="008B6377" w:rsidP="004B2AD1">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California</w:t>
            </w:r>
          </w:p>
        </w:tc>
      </w:tr>
      <w:tr w:rsidR="008B6377" w:rsidRPr="00105FFC" w14:paraId="765AF43B" w14:textId="77777777" w:rsidTr="001F2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4EB88A6" w14:textId="77777777" w:rsidR="008B6377" w:rsidRPr="00105FFC" w:rsidRDefault="008B6377" w:rsidP="001F2D87">
            <w:pPr>
              <w:contextualSpacing/>
              <w:jc w:val="center"/>
              <w:rPr>
                <w:rFonts w:asciiTheme="minorHAnsi" w:eastAsiaTheme="minorHAnsi" w:hAnsiTheme="minorHAnsi" w:cstheme="minorBidi"/>
                <w:b w:val="0"/>
                <w:sz w:val="22"/>
                <w:szCs w:val="22"/>
              </w:rPr>
            </w:pPr>
            <w:r w:rsidRPr="00105FFC">
              <w:rPr>
                <w:rFonts w:asciiTheme="minorHAnsi" w:eastAsiaTheme="minorHAnsi" w:hAnsiTheme="minorHAnsi" w:cstheme="minorBidi"/>
                <w:b w:val="0"/>
                <w:sz w:val="22"/>
                <w:szCs w:val="22"/>
              </w:rPr>
              <w:t>Median Age</w:t>
            </w:r>
          </w:p>
        </w:tc>
        <w:tc>
          <w:tcPr>
            <w:tcW w:w="2394" w:type="dxa"/>
          </w:tcPr>
          <w:p w14:paraId="0AE63853" w14:textId="77777777" w:rsidR="008B6377" w:rsidRPr="00105FFC" w:rsidRDefault="008B6377" w:rsidP="008B637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36</w:t>
            </w:r>
          </w:p>
        </w:tc>
        <w:tc>
          <w:tcPr>
            <w:tcW w:w="2394" w:type="dxa"/>
          </w:tcPr>
          <w:p w14:paraId="3D0B90E9" w14:textId="77777777" w:rsidR="008B6377" w:rsidRPr="00105FFC" w:rsidRDefault="008B6377" w:rsidP="008B637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21</w:t>
            </w:r>
          </w:p>
        </w:tc>
        <w:tc>
          <w:tcPr>
            <w:tcW w:w="2394" w:type="dxa"/>
          </w:tcPr>
          <w:p w14:paraId="7FC2FC6E" w14:textId="77777777" w:rsidR="008B6377" w:rsidRPr="00105FFC" w:rsidRDefault="008B6377" w:rsidP="008B637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36</w:t>
            </w:r>
          </w:p>
        </w:tc>
      </w:tr>
    </w:tbl>
    <w:p w14:paraId="1A586768" w14:textId="77777777" w:rsidR="008B6377" w:rsidRPr="00105FFC" w:rsidRDefault="008B6377" w:rsidP="00AF1CCC">
      <w:pPr>
        <w:spacing w:after="120"/>
        <w:rPr>
          <w:rFonts w:asciiTheme="minorHAnsi" w:eastAsiaTheme="minorHAnsi" w:hAnsiTheme="minorHAnsi" w:cs="Tahoma"/>
          <w:sz w:val="22"/>
          <w:szCs w:val="22"/>
        </w:rPr>
      </w:pPr>
      <w:r w:rsidRPr="00105FFC">
        <w:rPr>
          <w:rFonts w:asciiTheme="minorHAnsi" w:eastAsiaTheme="minorHAnsi" w:hAnsiTheme="minorHAnsi" w:cstheme="minorBidi"/>
          <w:b/>
          <w:sz w:val="16"/>
          <w:szCs w:val="22"/>
        </w:rPr>
        <w:t>Source:</w:t>
      </w:r>
      <w:r w:rsidRPr="00105FFC">
        <w:rPr>
          <w:rFonts w:asciiTheme="minorHAnsi" w:eastAsiaTheme="minorHAnsi" w:hAnsiTheme="minorHAnsi" w:cstheme="minorBidi"/>
          <w:sz w:val="16"/>
          <w:szCs w:val="22"/>
        </w:rPr>
        <w:t xml:space="preserve"> </w:t>
      </w:r>
      <w:r w:rsidRPr="00105FFC">
        <w:rPr>
          <w:rFonts w:asciiTheme="minorHAnsi" w:eastAsiaTheme="minorHAnsi" w:hAnsiTheme="minorHAnsi" w:cstheme="minorBidi"/>
          <w:sz w:val="16"/>
          <w:szCs w:val="16"/>
        </w:rPr>
        <w:t>Created by DHCS Research and Analytic Studies Division using data from the MIS/DSS eligibility tables fo</w:t>
      </w:r>
      <w:r w:rsidR="004B2AD1" w:rsidRPr="00105FFC">
        <w:rPr>
          <w:rFonts w:asciiTheme="minorHAnsi" w:eastAsiaTheme="minorHAnsi" w:hAnsiTheme="minorHAnsi" w:cstheme="minorBidi"/>
          <w:sz w:val="16"/>
          <w:szCs w:val="16"/>
        </w:rPr>
        <w:t>r 2015 and extracted in May 2016</w:t>
      </w:r>
      <w:r w:rsidRPr="00105FFC">
        <w:rPr>
          <w:rFonts w:asciiTheme="minorHAnsi" w:eastAsiaTheme="minorHAnsi" w:hAnsiTheme="minorHAnsi" w:cstheme="minorBidi"/>
          <w:sz w:val="16"/>
          <w:szCs w:val="16"/>
        </w:rPr>
        <w:t xml:space="preserve"> and the </w:t>
      </w:r>
      <w:r w:rsidRPr="00105FFC">
        <w:rPr>
          <w:rFonts w:asciiTheme="minorHAnsi" w:eastAsiaTheme="minorHAnsi" w:hAnsiTheme="minorHAnsi" w:cs="Arial"/>
          <w:color w:val="000000"/>
          <w:sz w:val="16"/>
          <w:szCs w:val="16"/>
          <w:shd w:val="clear" w:color="auto" w:fill="FFFFFF"/>
        </w:rPr>
        <w:t>U.S. Census Bureau, 2010-2014 American Community Survey 5-Year Estimates</w:t>
      </w:r>
      <w:r w:rsidRPr="00105FFC">
        <w:rPr>
          <w:rFonts w:asciiTheme="minorHAnsi" w:eastAsiaTheme="minorHAnsi" w:hAnsiTheme="minorHAnsi" w:cstheme="minorBidi"/>
          <w:sz w:val="16"/>
          <w:szCs w:val="16"/>
        </w:rPr>
        <w:t xml:space="preserve">. </w:t>
      </w:r>
    </w:p>
    <w:p w14:paraId="4C83D0E1" w14:textId="77777777" w:rsidR="001A3F08" w:rsidRPr="00105FFC" w:rsidRDefault="001A3F08" w:rsidP="001A3F08">
      <w:pPr>
        <w:spacing w:line="276" w:lineRule="auto"/>
        <w:contextualSpacing/>
        <w:rPr>
          <w:rFonts w:asciiTheme="minorHAnsi" w:eastAsiaTheme="minorHAnsi" w:hAnsiTheme="minorHAnsi" w:cstheme="minorBidi"/>
        </w:rPr>
      </w:pPr>
    </w:p>
    <w:p w14:paraId="77F1283E" w14:textId="77777777" w:rsidR="008B6377" w:rsidRPr="00105FFC" w:rsidRDefault="008B6377" w:rsidP="00AF1CCC">
      <w:pPr>
        <w:spacing w:after="200" w:line="276" w:lineRule="auto"/>
        <w:contextualSpacing/>
        <w:rPr>
          <w:rFonts w:asciiTheme="minorHAnsi" w:eastAsiaTheme="minorHAnsi" w:hAnsiTheme="minorHAnsi" w:cstheme="minorBidi"/>
        </w:rPr>
      </w:pPr>
      <w:r w:rsidRPr="00105FFC">
        <w:rPr>
          <w:rFonts w:asciiTheme="minorHAnsi" w:eastAsiaTheme="minorHAnsi" w:hAnsiTheme="minorHAnsi" w:cstheme="minorBidi"/>
        </w:rPr>
        <w:t xml:space="preserve">The distribution of ages in the </w:t>
      </w:r>
      <w:r w:rsidR="004B2AD1" w:rsidRPr="00105FFC">
        <w:rPr>
          <w:rFonts w:asciiTheme="minorHAnsi" w:eastAsiaTheme="minorHAnsi" w:hAnsiTheme="minorHAnsi" w:cstheme="minorBidi"/>
        </w:rPr>
        <w:t xml:space="preserve">FFS </w:t>
      </w:r>
      <w:r w:rsidRPr="00105FFC">
        <w:rPr>
          <w:rFonts w:asciiTheme="minorHAnsi" w:eastAsiaTheme="minorHAnsi" w:hAnsiTheme="minorHAnsi" w:cstheme="minorBidi"/>
        </w:rPr>
        <w:t xml:space="preserve">population is </w:t>
      </w:r>
      <w:r w:rsidR="004B2AD1" w:rsidRPr="00105FFC">
        <w:rPr>
          <w:rFonts w:asciiTheme="minorHAnsi" w:eastAsiaTheme="minorHAnsi" w:hAnsiTheme="minorHAnsi" w:cstheme="minorBidi"/>
        </w:rPr>
        <w:t xml:space="preserve">also </w:t>
      </w:r>
      <w:r w:rsidRPr="00105FFC">
        <w:rPr>
          <w:rFonts w:asciiTheme="minorHAnsi" w:eastAsiaTheme="minorHAnsi" w:hAnsiTheme="minorHAnsi" w:cstheme="minorBidi"/>
        </w:rPr>
        <w:t xml:space="preserve">very different than that of the managed care population.  </w:t>
      </w:r>
      <w:r w:rsidR="00AE73E2" w:rsidRPr="00105FFC">
        <w:rPr>
          <w:rFonts w:asciiTheme="minorHAnsi" w:eastAsiaTheme="minorHAnsi" w:hAnsiTheme="minorHAnsi" w:cstheme="minorBidi"/>
        </w:rPr>
        <w:t xml:space="preserve">Individuals participating in Medi-Cal’s </w:t>
      </w:r>
      <w:r w:rsidR="004B2AD1" w:rsidRPr="00105FFC">
        <w:rPr>
          <w:rFonts w:asciiTheme="minorHAnsi" w:eastAsiaTheme="minorHAnsi" w:hAnsiTheme="minorHAnsi" w:cstheme="minorBidi"/>
        </w:rPr>
        <w:t xml:space="preserve">FFS </w:t>
      </w:r>
      <w:r w:rsidR="00AE73E2" w:rsidRPr="00105FFC">
        <w:rPr>
          <w:rFonts w:asciiTheme="minorHAnsi" w:eastAsiaTheme="minorHAnsi" w:hAnsiTheme="minorHAnsi" w:cstheme="minorBidi"/>
        </w:rPr>
        <w:t xml:space="preserve">delivery system </w:t>
      </w:r>
      <w:r w:rsidRPr="00105FFC">
        <w:rPr>
          <w:rFonts w:asciiTheme="minorHAnsi" w:eastAsiaTheme="minorHAnsi" w:hAnsiTheme="minorHAnsi" w:cstheme="minorBidi"/>
        </w:rPr>
        <w:t xml:space="preserve">had a </w:t>
      </w:r>
      <w:r w:rsidR="00B62AD1" w:rsidRPr="00105FFC">
        <w:rPr>
          <w:rFonts w:asciiTheme="minorHAnsi" w:eastAsiaTheme="minorHAnsi" w:hAnsiTheme="minorHAnsi" w:cstheme="minorBidi"/>
        </w:rPr>
        <w:t xml:space="preserve">slightly </w:t>
      </w:r>
      <w:r w:rsidRPr="00105FFC">
        <w:rPr>
          <w:rFonts w:asciiTheme="minorHAnsi" w:eastAsiaTheme="minorHAnsi" w:hAnsiTheme="minorHAnsi" w:cstheme="minorBidi"/>
        </w:rPr>
        <w:t xml:space="preserve">smaller </w:t>
      </w:r>
      <w:r w:rsidR="004B2AD1" w:rsidRPr="00105FFC">
        <w:rPr>
          <w:rFonts w:asciiTheme="minorHAnsi" w:eastAsiaTheme="minorHAnsi" w:hAnsiTheme="minorHAnsi" w:cstheme="minorBidi"/>
        </w:rPr>
        <w:t>proportion</w:t>
      </w:r>
      <w:r w:rsidRPr="00105FFC">
        <w:rPr>
          <w:rFonts w:asciiTheme="minorHAnsi" w:eastAsiaTheme="minorHAnsi" w:hAnsiTheme="minorHAnsi" w:cstheme="minorBidi"/>
        </w:rPr>
        <w:t xml:space="preserve"> of children ages 0-18 and adults ages 19-64 </w:t>
      </w:r>
      <w:r w:rsidR="004B2AD1" w:rsidRPr="00105FFC">
        <w:rPr>
          <w:rFonts w:asciiTheme="minorHAnsi" w:eastAsiaTheme="minorHAnsi" w:hAnsiTheme="minorHAnsi" w:cstheme="minorBidi"/>
        </w:rPr>
        <w:t>compared to the</w:t>
      </w:r>
      <w:r w:rsidRPr="00105FFC">
        <w:rPr>
          <w:rFonts w:asciiTheme="minorHAnsi" w:eastAsiaTheme="minorHAnsi" w:hAnsiTheme="minorHAnsi" w:cstheme="minorBidi"/>
        </w:rPr>
        <w:t xml:space="preserve"> managed care </w:t>
      </w:r>
      <w:r w:rsidR="004B2AD1" w:rsidRPr="00105FFC">
        <w:rPr>
          <w:rFonts w:asciiTheme="minorHAnsi" w:eastAsiaTheme="minorHAnsi" w:hAnsiTheme="minorHAnsi" w:cstheme="minorBidi"/>
        </w:rPr>
        <w:t xml:space="preserve">population. </w:t>
      </w:r>
      <w:r w:rsidRPr="00105FFC">
        <w:rPr>
          <w:rFonts w:asciiTheme="minorHAnsi" w:eastAsiaTheme="minorHAnsi" w:hAnsiTheme="minorHAnsi" w:cstheme="minorBidi"/>
        </w:rPr>
        <w:t xml:space="preserve">Conversely, </w:t>
      </w:r>
      <w:r w:rsidR="00AE73E2" w:rsidRPr="00105FFC">
        <w:rPr>
          <w:rFonts w:asciiTheme="minorHAnsi" w:eastAsiaTheme="minorHAnsi" w:hAnsiTheme="minorHAnsi" w:cstheme="minorBidi"/>
        </w:rPr>
        <w:t>FFS participants</w:t>
      </w:r>
      <w:r w:rsidRPr="00105FFC">
        <w:rPr>
          <w:rFonts w:asciiTheme="minorHAnsi" w:eastAsiaTheme="minorHAnsi" w:hAnsiTheme="minorHAnsi" w:cstheme="minorBidi"/>
        </w:rPr>
        <w:t xml:space="preserve"> had a </w:t>
      </w:r>
      <w:r w:rsidR="004B2AD1" w:rsidRPr="00105FFC">
        <w:rPr>
          <w:rFonts w:asciiTheme="minorHAnsi" w:eastAsiaTheme="minorHAnsi" w:hAnsiTheme="minorHAnsi" w:cstheme="minorBidi"/>
        </w:rPr>
        <w:t>larger</w:t>
      </w:r>
      <w:r w:rsidRPr="00105FFC">
        <w:rPr>
          <w:rFonts w:asciiTheme="minorHAnsi" w:eastAsiaTheme="minorHAnsi" w:hAnsiTheme="minorHAnsi" w:cstheme="minorBidi"/>
        </w:rPr>
        <w:t xml:space="preserve"> proportion of </w:t>
      </w:r>
      <w:r w:rsidR="004B2AD1" w:rsidRPr="00105FFC">
        <w:rPr>
          <w:rFonts w:asciiTheme="minorHAnsi" w:eastAsiaTheme="minorHAnsi" w:hAnsiTheme="minorHAnsi" w:cstheme="minorBidi"/>
        </w:rPr>
        <w:t>individuals</w:t>
      </w:r>
      <w:r w:rsidRPr="00105FFC">
        <w:rPr>
          <w:rFonts w:asciiTheme="minorHAnsi" w:eastAsiaTheme="minorHAnsi" w:hAnsiTheme="minorHAnsi" w:cstheme="minorBidi"/>
        </w:rPr>
        <w:t xml:space="preserve"> ages 65 and older </w:t>
      </w:r>
      <w:r w:rsidR="004B2AD1" w:rsidRPr="00105FFC">
        <w:rPr>
          <w:rFonts w:asciiTheme="minorHAnsi" w:eastAsiaTheme="minorHAnsi" w:hAnsiTheme="minorHAnsi" w:cstheme="minorBidi"/>
        </w:rPr>
        <w:t>compared to</w:t>
      </w:r>
      <w:r w:rsidRPr="00105FFC">
        <w:rPr>
          <w:rFonts w:asciiTheme="minorHAnsi" w:eastAsiaTheme="minorHAnsi" w:hAnsiTheme="minorHAnsi" w:cstheme="minorBidi"/>
        </w:rPr>
        <w:t xml:space="preserve"> their managed care counterparts (Figure </w:t>
      </w:r>
      <w:r w:rsidR="00CD129F" w:rsidRPr="00105FFC">
        <w:rPr>
          <w:rFonts w:asciiTheme="minorHAnsi" w:eastAsiaTheme="minorHAnsi" w:hAnsiTheme="minorHAnsi" w:cstheme="minorBidi"/>
        </w:rPr>
        <w:t>1</w:t>
      </w:r>
      <w:r w:rsidR="00AF1CCC" w:rsidRPr="00105FFC">
        <w:rPr>
          <w:rFonts w:asciiTheme="minorHAnsi" w:eastAsiaTheme="minorHAnsi" w:hAnsiTheme="minorHAnsi" w:cstheme="minorBidi"/>
        </w:rPr>
        <w:t>6</w:t>
      </w:r>
      <w:r w:rsidRPr="00105FFC">
        <w:rPr>
          <w:rFonts w:asciiTheme="minorHAnsi" w:eastAsiaTheme="minorHAnsi" w:hAnsiTheme="minorHAnsi" w:cstheme="minorBidi"/>
        </w:rPr>
        <w:t xml:space="preserve">). </w:t>
      </w:r>
    </w:p>
    <w:p w14:paraId="79A1D0ED" w14:textId="77777777" w:rsidR="008B6377" w:rsidRPr="00105FFC" w:rsidRDefault="008149B7" w:rsidP="00984063">
      <w:pPr>
        <w:pStyle w:val="Caption"/>
        <w:spacing w:after="0"/>
        <w:rPr>
          <w:rFonts w:asciiTheme="minorHAnsi" w:eastAsiaTheme="minorHAnsi" w:hAnsiTheme="minorHAnsi" w:cstheme="minorBidi"/>
          <w:b w:val="0"/>
          <w:color w:val="auto"/>
          <w:sz w:val="20"/>
          <w:szCs w:val="20"/>
        </w:rPr>
      </w:pPr>
      <w:bookmarkStart w:id="108" w:name="_Toc458782954"/>
      <w:bookmarkStart w:id="109" w:name="_Toc459285065"/>
      <w:bookmarkStart w:id="110" w:name="_Toc459285256"/>
      <w:bookmarkStart w:id="111" w:name="_Toc459286697"/>
      <w:r w:rsidRPr="00105FFC">
        <w:rPr>
          <w:rFonts w:asciiTheme="minorHAnsi" w:hAnsiTheme="minorHAnsi"/>
          <w:color w:val="auto"/>
          <w:sz w:val="20"/>
          <w:szCs w:val="20"/>
        </w:rPr>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16</w:t>
      </w:r>
      <w:r w:rsidRPr="00105FFC">
        <w:rPr>
          <w:rFonts w:asciiTheme="minorHAnsi" w:hAnsiTheme="minorHAnsi"/>
          <w:color w:val="auto"/>
          <w:sz w:val="20"/>
          <w:szCs w:val="20"/>
        </w:rPr>
        <w:fldChar w:fldCharType="end"/>
      </w:r>
      <w:r w:rsidR="008B6377" w:rsidRPr="00105FFC">
        <w:rPr>
          <w:rFonts w:asciiTheme="minorHAnsi" w:eastAsiaTheme="minorHAnsi" w:hAnsiTheme="minorHAnsi" w:cstheme="minorBidi"/>
          <w:b w:val="0"/>
          <w:color w:val="auto"/>
          <w:sz w:val="20"/>
          <w:szCs w:val="20"/>
        </w:rPr>
        <w:t>:</w:t>
      </w:r>
      <w:r w:rsidR="008B6377" w:rsidRPr="00105FFC">
        <w:rPr>
          <w:rFonts w:asciiTheme="minorHAnsi" w:eastAsiaTheme="minorHAnsi" w:hAnsiTheme="minorHAnsi" w:cstheme="minorBidi"/>
          <w:color w:val="auto"/>
          <w:sz w:val="20"/>
          <w:szCs w:val="20"/>
        </w:rPr>
        <w:t xml:space="preserve"> </w:t>
      </w:r>
      <w:r w:rsidR="008B6377" w:rsidRPr="00105FFC">
        <w:rPr>
          <w:rFonts w:asciiTheme="minorHAnsi" w:eastAsiaTheme="minorHAnsi" w:hAnsiTheme="minorHAnsi" w:cstheme="minorBidi"/>
          <w:b w:val="0"/>
          <w:color w:val="auto"/>
          <w:sz w:val="20"/>
          <w:szCs w:val="20"/>
        </w:rPr>
        <w:t xml:space="preserve">Distribution of </w:t>
      </w:r>
      <w:r w:rsidR="004B2AD1" w:rsidRPr="00105FFC">
        <w:rPr>
          <w:rFonts w:asciiTheme="minorHAnsi" w:eastAsiaTheme="minorHAnsi" w:hAnsiTheme="minorHAnsi" w:cstheme="minorBidi"/>
          <w:b w:val="0"/>
          <w:color w:val="auto"/>
          <w:sz w:val="20"/>
          <w:szCs w:val="20"/>
        </w:rPr>
        <w:t>Certified Eligible</w:t>
      </w:r>
      <w:r w:rsidR="008B6377" w:rsidRPr="00105FFC">
        <w:rPr>
          <w:rFonts w:asciiTheme="minorHAnsi" w:eastAsiaTheme="minorHAnsi" w:hAnsiTheme="minorHAnsi" w:cstheme="minorBidi"/>
          <w:b w:val="0"/>
          <w:color w:val="auto"/>
          <w:sz w:val="20"/>
          <w:szCs w:val="20"/>
        </w:rPr>
        <w:t xml:space="preserve"> Medi-Cal </w:t>
      </w:r>
      <w:r w:rsidR="004B2AD1" w:rsidRPr="00105FFC">
        <w:rPr>
          <w:rFonts w:asciiTheme="minorHAnsi" w:eastAsiaTheme="minorHAnsi" w:hAnsiTheme="minorHAnsi" w:cstheme="minorBidi"/>
          <w:b w:val="0"/>
          <w:color w:val="auto"/>
          <w:sz w:val="20"/>
          <w:szCs w:val="20"/>
        </w:rPr>
        <w:t xml:space="preserve">Beneficiaries </w:t>
      </w:r>
      <w:r w:rsidR="00984063" w:rsidRPr="00105FFC">
        <w:rPr>
          <w:rFonts w:asciiTheme="minorHAnsi" w:eastAsiaTheme="minorHAnsi" w:hAnsiTheme="minorHAnsi" w:cstheme="minorBidi"/>
          <w:b w:val="0"/>
          <w:color w:val="auto"/>
          <w:sz w:val="20"/>
          <w:szCs w:val="20"/>
        </w:rPr>
        <w:t xml:space="preserve">Enrolled at any Point </w:t>
      </w:r>
      <w:r w:rsidR="004B2AD1" w:rsidRPr="00105FFC">
        <w:rPr>
          <w:rFonts w:asciiTheme="minorHAnsi" w:eastAsiaTheme="minorHAnsi" w:hAnsiTheme="minorHAnsi" w:cstheme="minorBidi"/>
          <w:b w:val="0"/>
          <w:color w:val="auto"/>
          <w:sz w:val="20"/>
          <w:szCs w:val="20"/>
        </w:rPr>
        <w:t>in 2015</w:t>
      </w:r>
      <w:r w:rsidR="008B6377" w:rsidRPr="00105FFC">
        <w:rPr>
          <w:rFonts w:asciiTheme="minorHAnsi" w:eastAsiaTheme="minorHAnsi" w:hAnsiTheme="minorHAnsi" w:cstheme="minorBidi"/>
          <w:b w:val="0"/>
          <w:color w:val="auto"/>
          <w:sz w:val="20"/>
          <w:szCs w:val="20"/>
        </w:rPr>
        <w:t xml:space="preserve">, by </w:t>
      </w:r>
      <w:r w:rsidR="004B2AD1" w:rsidRPr="00105FFC">
        <w:rPr>
          <w:rFonts w:asciiTheme="minorHAnsi" w:eastAsiaTheme="minorHAnsi" w:hAnsiTheme="minorHAnsi" w:cstheme="minorBidi"/>
          <w:b w:val="0"/>
          <w:color w:val="auto"/>
          <w:sz w:val="20"/>
          <w:szCs w:val="20"/>
        </w:rPr>
        <w:t xml:space="preserve">Age Group and </w:t>
      </w:r>
      <w:r w:rsidR="008B6377" w:rsidRPr="00105FFC">
        <w:rPr>
          <w:rFonts w:asciiTheme="minorHAnsi" w:eastAsiaTheme="minorHAnsi" w:hAnsiTheme="minorHAnsi" w:cstheme="minorBidi"/>
          <w:b w:val="0"/>
          <w:color w:val="auto"/>
          <w:sz w:val="20"/>
          <w:szCs w:val="20"/>
        </w:rPr>
        <w:t>Delivery Syst</w:t>
      </w:r>
      <w:r w:rsidR="004B2AD1" w:rsidRPr="00105FFC">
        <w:rPr>
          <w:rFonts w:asciiTheme="minorHAnsi" w:eastAsiaTheme="minorHAnsi" w:hAnsiTheme="minorHAnsi" w:cstheme="minorBidi"/>
          <w:b w:val="0"/>
          <w:color w:val="auto"/>
          <w:sz w:val="20"/>
          <w:szCs w:val="20"/>
        </w:rPr>
        <w:t>em</w:t>
      </w:r>
      <w:bookmarkEnd w:id="108"/>
      <w:bookmarkEnd w:id="109"/>
      <w:bookmarkEnd w:id="110"/>
      <w:bookmarkEnd w:id="111"/>
    </w:p>
    <w:p w14:paraId="4FD8FE6C" w14:textId="77777777" w:rsidR="008B6377" w:rsidRPr="00105FFC" w:rsidRDefault="008B6377" w:rsidP="00D85A0B">
      <w:pPr>
        <w:spacing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noProof/>
          <w:sz w:val="22"/>
          <w:szCs w:val="22"/>
        </w:rPr>
        <w:lastRenderedPageBreak/>
        <w:drawing>
          <wp:inline distT="0" distB="0" distL="0" distR="0" wp14:anchorId="640DC809" wp14:editId="7FBFF8B4">
            <wp:extent cx="5943600" cy="2468880"/>
            <wp:effectExtent l="0" t="0" r="0" b="7620"/>
            <wp:docPr id="8" name="Chart 8" descr="Fee-for-Service: Ages 0-18 348,463; Ages 19-64 1,110,396; Ages 65+ 253,703&#10;Managed Care: Ages 0-18 1,303,714; Ages 19-64 3,788,744; Ages 65+ 611,909&#10;" title="Distribution of Certified Eligible Medi-Cal Beneficiaries Enrolled at any Point in 2015, by Age Group and Delivery System"/>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A5457B" w14:textId="77777777" w:rsidR="008B6377" w:rsidRPr="00105FFC" w:rsidRDefault="008B6377" w:rsidP="001A3F08">
      <w:pPr>
        <w:spacing w:line="276" w:lineRule="auto"/>
        <w:rPr>
          <w:rFonts w:asciiTheme="minorHAnsi" w:eastAsiaTheme="minorHAnsi" w:hAnsiTheme="minorHAnsi" w:cstheme="minorBidi"/>
          <w:sz w:val="16"/>
          <w:szCs w:val="16"/>
        </w:rPr>
      </w:pP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for 2015 and extracted in May 2015.</w:t>
      </w:r>
    </w:p>
    <w:p w14:paraId="29676E21" w14:textId="77777777" w:rsidR="001A3F08" w:rsidRPr="00105FFC" w:rsidRDefault="001A3F08" w:rsidP="001A3F08">
      <w:pPr>
        <w:spacing w:line="276" w:lineRule="auto"/>
        <w:rPr>
          <w:rFonts w:asciiTheme="minorHAnsi" w:eastAsiaTheme="minorHAnsi" w:hAnsiTheme="minorHAnsi" w:cstheme="minorBidi"/>
        </w:rPr>
      </w:pPr>
    </w:p>
    <w:p w14:paraId="7FF8B7C9" w14:textId="77777777" w:rsidR="008B6377" w:rsidRPr="00105FFC" w:rsidRDefault="008B6377"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The </w:t>
      </w:r>
      <w:r w:rsidR="00B62AD1" w:rsidRPr="00105FFC">
        <w:rPr>
          <w:rFonts w:asciiTheme="minorHAnsi" w:eastAsiaTheme="minorHAnsi" w:hAnsiTheme="minorHAnsi" w:cstheme="minorBidi"/>
        </w:rPr>
        <w:t>proportion</w:t>
      </w:r>
      <w:r w:rsidRPr="00105FFC">
        <w:rPr>
          <w:rFonts w:asciiTheme="minorHAnsi" w:eastAsiaTheme="minorHAnsi" w:hAnsiTheme="minorHAnsi" w:cstheme="minorBidi"/>
        </w:rPr>
        <w:t xml:space="preserve"> of individuals with a disability was relatively consistent between the FFS, managed care, and California populations (</w:t>
      </w:r>
      <w:r w:rsidR="00CD129F" w:rsidRPr="00105FFC">
        <w:rPr>
          <w:rFonts w:asciiTheme="minorHAnsi" w:eastAsiaTheme="minorHAnsi" w:hAnsiTheme="minorHAnsi" w:cstheme="minorBidi"/>
        </w:rPr>
        <w:t xml:space="preserve">Table </w:t>
      </w:r>
      <w:r w:rsidR="00D82233" w:rsidRPr="00105FFC">
        <w:rPr>
          <w:rFonts w:asciiTheme="minorHAnsi" w:eastAsiaTheme="minorHAnsi" w:hAnsiTheme="minorHAnsi" w:cstheme="minorBidi"/>
        </w:rPr>
        <w:t>8</w:t>
      </w:r>
      <w:r w:rsidR="00B62AD1" w:rsidRPr="00105FFC">
        <w:rPr>
          <w:rFonts w:asciiTheme="minorHAnsi" w:eastAsiaTheme="minorHAnsi" w:hAnsiTheme="minorHAnsi" w:cstheme="minorBidi"/>
        </w:rPr>
        <w:t>). T</w:t>
      </w:r>
      <w:r w:rsidRPr="00105FFC">
        <w:rPr>
          <w:rFonts w:asciiTheme="minorHAnsi" w:eastAsiaTheme="minorHAnsi" w:hAnsiTheme="minorHAnsi" w:cstheme="minorBidi"/>
        </w:rPr>
        <w:t xml:space="preserve">his may not mean that these populations are </w:t>
      </w:r>
      <w:r w:rsidR="00B62AD1" w:rsidRPr="00105FFC">
        <w:rPr>
          <w:rFonts w:asciiTheme="minorHAnsi" w:eastAsiaTheme="minorHAnsi" w:hAnsiTheme="minorHAnsi" w:cstheme="minorBidi"/>
        </w:rPr>
        <w:t xml:space="preserve">clinically </w:t>
      </w:r>
      <w:r w:rsidRPr="00105FFC">
        <w:rPr>
          <w:rFonts w:asciiTheme="minorHAnsi" w:eastAsiaTheme="minorHAnsi" w:hAnsiTheme="minorHAnsi" w:cstheme="minorBidi"/>
        </w:rPr>
        <w:t>similar</w:t>
      </w:r>
      <w:r w:rsidR="00B62AD1" w:rsidRPr="00105FFC">
        <w:rPr>
          <w:rFonts w:asciiTheme="minorHAnsi" w:eastAsiaTheme="minorHAnsi" w:hAnsiTheme="minorHAnsi" w:cstheme="minorBidi"/>
        </w:rPr>
        <w:t>,</w:t>
      </w:r>
      <w:r w:rsidRPr="00105FFC">
        <w:rPr>
          <w:rFonts w:asciiTheme="minorHAnsi" w:eastAsiaTheme="minorHAnsi" w:hAnsiTheme="minorHAnsi" w:cstheme="minorBidi"/>
        </w:rPr>
        <w:t xml:space="preserve"> however, as having a disability status does not indicate the severity or potential treatments needed for the disability.</w:t>
      </w:r>
      <w:r w:rsidR="00984063" w:rsidRPr="00105FFC">
        <w:rPr>
          <w:rFonts w:asciiTheme="minorHAnsi" w:eastAsiaTheme="minorHAnsi" w:hAnsiTheme="minorHAnsi" w:cstheme="minorBidi"/>
        </w:rPr>
        <w:t xml:space="preserve"> In addition, the method for collecting the status was based on two different methods, one involved a survey and one involved individuals meeting supplemental security income disability criteria.</w:t>
      </w:r>
    </w:p>
    <w:p w14:paraId="03AF8505" w14:textId="77777777" w:rsidR="001A3F08" w:rsidRPr="00105FFC" w:rsidRDefault="001A3F08" w:rsidP="001A3F08">
      <w:pPr>
        <w:spacing w:line="276" w:lineRule="auto"/>
        <w:rPr>
          <w:rFonts w:asciiTheme="minorHAnsi" w:eastAsiaTheme="minorHAnsi" w:hAnsiTheme="minorHAnsi" w:cstheme="minorBidi"/>
        </w:rPr>
      </w:pPr>
    </w:p>
    <w:p w14:paraId="7F8ED2F9" w14:textId="77777777" w:rsidR="008B6377" w:rsidRPr="00105FFC" w:rsidRDefault="00032652" w:rsidP="001A3F08">
      <w:pPr>
        <w:pStyle w:val="Caption"/>
        <w:spacing w:after="0"/>
        <w:rPr>
          <w:rFonts w:asciiTheme="minorHAnsi" w:eastAsiaTheme="minorHAnsi" w:hAnsiTheme="minorHAnsi" w:cstheme="minorBidi"/>
          <w:color w:val="auto"/>
          <w:sz w:val="20"/>
          <w:szCs w:val="20"/>
        </w:rPr>
      </w:pPr>
      <w:bookmarkStart w:id="112" w:name="_Toc458783083"/>
      <w:bookmarkStart w:id="113" w:name="_Toc459285153"/>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8</w:t>
      </w:r>
      <w:r w:rsidRPr="00105FFC">
        <w:rPr>
          <w:rFonts w:asciiTheme="minorHAnsi" w:hAnsiTheme="minorHAnsi"/>
          <w:color w:val="auto"/>
          <w:sz w:val="20"/>
          <w:szCs w:val="20"/>
        </w:rPr>
        <w:fldChar w:fldCharType="end"/>
      </w:r>
      <w:r w:rsidR="008B6377" w:rsidRPr="00105FFC">
        <w:rPr>
          <w:rFonts w:asciiTheme="minorHAnsi" w:eastAsiaTheme="minorHAnsi" w:hAnsiTheme="minorHAnsi" w:cstheme="minorBidi"/>
          <w:b w:val="0"/>
          <w:color w:val="auto"/>
          <w:sz w:val="20"/>
          <w:szCs w:val="20"/>
        </w:rPr>
        <w:t xml:space="preserve">: </w:t>
      </w:r>
      <w:r w:rsidR="00B62AD1" w:rsidRPr="00105FFC">
        <w:rPr>
          <w:rFonts w:asciiTheme="minorHAnsi" w:eastAsiaTheme="minorHAnsi" w:hAnsiTheme="minorHAnsi" w:cstheme="minorBidi"/>
          <w:b w:val="0"/>
          <w:color w:val="auto"/>
          <w:sz w:val="20"/>
          <w:szCs w:val="20"/>
        </w:rPr>
        <w:t>Proportion</w:t>
      </w:r>
      <w:r w:rsidR="008B6377" w:rsidRPr="00105FFC">
        <w:rPr>
          <w:rFonts w:asciiTheme="minorHAnsi" w:eastAsiaTheme="minorHAnsi" w:hAnsiTheme="minorHAnsi" w:cstheme="minorBidi"/>
          <w:b w:val="0"/>
          <w:color w:val="auto"/>
          <w:sz w:val="20"/>
          <w:szCs w:val="20"/>
        </w:rPr>
        <w:t xml:space="preserve"> of </w:t>
      </w:r>
      <w:r w:rsidR="00B62AD1" w:rsidRPr="00105FFC">
        <w:rPr>
          <w:rFonts w:asciiTheme="minorHAnsi" w:eastAsiaTheme="minorHAnsi" w:hAnsiTheme="minorHAnsi" w:cstheme="minorBidi"/>
          <w:b w:val="0"/>
          <w:color w:val="auto"/>
          <w:sz w:val="20"/>
          <w:szCs w:val="20"/>
        </w:rPr>
        <w:t xml:space="preserve">the </w:t>
      </w:r>
      <w:r w:rsidR="008B6377" w:rsidRPr="00105FFC">
        <w:rPr>
          <w:rFonts w:asciiTheme="minorHAnsi" w:eastAsiaTheme="minorHAnsi" w:hAnsiTheme="minorHAnsi" w:cstheme="minorBidi"/>
          <w:b w:val="0"/>
          <w:color w:val="auto"/>
          <w:sz w:val="20"/>
          <w:szCs w:val="20"/>
        </w:rPr>
        <w:t xml:space="preserve">Population with a Disability </w:t>
      </w:r>
      <w:r w:rsidR="00B62AD1" w:rsidRPr="00105FFC">
        <w:rPr>
          <w:rFonts w:asciiTheme="minorHAnsi" w:eastAsiaTheme="minorHAnsi" w:hAnsiTheme="minorHAnsi" w:cstheme="minorBidi"/>
          <w:b w:val="0"/>
          <w:color w:val="auto"/>
          <w:sz w:val="20"/>
          <w:szCs w:val="20"/>
        </w:rPr>
        <w:t xml:space="preserve">among Certified Eligible FFS Medi-Cal </w:t>
      </w:r>
      <w:r w:rsidR="008B6377" w:rsidRPr="00105FFC">
        <w:rPr>
          <w:rFonts w:asciiTheme="minorHAnsi" w:eastAsiaTheme="minorHAnsi" w:hAnsiTheme="minorHAnsi" w:cstheme="minorBidi"/>
          <w:b w:val="0"/>
          <w:color w:val="auto"/>
          <w:sz w:val="20"/>
          <w:szCs w:val="20"/>
        </w:rPr>
        <w:t xml:space="preserve">and Medi-Cal Managed Care </w:t>
      </w:r>
      <w:r w:rsidR="00B62AD1" w:rsidRPr="00105FFC">
        <w:rPr>
          <w:rFonts w:asciiTheme="minorHAnsi" w:eastAsiaTheme="minorHAnsi" w:hAnsiTheme="minorHAnsi" w:cstheme="minorBidi"/>
          <w:b w:val="0"/>
          <w:color w:val="auto"/>
          <w:sz w:val="20"/>
          <w:szCs w:val="20"/>
        </w:rPr>
        <w:t>Beneficiaries</w:t>
      </w:r>
      <w:r w:rsidR="008B6377" w:rsidRPr="00105FFC">
        <w:rPr>
          <w:rFonts w:asciiTheme="minorHAnsi" w:eastAsiaTheme="minorHAnsi" w:hAnsiTheme="minorHAnsi" w:cstheme="minorBidi"/>
          <w:b w:val="0"/>
          <w:color w:val="auto"/>
          <w:sz w:val="20"/>
          <w:szCs w:val="20"/>
        </w:rPr>
        <w:t xml:space="preserve"> in 20</w:t>
      </w:r>
      <w:r w:rsidR="00B62AD1" w:rsidRPr="00105FFC">
        <w:rPr>
          <w:rFonts w:asciiTheme="minorHAnsi" w:eastAsiaTheme="minorHAnsi" w:hAnsiTheme="minorHAnsi" w:cstheme="minorBidi"/>
          <w:b w:val="0"/>
          <w:color w:val="auto"/>
          <w:sz w:val="20"/>
          <w:szCs w:val="20"/>
        </w:rPr>
        <w:t>1</w:t>
      </w:r>
      <w:r w:rsidR="008B6377" w:rsidRPr="00105FFC">
        <w:rPr>
          <w:rFonts w:asciiTheme="minorHAnsi" w:eastAsiaTheme="minorHAnsi" w:hAnsiTheme="minorHAnsi" w:cstheme="minorBidi"/>
          <w:b w:val="0"/>
          <w:color w:val="auto"/>
          <w:sz w:val="20"/>
          <w:szCs w:val="20"/>
        </w:rPr>
        <w:t>5</w:t>
      </w:r>
      <w:r w:rsidR="00B62AD1" w:rsidRPr="00105FFC">
        <w:rPr>
          <w:rFonts w:asciiTheme="minorHAnsi" w:eastAsiaTheme="minorHAnsi" w:hAnsiTheme="minorHAnsi" w:cstheme="minorBidi"/>
          <w:b w:val="0"/>
          <w:color w:val="auto"/>
          <w:sz w:val="20"/>
          <w:szCs w:val="20"/>
        </w:rPr>
        <w:t xml:space="preserve">, and California Residents </w:t>
      </w:r>
      <w:r w:rsidR="008B6377" w:rsidRPr="00105FFC">
        <w:rPr>
          <w:rFonts w:asciiTheme="minorHAnsi" w:eastAsiaTheme="minorHAnsi" w:hAnsiTheme="minorHAnsi" w:cstheme="minorBidi"/>
          <w:b w:val="0"/>
          <w:color w:val="auto"/>
          <w:sz w:val="20"/>
          <w:szCs w:val="20"/>
        </w:rPr>
        <w:t>in 2014</w:t>
      </w:r>
      <w:bookmarkEnd w:id="112"/>
      <w:bookmarkEnd w:id="113"/>
    </w:p>
    <w:tbl>
      <w:tblPr>
        <w:tblStyle w:val="MediumList1-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78"/>
        <w:gridCol w:w="1980"/>
        <w:gridCol w:w="2250"/>
        <w:gridCol w:w="1368"/>
      </w:tblGrid>
      <w:tr w:rsidR="008B6377" w:rsidRPr="00105FFC" w14:paraId="378C9C82" w14:textId="77777777" w:rsidTr="00073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78" w:type="dxa"/>
            <w:tcBorders>
              <w:top w:val="none" w:sz="0" w:space="0" w:color="auto"/>
              <w:bottom w:val="none" w:sz="0" w:space="0" w:color="auto"/>
            </w:tcBorders>
          </w:tcPr>
          <w:p w14:paraId="2540A992" w14:textId="77777777" w:rsidR="008B6377" w:rsidRPr="00105FFC" w:rsidRDefault="00032652" w:rsidP="008B6377">
            <w:pPr>
              <w:contextualSpacing/>
              <w:rPr>
                <w:rFonts w:asciiTheme="minorHAnsi" w:eastAsiaTheme="minorHAnsi" w:hAnsiTheme="minorHAnsi" w:cstheme="minorBidi"/>
                <w:sz w:val="22"/>
                <w:szCs w:val="22"/>
              </w:rPr>
            </w:pPr>
            <w:r w:rsidRPr="00105FFC">
              <w:rPr>
                <w:rFonts w:asciiTheme="minorHAnsi" w:eastAsiaTheme="minorHAnsi" w:hAnsiTheme="minorHAnsi" w:cstheme="minorBidi"/>
                <w:color w:val="FFFFFF" w:themeColor="background1"/>
                <w:sz w:val="22"/>
                <w:szCs w:val="22"/>
              </w:rPr>
              <w:t>Percent of Population with a Disability</w:t>
            </w:r>
          </w:p>
        </w:tc>
        <w:tc>
          <w:tcPr>
            <w:tcW w:w="1980" w:type="dxa"/>
            <w:tcBorders>
              <w:top w:val="none" w:sz="0" w:space="0" w:color="auto"/>
              <w:bottom w:val="none" w:sz="0" w:space="0" w:color="auto"/>
            </w:tcBorders>
          </w:tcPr>
          <w:p w14:paraId="3CB61D7B" w14:textId="77777777" w:rsidR="008B6377" w:rsidRPr="00105FFC" w:rsidRDefault="008B6377" w:rsidP="008B637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Fee-for-Service</w:t>
            </w:r>
          </w:p>
        </w:tc>
        <w:tc>
          <w:tcPr>
            <w:tcW w:w="2250" w:type="dxa"/>
            <w:tcBorders>
              <w:top w:val="none" w:sz="0" w:space="0" w:color="auto"/>
              <w:bottom w:val="none" w:sz="0" w:space="0" w:color="auto"/>
            </w:tcBorders>
          </w:tcPr>
          <w:p w14:paraId="3195D08D" w14:textId="77777777" w:rsidR="008B6377" w:rsidRPr="00105FFC" w:rsidRDefault="008B6377" w:rsidP="008B637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Managed Care</w:t>
            </w:r>
          </w:p>
        </w:tc>
        <w:tc>
          <w:tcPr>
            <w:tcW w:w="1368" w:type="dxa"/>
            <w:tcBorders>
              <w:top w:val="none" w:sz="0" w:space="0" w:color="auto"/>
              <w:bottom w:val="none" w:sz="0" w:space="0" w:color="auto"/>
            </w:tcBorders>
          </w:tcPr>
          <w:p w14:paraId="5B6E7508" w14:textId="77777777" w:rsidR="008B6377" w:rsidRPr="00105FFC" w:rsidRDefault="008B6377" w:rsidP="00B62AD1">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California</w:t>
            </w:r>
          </w:p>
        </w:tc>
      </w:tr>
      <w:tr w:rsidR="008B6377" w:rsidRPr="00105FFC" w14:paraId="1016EF67" w14:textId="77777777" w:rsidTr="00032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285CF095" w14:textId="77777777" w:rsidR="008B6377" w:rsidRPr="00105FFC" w:rsidRDefault="008B6377" w:rsidP="008B6377">
            <w:pPr>
              <w:contextualSpacing/>
              <w:rPr>
                <w:rFonts w:asciiTheme="minorHAnsi" w:eastAsiaTheme="minorHAnsi" w:hAnsiTheme="minorHAnsi" w:cstheme="minorBidi"/>
                <w:b w:val="0"/>
                <w:sz w:val="22"/>
                <w:szCs w:val="22"/>
              </w:rPr>
            </w:pPr>
            <w:r w:rsidRPr="00105FFC">
              <w:rPr>
                <w:rFonts w:asciiTheme="minorHAnsi" w:eastAsiaTheme="minorHAnsi" w:hAnsiTheme="minorHAnsi" w:cstheme="minorBidi"/>
                <w:b w:val="0"/>
                <w:sz w:val="22"/>
                <w:szCs w:val="22"/>
              </w:rPr>
              <w:t>Percent of Population with a Disability</w:t>
            </w:r>
          </w:p>
        </w:tc>
        <w:tc>
          <w:tcPr>
            <w:tcW w:w="1980" w:type="dxa"/>
          </w:tcPr>
          <w:p w14:paraId="1086574D" w14:textId="77777777" w:rsidR="008B6377" w:rsidRPr="00105FFC" w:rsidRDefault="008B6377" w:rsidP="008B637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10.8%</w:t>
            </w:r>
          </w:p>
        </w:tc>
        <w:tc>
          <w:tcPr>
            <w:tcW w:w="2250" w:type="dxa"/>
          </w:tcPr>
          <w:p w14:paraId="0CCFF047" w14:textId="77777777" w:rsidR="008B6377" w:rsidRPr="00105FFC" w:rsidRDefault="008B6377" w:rsidP="008B637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10.2%</w:t>
            </w:r>
          </w:p>
        </w:tc>
        <w:tc>
          <w:tcPr>
            <w:tcW w:w="1368" w:type="dxa"/>
          </w:tcPr>
          <w:p w14:paraId="20419C53" w14:textId="77777777" w:rsidR="008B6377" w:rsidRPr="00105FFC" w:rsidRDefault="008B6377" w:rsidP="008B637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10.3%</w:t>
            </w:r>
          </w:p>
        </w:tc>
      </w:tr>
    </w:tbl>
    <w:p w14:paraId="5AEAEE53" w14:textId="77777777" w:rsidR="008B6377" w:rsidRPr="00105FFC" w:rsidRDefault="008B6377" w:rsidP="001A3F08">
      <w:pPr>
        <w:rPr>
          <w:rFonts w:asciiTheme="minorHAnsi" w:eastAsiaTheme="minorHAnsi" w:hAnsiTheme="minorHAnsi" w:cstheme="minorBidi"/>
          <w:sz w:val="16"/>
          <w:szCs w:val="16"/>
        </w:rPr>
      </w:pP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w:t>
      </w:r>
      <w:r w:rsidR="00B62AD1" w:rsidRPr="00105FFC">
        <w:rPr>
          <w:rFonts w:asciiTheme="minorHAnsi" w:eastAsiaTheme="minorHAnsi" w:hAnsiTheme="minorHAnsi" w:cstheme="minorBidi"/>
          <w:sz w:val="16"/>
          <w:szCs w:val="16"/>
        </w:rPr>
        <w:t>r 2015 and extracted in May 2016</w:t>
      </w:r>
      <w:r w:rsidRPr="00105FFC">
        <w:rPr>
          <w:rFonts w:asciiTheme="minorHAnsi" w:eastAsiaTheme="minorHAnsi" w:hAnsiTheme="minorHAnsi" w:cstheme="minorBidi"/>
          <w:sz w:val="16"/>
          <w:szCs w:val="16"/>
        </w:rPr>
        <w:t xml:space="preserve"> and the </w:t>
      </w:r>
      <w:r w:rsidRPr="00105FFC">
        <w:rPr>
          <w:rFonts w:asciiTheme="minorHAnsi" w:eastAsiaTheme="minorHAnsi" w:hAnsiTheme="minorHAnsi" w:cs="Arial"/>
          <w:color w:val="000000"/>
          <w:sz w:val="16"/>
          <w:szCs w:val="16"/>
          <w:shd w:val="clear" w:color="auto" w:fill="FFFFFF"/>
        </w:rPr>
        <w:t>U.S. Census Bureau, 2010-2014 American Community Survey 5-Year Estimates</w:t>
      </w:r>
      <w:r w:rsidR="00777C10" w:rsidRPr="00105FFC">
        <w:rPr>
          <w:rFonts w:asciiTheme="minorHAnsi" w:eastAsiaTheme="minorHAnsi" w:hAnsiTheme="minorHAnsi" w:cs="Arial"/>
          <w:color w:val="000000"/>
          <w:sz w:val="16"/>
          <w:szCs w:val="16"/>
          <w:shd w:val="clear" w:color="auto" w:fill="FFFFFF"/>
        </w:rPr>
        <w:t xml:space="preserve"> (includes Medi-Cal data)</w:t>
      </w:r>
      <w:r w:rsidR="00AF1CCC" w:rsidRPr="00105FFC">
        <w:rPr>
          <w:rFonts w:asciiTheme="minorHAnsi" w:eastAsiaTheme="minorHAnsi" w:hAnsiTheme="minorHAnsi" w:cstheme="minorBidi"/>
          <w:sz w:val="16"/>
          <w:szCs w:val="16"/>
        </w:rPr>
        <w:t xml:space="preserve">. </w:t>
      </w:r>
    </w:p>
    <w:p w14:paraId="01C5D0EE" w14:textId="77777777" w:rsidR="001A3F08" w:rsidRPr="00105FFC" w:rsidRDefault="001A3F08" w:rsidP="001A3F08">
      <w:pPr>
        <w:spacing w:line="276" w:lineRule="auto"/>
        <w:rPr>
          <w:rFonts w:asciiTheme="minorHAnsi" w:eastAsiaTheme="minorHAnsi" w:hAnsiTheme="minorHAnsi" w:cstheme="minorBidi"/>
        </w:rPr>
      </w:pPr>
    </w:p>
    <w:p w14:paraId="1CECE7B8" w14:textId="77777777" w:rsidR="008B6377" w:rsidRPr="00105FFC" w:rsidRDefault="00A9377E" w:rsidP="002D04D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Race/e</w:t>
      </w:r>
      <w:r w:rsidR="008B6377" w:rsidRPr="00105FFC">
        <w:rPr>
          <w:rFonts w:asciiTheme="minorHAnsi" w:eastAsiaTheme="minorHAnsi" w:hAnsiTheme="minorHAnsi" w:cstheme="minorBidi"/>
        </w:rPr>
        <w:t xml:space="preserve">thnicity is another factor that has </w:t>
      </w:r>
      <w:r w:rsidRPr="00105FFC">
        <w:rPr>
          <w:rFonts w:asciiTheme="minorHAnsi" w:eastAsiaTheme="minorHAnsi" w:hAnsiTheme="minorHAnsi" w:cstheme="minorBidi"/>
        </w:rPr>
        <w:t xml:space="preserve">been </w:t>
      </w:r>
      <w:r w:rsidR="008B6377" w:rsidRPr="00105FFC">
        <w:rPr>
          <w:rFonts w:asciiTheme="minorHAnsi" w:eastAsiaTheme="minorHAnsi" w:hAnsiTheme="minorHAnsi" w:cstheme="minorBidi"/>
        </w:rPr>
        <w:t xml:space="preserve">shown to </w:t>
      </w:r>
      <w:r w:rsidRPr="00105FFC">
        <w:rPr>
          <w:rFonts w:asciiTheme="minorHAnsi" w:eastAsiaTheme="minorHAnsi" w:hAnsiTheme="minorHAnsi" w:cstheme="minorBidi"/>
        </w:rPr>
        <w:t>affect</w:t>
      </w:r>
      <w:r w:rsidR="008B6377" w:rsidRPr="00105FFC">
        <w:rPr>
          <w:rFonts w:asciiTheme="minorHAnsi" w:eastAsiaTheme="minorHAnsi" w:hAnsiTheme="minorHAnsi" w:cstheme="minorBidi"/>
        </w:rPr>
        <w:t xml:space="preserve"> health outcomes.</w:t>
      </w:r>
      <w:r w:rsidR="008B6377" w:rsidRPr="00105FFC">
        <w:rPr>
          <w:rFonts w:asciiTheme="minorHAnsi" w:eastAsiaTheme="minorHAnsi" w:hAnsiTheme="minorHAnsi" w:cstheme="minorBidi"/>
          <w:vertAlign w:val="superscript"/>
        </w:rPr>
        <w:endnoteReference w:id="21"/>
      </w:r>
      <w:r w:rsidR="008B6377" w:rsidRPr="00105FFC">
        <w:rPr>
          <w:rFonts w:asciiTheme="minorHAnsi" w:eastAsiaTheme="minorHAnsi" w:hAnsiTheme="minorHAnsi" w:cstheme="minorBidi"/>
          <w:vertAlign w:val="superscript"/>
        </w:rPr>
        <w:t>,</w:t>
      </w:r>
      <w:r w:rsidR="008B6377" w:rsidRPr="00105FFC">
        <w:rPr>
          <w:rFonts w:asciiTheme="minorHAnsi" w:eastAsiaTheme="minorHAnsi" w:hAnsiTheme="minorHAnsi" w:cstheme="minorBidi"/>
        </w:rPr>
        <w:t xml:space="preserve"> </w:t>
      </w:r>
      <w:r w:rsidR="008B6377" w:rsidRPr="00105FFC">
        <w:rPr>
          <w:rFonts w:asciiTheme="minorHAnsi" w:eastAsiaTheme="minorHAnsi" w:hAnsiTheme="minorHAnsi" w:cstheme="minorBidi"/>
          <w:vertAlign w:val="superscript"/>
        </w:rPr>
        <w:endnoteReference w:id="22"/>
      </w:r>
      <w:r w:rsidR="00B62AD1" w:rsidRPr="00105FFC">
        <w:rPr>
          <w:rFonts w:asciiTheme="minorHAnsi" w:eastAsiaTheme="minorHAnsi" w:hAnsiTheme="minorHAnsi" w:cstheme="minorBidi"/>
        </w:rPr>
        <w:t xml:space="preserve"> </w:t>
      </w:r>
      <w:r w:rsidRPr="00105FFC">
        <w:rPr>
          <w:rFonts w:asciiTheme="minorHAnsi" w:eastAsiaTheme="minorHAnsi" w:hAnsiTheme="minorHAnsi" w:cstheme="minorBidi"/>
        </w:rPr>
        <w:t>In 2014-2015, t</w:t>
      </w:r>
      <w:r w:rsidR="008B6377" w:rsidRPr="00105FFC">
        <w:rPr>
          <w:rFonts w:asciiTheme="minorHAnsi" w:eastAsiaTheme="minorHAnsi" w:hAnsiTheme="minorHAnsi" w:cstheme="minorBidi"/>
        </w:rPr>
        <w:t xml:space="preserve">he Medi-Cal population was more </w:t>
      </w:r>
      <w:r w:rsidRPr="00105FFC">
        <w:rPr>
          <w:rFonts w:asciiTheme="minorHAnsi" w:eastAsiaTheme="minorHAnsi" w:hAnsiTheme="minorHAnsi" w:cstheme="minorBidi"/>
        </w:rPr>
        <w:t>racially diverse than California</w:t>
      </w:r>
      <w:r w:rsidR="00AE73E2" w:rsidRPr="00105FFC">
        <w:rPr>
          <w:rFonts w:asciiTheme="minorHAnsi" w:eastAsiaTheme="minorHAnsi" w:hAnsiTheme="minorHAnsi" w:cstheme="minorBidi"/>
        </w:rPr>
        <w:t xml:space="preserve"> as a whole</w:t>
      </w:r>
      <w:r w:rsidRPr="00105FFC">
        <w:rPr>
          <w:rFonts w:asciiTheme="minorHAnsi" w:eastAsiaTheme="minorHAnsi" w:hAnsiTheme="minorHAnsi" w:cstheme="minorBidi"/>
        </w:rPr>
        <w:t>. T</w:t>
      </w:r>
      <w:r w:rsidR="008B6377" w:rsidRPr="00105FFC">
        <w:rPr>
          <w:rFonts w:asciiTheme="minorHAnsi" w:eastAsiaTheme="minorHAnsi" w:hAnsiTheme="minorHAnsi" w:cstheme="minorBidi"/>
        </w:rPr>
        <w:t xml:space="preserve">he </w:t>
      </w:r>
      <w:r w:rsidRPr="00105FFC">
        <w:rPr>
          <w:rFonts w:asciiTheme="minorHAnsi" w:eastAsiaTheme="minorHAnsi" w:hAnsiTheme="minorHAnsi" w:cstheme="minorBidi"/>
        </w:rPr>
        <w:t>FFS Medi-Cal</w:t>
      </w:r>
      <w:r w:rsidR="008B6377" w:rsidRPr="00105FFC">
        <w:rPr>
          <w:rFonts w:asciiTheme="minorHAnsi" w:eastAsiaTheme="minorHAnsi" w:hAnsiTheme="minorHAnsi" w:cstheme="minorBidi"/>
        </w:rPr>
        <w:t xml:space="preserve"> population, while still diverse, was less diverse than </w:t>
      </w:r>
      <w:r w:rsidRPr="00105FFC">
        <w:rPr>
          <w:rFonts w:asciiTheme="minorHAnsi" w:eastAsiaTheme="minorHAnsi" w:hAnsiTheme="minorHAnsi" w:cstheme="minorBidi"/>
        </w:rPr>
        <w:t>the</w:t>
      </w:r>
      <w:r w:rsidR="008B6377" w:rsidRPr="00105FFC">
        <w:rPr>
          <w:rFonts w:asciiTheme="minorHAnsi" w:eastAsiaTheme="minorHAnsi" w:hAnsiTheme="minorHAnsi" w:cstheme="minorBidi"/>
        </w:rPr>
        <w:t xml:space="preserve"> managed care </w:t>
      </w:r>
      <w:r w:rsidRPr="00105FFC">
        <w:rPr>
          <w:rFonts w:asciiTheme="minorHAnsi" w:eastAsiaTheme="minorHAnsi" w:hAnsiTheme="minorHAnsi" w:cstheme="minorBidi"/>
        </w:rPr>
        <w:t xml:space="preserve">population </w:t>
      </w:r>
      <w:r w:rsidR="008B6377" w:rsidRPr="00105FFC">
        <w:rPr>
          <w:rFonts w:asciiTheme="minorHAnsi" w:eastAsiaTheme="minorHAnsi" w:hAnsiTheme="minorHAnsi" w:cstheme="minorBidi"/>
        </w:rPr>
        <w:t xml:space="preserve">(Figure </w:t>
      </w:r>
      <w:r w:rsidR="00CD129F" w:rsidRPr="00105FFC">
        <w:rPr>
          <w:rFonts w:asciiTheme="minorHAnsi" w:eastAsiaTheme="minorHAnsi" w:hAnsiTheme="minorHAnsi" w:cstheme="minorBidi"/>
        </w:rPr>
        <w:t>1</w:t>
      </w:r>
      <w:r w:rsidR="00AF1CCC" w:rsidRPr="00105FFC">
        <w:rPr>
          <w:rFonts w:asciiTheme="minorHAnsi" w:eastAsiaTheme="minorHAnsi" w:hAnsiTheme="minorHAnsi" w:cstheme="minorBidi"/>
        </w:rPr>
        <w:t>7</w:t>
      </w:r>
      <w:r w:rsidR="008B6377" w:rsidRPr="00105FFC">
        <w:rPr>
          <w:rFonts w:asciiTheme="minorHAnsi" w:eastAsiaTheme="minorHAnsi" w:hAnsiTheme="minorHAnsi" w:cstheme="minorBidi"/>
        </w:rPr>
        <w:t xml:space="preserve">).  </w:t>
      </w:r>
      <w:r w:rsidR="00AE73E2" w:rsidRPr="00105FFC">
        <w:rPr>
          <w:rFonts w:asciiTheme="minorHAnsi" w:eastAsiaTheme="minorHAnsi" w:hAnsiTheme="minorHAnsi" w:cstheme="minorBidi"/>
        </w:rPr>
        <w:t xml:space="preserve">The larger proportion of Hispanics participating in Medi-Cal’s traditional FFS delivery system was </w:t>
      </w:r>
      <w:r w:rsidR="008B6377" w:rsidRPr="00105FFC">
        <w:rPr>
          <w:rFonts w:asciiTheme="minorHAnsi" w:eastAsiaTheme="minorHAnsi" w:hAnsiTheme="minorHAnsi" w:cstheme="minorBidi"/>
        </w:rPr>
        <w:t>largely</w:t>
      </w:r>
      <w:r w:rsidR="00B62AD1" w:rsidRPr="00105FFC">
        <w:rPr>
          <w:rFonts w:asciiTheme="minorHAnsi" w:eastAsiaTheme="minorHAnsi" w:hAnsiTheme="minorHAnsi" w:cstheme="minorBidi"/>
        </w:rPr>
        <w:t xml:space="preserve"> due</w:t>
      </w:r>
      <w:r w:rsidRPr="00105FFC">
        <w:rPr>
          <w:rFonts w:asciiTheme="minorHAnsi" w:eastAsiaTheme="minorHAnsi" w:hAnsiTheme="minorHAnsi" w:cstheme="minorBidi"/>
        </w:rPr>
        <w:t xml:space="preserve"> to the U</w:t>
      </w:r>
      <w:r w:rsidR="008B6377" w:rsidRPr="00105FFC">
        <w:rPr>
          <w:rFonts w:asciiTheme="minorHAnsi" w:eastAsiaTheme="minorHAnsi" w:hAnsiTheme="minorHAnsi" w:cstheme="minorBidi"/>
        </w:rPr>
        <w:t>ndocumented population that can, for the most part, only receive services in the FFS delivery system</w:t>
      </w:r>
      <w:r w:rsidR="00B62AD1" w:rsidRPr="00105FFC">
        <w:rPr>
          <w:rFonts w:asciiTheme="minorHAnsi" w:eastAsiaTheme="minorHAnsi" w:hAnsiTheme="minorHAnsi" w:cstheme="minorBidi"/>
        </w:rPr>
        <w:t>.</w:t>
      </w:r>
      <w:r w:rsidR="00AE73E2" w:rsidRPr="00105FFC">
        <w:rPr>
          <w:rFonts w:asciiTheme="minorHAnsi" w:eastAsiaTheme="minorHAnsi" w:hAnsiTheme="minorHAnsi" w:cstheme="minorBidi"/>
        </w:rPr>
        <w:t xml:space="preserve">  Roughly </w:t>
      </w:r>
      <w:r w:rsidR="00BF2A5D" w:rsidRPr="00105FFC">
        <w:rPr>
          <w:rFonts w:asciiTheme="minorHAnsi" w:eastAsiaTheme="minorHAnsi" w:hAnsiTheme="minorHAnsi" w:cstheme="minorBidi"/>
        </w:rPr>
        <w:t>85</w:t>
      </w:r>
      <w:r w:rsidR="00AE73E2" w:rsidRPr="00105FFC">
        <w:rPr>
          <w:rFonts w:asciiTheme="minorHAnsi" w:eastAsiaTheme="minorHAnsi" w:hAnsiTheme="minorHAnsi" w:cstheme="minorBidi"/>
        </w:rPr>
        <w:t>% of the Undocumented aid code group is classified as Hispanic.</w:t>
      </w:r>
    </w:p>
    <w:p w14:paraId="4F35D8C1" w14:textId="77777777" w:rsidR="001A3F08" w:rsidRPr="00105FFC" w:rsidRDefault="001A3F08">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lastRenderedPageBreak/>
        <w:br w:type="page"/>
      </w:r>
    </w:p>
    <w:p w14:paraId="5FC94871" w14:textId="77777777" w:rsidR="008B6377" w:rsidRPr="00105FFC" w:rsidRDefault="00EC7FC9" w:rsidP="00AF1CCC">
      <w:pPr>
        <w:pStyle w:val="Caption"/>
        <w:spacing w:after="120"/>
        <w:rPr>
          <w:rFonts w:asciiTheme="minorHAnsi" w:eastAsiaTheme="minorHAnsi" w:hAnsiTheme="minorHAnsi" w:cstheme="minorBidi"/>
          <w:color w:val="auto"/>
          <w:sz w:val="20"/>
          <w:szCs w:val="20"/>
        </w:rPr>
      </w:pPr>
      <w:bookmarkStart w:id="114" w:name="_Toc458782955"/>
      <w:bookmarkStart w:id="115" w:name="_Toc459285066"/>
      <w:bookmarkStart w:id="116" w:name="_Toc459285257"/>
      <w:bookmarkStart w:id="117" w:name="_Toc459286698"/>
      <w:r w:rsidRPr="00105FFC">
        <w:rPr>
          <w:rFonts w:asciiTheme="minorHAnsi" w:hAnsiTheme="minorHAnsi"/>
          <w:color w:val="auto"/>
        </w:rPr>
        <w:lastRenderedPageBreak/>
        <w:t xml:space="preserve">Figure </w:t>
      </w:r>
      <w:r w:rsidRPr="00105FFC">
        <w:rPr>
          <w:rFonts w:asciiTheme="minorHAnsi" w:hAnsiTheme="minorHAnsi"/>
          <w:color w:val="auto"/>
        </w:rPr>
        <w:fldChar w:fldCharType="begin"/>
      </w:r>
      <w:r w:rsidRPr="00105FFC">
        <w:rPr>
          <w:rFonts w:asciiTheme="minorHAnsi" w:hAnsiTheme="minorHAnsi"/>
          <w:color w:val="auto"/>
        </w:rPr>
        <w:instrText xml:space="preserve"> SEQ Figure \* ARABIC </w:instrText>
      </w:r>
      <w:r w:rsidRPr="00105FFC">
        <w:rPr>
          <w:rFonts w:asciiTheme="minorHAnsi" w:hAnsiTheme="minorHAnsi"/>
          <w:color w:val="auto"/>
        </w:rPr>
        <w:fldChar w:fldCharType="separate"/>
      </w:r>
      <w:r w:rsidR="000E1B8E">
        <w:rPr>
          <w:rFonts w:asciiTheme="minorHAnsi" w:hAnsiTheme="minorHAnsi"/>
          <w:noProof/>
          <w:color w:val="auto"/>
        </w:rPr>
        <w:t>17</w:t>
      </w:r>
      <w:r w:rsidRPr="00105FFC">
        <w:rPr>
          <w:rFonts w:asciiTheme="minorHAnsi" w:hAnsiTheme="minorHAnsi"/>
          <w:color w:val="auto"/>
        </w:rPr>
        <w:fldChar w:fldCharType="end"/>
      </w:r>
      <w:r w:rsidR="008B6377" w:rsidRPr="00105FFC">
        <w:rPr>
          <w:rFonts w:asciiTheme="minorHAnsi" w:eastAsiaTheme="minorHAnsi" w:hAnsiTheme="minorHAnsi" w:cstheme="minorBidi"/>
          <w:b w:val="0"/>
          <w:color w:val="auto"/>
          <w:sz w:val="20"/>
          <w:szCs w:val="20"/>
        </w:rPr>
        <w:t>:</w:t>
      </w:r>
      <w:r w:rsidR="008B6377" w:rsidRPr="00105FFC">
        <w:rPr>
          <w:rFonts w:asciiTheme="minorHAnsi" w:eastAsiaTheme="minorHAnsi" w:hAnsiTheme="minorHAnsi" w:cstheme="minorBidi"/>
          <w:color w:val="auto"/>
          <w:sz w:val="20"/>
          <w:szCs w:val="20"/>
        </w:rPr>
        <w:t xml:space="preserve"> </w:t>
      </w:r>
      <w:r w:rsidR="00B62AD1" w:rsidRPr="00105FFC">
        <w:rPr>
          <w:rFonts w:asciiTheme="minorHAnsi" w:eastAsiaTheme="minorHAnsi" w:hAnsiTheme="minorHAnsi" w:cstheme="minorBidi"/>
          <w:b w:val="0"/>
          <w:color w:val="auto"/>
          <w:sz w:val="20"/>
          <w:szCs w:val="20"/>
        </w:rPr>
        <w:t xml:space="preserve">Distribution of Certified Eligible FFS Medi-Cal and Medi-Cal Managed Care Beneficiaries </w:t>
      </w:r>
      <w:r w:rsidR="00984063" w:rsidRPr="00105FFC">
        <w:rPr>
          <w:rFonts w:asciiTheme="minorHAnsi" w:eastAsiaTheme="minorHAnsi" w:hAnsiTheme="minorHAnsi" w:cstheme="minorBidi"/>
          <w:b w:val="0"/>
          <w:color w:val="auto"/>
          <w:sz w:val="20"/>
          <w:szCs w:val="20"/>
        </w:rPr>
        <w:t xml:space="preserve">Enrolled at any Point </w:t>
      </w:r>
      <w:r w:rsidR="00B62AD1" w:rsidRPr="00105FFC">
        <w:rPr>
          <w:rFonts w:asciiTheme="minorHAnsi" w:eastAsiaTheme="minorHAnsi" w:hAnsiTheme="minorHAnsi" w:cstheme="minorBidi"/>
          <w:b w:val="0"/>
          <w:color w:val="auto"/>
          <w:sz w:val="20"/>
          <w:szCs w:val="20"/>
        </w:rPr>
        <w:t>in 2015, and California Residents in 2014, by Race/Ethnicity</w:t>
      </w:r>
      <w:bookmarkEnd w:id="114"/>
      <w:bookmarkEnd w:id="115"/>
      <w:bookmarkEnd w:id="116"/>
      <w:bookmarkEnd w:id="117"/>
    </w:p>
    <w:p w14:paraId="47ECF935" w14:textId="77777777" w:rsidR="008B6377" w:rsidRPr="00105FFC" w:rsidRDefault="008B6377" w:rsidP="002D04DA">
      <w:pPr>
        <w:spacing w:after="120" w:line="276" w:lineRule="auto"/>
        <w:contextualSpacing/>
        <w:rPr>
          <w:rFonts w:asciiTheme="minorHAnsi" w:eastAsiaTheme="minorHAnsi" w:hAnsiTheme="minorHAnsi" w:cstheme="minorBidi"/>
          <w:sz w:val="22"/>
          <w:szCs w:val="22"/>
        </w:rPr>
      </w:pPr>
      <w:r w:rsidRPr="00105FFC">
        <w:rPr>
          <w:rFonts w:asciiTheme="minorHAnsi" w:eastAsiaTheme="minorHAnsi" w:hAnsiTheme="minorHAnsi" w:cstheme="minorBidi"/>
          <w:noProof/>
          <w:sz w:val="22"/>
          <w:szCs w:val="22"/>
        </w:rPr>
        <w:drawing>
          <wp:inline distT="0" distB="0" distL="0" distR="0" wp14:anchorId="02B4FFC4" wp14:editId="74C4A4BE">
            <wp:extent cx="5943600" cy="2468880"/>
            <wp:effectExtent l="0" t="0" r="0" b="7620"/>
            <wp:docPr id="9" name="Chart 9" descr="Fee-for-Service: African-American 5.5%; AI/AN 0.3%; Asian 9.2%; Hispanic 58.8%; Not Reported 10.7%; White 15.5%&#10;Managed Care: African-American 8.4%; AI/AN 0.4%; Asian 12.7%; Hispanic 46.9%; Not Reported 10.4%; White 21.2%&#10;California: African-American 5.7%; AI/AN 0.4%; Asian 13.3%; Hispanic 38.2%; Not Reported 3.3%; White 39.2%&#10;" title="Distribution of Certified Eligible FFS Medi-Cal and Medi-Cal Managed Care Beneficiaries Enrolled at any Point in 2015, and California Residents in 2014,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213E25" w14:textId="77777777" w:rsidR="008B6377" w:rsidRPr="00105FFC" w:rsidRDefault="008B6377" w:rsidP="001A3F08">
      <w:pPr>
        <w:rPr>
          <w:rFonts w:asciiTheme="minorHAnsi" w:eastAsiaTheme="minorHAnsi" w:hAnsiTheme="minorHAnsi" w:cstheme="minorBidi"/>
          <w:sz w:val="16"/>
          <w:szCs w:val="16"/>
        </w:rPr>
      </w:pP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for 2015 and extracted in May 2015 and the </w:t>
      </w:r>
      <w:r w:rsidRPr="00105FFC">
        <w:rPr>
          <w:rFonts w:asciiTheme="minorHAnsi" w:eastAsiaTheme="minorHAnsi" w:hAnsiTheme="minorHAnsi" w:cs="Arial"/>
          <w:color w:val="000000"/>
          <w:sz w:val="16"/>
          <w:szCs w:val="16"/>
          <w:shd w:val="clear" w:color="auto" w:fill="FFFFFF"/>
        </w:rPr>
        <w:t>U.S. Census Bureau, 2010-2014 American Community Survey 5-Year Estimates</w:t>
      </w:r>
      <w:r w:rsidR="00AF1CCC" w:rsidRPr="00105FFC">
        <w:rPr>
          <w:rFonts w:asciiTheme="minorHAnsi" w:eastAsiaTheme="minorHAnsi" w:hAnsiTheme="minorHAnsi" w:cstheme="minorBidi"/>
          <w:sz w:val="16"/>
          <w:szCs w:val="16"/>
        </w:rPr>
        <w:t xml:space="preserve">. </w:t>
      </w:r>
    </w:p>
    <w:p w14:paraId="3B59EDC1" w14:textId="77777777" w:rsidR="001A3F08" w:rsidRPr="00105FFC" w:rsidRDefault="001A3F08" w:rsidP="001A3F08">
      <w:pPr>
        <w:spacing w:line="276" w:lineRule="auto"/>
        <w:rPr>
          <w:rFonts w:asciiTheme="minorHAnsi" w:eastAsiaTheme="minorHAnsi" w:hAnsiTheme="minorHAnsi" w:cstheme="minorBidi"/>
        </w:rPr>
      </w:pPr>
    </w:p>
    <w:p w14:paraId="0402D690" w14:textId="77777777" w:rsidR="008B6377" w:rsidRPr="00105FFC" w:rsidRDefault="00B43BB5" w:rsidP="002D04DA">
      <w:pPr>
        <w:spacing w:after="120" w:line="276" w:lineRule="auto"/>
        <w:rPr>
          <w:rFonts w:asciiTheme="minorHAnsi" w:eastAsiaTheme="minorHAnsi" w:hAnsiTheme="minorHAnsi" w:cstheme="minorBidi"/>
        </w:rPr>
      </w:pPr>
      <w:r>
        <w:rPr>
          <w:rFonts w:asciiTheme="minorHAnsi" w:eastAsiaTheme="minorHAnsi" w:hAnsiTheme="minorHAnsi" w:cstheme="minorBidi"/>
        </w:rPr>
        <w:t>I</w:t>
      </w:r>
      <w:r w:rsidR="008B6377" w:rsidRPr="00105FFC">
        <w:rPr>
          <w:rFonts w:asciiTheme="minorHAnsi" w:eastAsiaTheme="minorHAnsi" w:hAnsiTheme="minorHAnsi" w:cstheme="minorBidi"/>
        </w:rPr>
        <w:t xml:space="preserve">t is </w:t>
      </w:r>
      <w:r>
        <w:rPr>
          <w:rFonts w:asciiTheme="minorHAnsi" w:eastAsiaTheme="minorHAnsi" w:hAnsiTheme="minorHAnsi" w:cstheme="minorBidi"/>
        </w:rPr>
        <w:t xml:space="preserve">also </w:t>
      </w:r>
      <w:r w:rsidR="008B6377" w:rsidRPr="00105FFC">
        <w:rPr>
          <w:rFonts w:asciiTheme="minorHAnsi" w:eastAsiaTheme="minorHAnsi" w:hAnsiTheme="minorHAnsi" w:cstheme="minorBidi"/>
        </w:rPr>
        <w:t xml:space="preserve">important to </w:t>
      </w:r>
      <w:r>
        <w:rPr>
          <w:rFonts w:asciiTheme="minorHAnsi" w:eastAsiaTheme="minorHAnsi" w:hAnsiTheme="minorHAnsi" w:cstheme="minorBidi"/>
        </w:rPr>
        <w:t>examine</w:t>
      </w:r>
      <w:r w:rsidR="008B6377" w:rsidRPr="00105FFC">
        <w:rPr>
          <w:rFonts w:asciiTheme="minorHAnsi" w:eastAsiaTheme="minorHAnsi" w:hAnsiTheme="minorHAnsi" w:cstheme="minorBidi"/>
        </w:rPr>
        <w:t xml:space="preserve"> the distribution of primary language</w:t>
      </w:r>
      <w:r w:rsidR="001118E3" w:rsidRPr="00105FFC">
        <w:rPr>
          <w:rFonts w:asciiTheme="minorHAnsi" w:eastAsiaTheme="minorHAnsi" w:hAnsiTheme="minorHAnsi" w:cstheme="minorBidi"/>
        </w:rPr>
        <w:t>s</w:t>
      </w:r>
      <w:r w:rsidR="008B6377" w:rsidRPr="00105FFC">
        <w:rPr>
          <w:rFonts w:asciiTheme="minorHAnsi" w:eastAsiaTheme="minorHAnsi" w:hAnsiTheme="minorHAnsi" w:cstheme="minorBidi"/>
        </w:rPr>
        <w:t xml:space="preserve"> within the Medi-Cal population to </w:t>
      </w:r>
      <w:r w:rsidR="001118E3" w:rsidRPr="00105FFC">
        <w:rPr>
          <w:rFonts w:asciiTheme="minorHAnsi" w:eastAsiaTheme="minorHAnsi" w:hAnsiTheme="minorHAnsi" w:cstheme="minorBidi"/>
        </w:rPr>
        <w:t>better understand factors that may influence</w:t>
      </w:r>
      <w:r w:rsidR="008B6377" w:rsidRPr="00105FFC">
        <w:rPr>
          <w:rFonts w:asciiTheme="minorHAnsi" w:eastAsiaTheme="minorHAnsi" w:hAnsiTheme="minorHAnsi" w:cstheme="minorBidi"/>
        </w:rPr>
        <w:t xml:space="preserve"> </w:t>
      </w:r>
      <w:r w:rsidR="001118E3" w:rsidRPr="00105FFC">
        <w:rPr>
          <w:rFonts w:asciiTheme="minorHAnsi" w:eastAsiaTheme="minorHAnsi" w:hAnsiTheme="minorHAnsi" w:cstheme="minorBidi"/>
        </w:rPr>
        <w:t>FFS beneficiaries’</w:t>
      </w:r>
      <w:r w:rsidR="008B6377" w:rsidRPr="00105FFC">
        <w:rPr>
          <w:rFonts w:asciiTheme="minorHAnsi" w:eastAsiaTheme="minorHAnsi" w:hAnsiTheme="minorHAnsi" w:cstheme="minorBidi"/>
        </w:rPr>
        <w:t xml:space="preserve"> access to care. In managed care, the largest group </w:t>
      </w:r>
      <w:r w:rsidR="00B62AD1" w:rsidRPr="00105FFC">
        <w:rPr>
          <w:rFonts w:asciiTheme="minorHAnsi" w:eastAsiaTheme="minorHAnsi" w:hAnsiTheme="minorHAnsi" w:cstheme="minorBidi"/>
        </w:rPr>
        <w:t>were</w:t>
      </w:r>
      <w:r w:rsidR="008B6377" w:rsidRPr="00105FFC">
        <w:rPr>
          <w:rFonts w:asciiTheme="minorHAnsi" w:eastAsiaTheme="minorHAnsi" w:hAnsiTheme="minorHAnsi" w:cstheme="minorBidi"/>
        </w:rPr>
        <w:t xml:space="preserve"> those who spoke English</w:t>
      </w:r>
      <w:r w:rsidR="001118E3" w:rsidRPr="00105FFC">
        <w:rPr>
          <w:rFonts w:asciiTheme="minorHAnsi" w:eastAsiaTheme="minorHAnsi" w:hAnsiTheme="minorHAnsi" w:cstheme="minorBidi"/>
        </w:rPr>
        <w:t xml:space="preserve"> as a primary language</w:t>
      </w:r>
      <w:r w:rsidR="008B6377" w:rsidRPr="00105FFC">
        <w:rPr>
          <w:rFonts w:asciiTheme="minorHAnsi" w:eastAsiaTheme="minorHAnsi" w:hAnsiTheme="minorHAnsi" w:cstheme="minorBidi"/>
        </w:rPr>
        <w:t xml:space="preserve"> (64</w:t>
      </w:r>
      <w:r w:rsidR="0032460D" w:rsidRPr="00105FFC">
        <w:rPr>
          <w:rFonts w:asciiTheme="minorHAnsi" w:eastAsiaTheme="minorHAnsi" w:hAnsiTheme="minorHAnsi" w:cstheme="minorBidi"/>
        </w:rPr>
        <w:t>.0</w:t>
      </w:r>
      <w:r w:rsidR="008B6377" w:rsidRPr="00105FFC">
        <w:rPr>
          <w:rFonts w:asciiTheme="minorHAnsi" w:eastAsiaTheme="minorHAnsi" w:hAnsiTheme="minorHAnsi" w:cstheme="minorBidi"/>
        </w:rPr>
        <w:t>%).  By comparison, the most common primary</w:t>
      </w:r>
      <w:r w:rsidR="001118E3" w:rsidRPr="00105FFC">
        <w:rPr>
          <w:rFonts w:asciiTheme="minorHAnsi" w:eastAsiaTheme="minorHAnsi" w:hAnsiTheme="minorHAnsi" w:cstheme="minorBidi"/>
        </w:rPr>
        <w:t xml:space="preserve"> language spoken in the</w:t>
      </w:r>
      <w:r w:rsidR="008B6377" w:rsidRPr="00105FFC">
        <w:rPr>
          <w:rFonts w:asciiTheme="minorHAnsi" w:eastAsiaTheme="minorHAnsi" w:hAnsiTheme="minorHAnsi" w:cstheme="minorBidi"/>
        </w:rPr>
        <w:t xml:space="preserve"> </w:t>
      </w:r>
      <w:r w:rsidR="001118E3" w:rsidRPr="00105FFC">
        <w:rPr>
          <w:rFonts w:asciiTheme="minorHAnsi" w:eastAsiaTheme="minorHAnsi" w:hAnsiTheme="minorHAnsi" w:cstheme="minorBidi"/>
        </w:rPr>
        <w:t>FFS population was Spanish (</w:t>
      </w:r>
      <w:r w:rsidR="008B6377" w:rsidRPr="00105FFC">
        <w:rPr>
          <w:rFonts w:asciiTheme="minorHAnsi" w:eastAsiaTheme="minorHAnsi" w:hAnsiTheme="minorHAnsi" w:cstheme="minorBidi"/>
        </w:rPr>
        <w:t>50</w:t>
      </w:r>
      <w:r w:rsidR="0032460D" w:rsidRPr="00105FFC">
        <w:rPr>
          <w:rFonts w:asciiTheme="minorHAnsi" w:eastAsiaTheme="minorHAnsi" w:hAnsiTheme="minorHAnsi" w:cstheme="minorBidi"/>
        </w:rPr>
        <w:t>.0</w:t>
      </w:r>
      <w:r w:rsidR="008B6377" w:rsidRPr="00105FFC">
        <w:rPr>
          <w:rFonts w:asciiTheme="minorHAnsi" w:eastAsiaTheme="minorHAnsi" w:hAnsiTheme="minorHAnsi" w:cstheme="minorBidi"/>
        </w:rPr>
        <w:t>%</w:t>
      </w:r>
      <w:r w:rsidR="001118E3" w:rsidRPr="00105FFC">
        <w:rPr>
          <w:rFonts w:asciiTheme="minorHAnsi" w:eastAsiaTheme="minorHAnsi" w:hAnsiTheme="minorHAnsi" w:cstheme="minorBidi"/>
        </w:rPr>
        <w:t>)</w:t>
      </w:r>
      <w:r w:rsidR="008B6377" w:rsidRPr="00105FFC">
        <w:rPr>
          <w:rFonts w:asciiTheme="minorHAnsi" w:eastAsiaTheme="minorHAnsi" w:hAnsiTheme="minorHAnsi" w:cstheme="minorBidi"/>
        </w:rPr>
        <w:t xml:space="preserve"> (Figure </w:t>
      </w:r>
      <w:r w:rsidR="00CD129F" w:rsidRPr="00105FFC">
        <w:rPr>
          <w:rFonts w:asciiTheme="minorHAnsi" w:eastAsiaTheme="minorHAnsi" w:hAnsiTheme="minorHAnsi" w:cstheme="minorBidi"/>
        </w:rPr>
        <w:t>1</w:t>
      </w:r>
      <w:r w:rsidR="00AF1CCC" w:rsidRPr="00105FFC">
        <w:rPr>
          <w:rFonts w:asciiTheme="minorHAnsi" w:eastAsiaTheme="minorHAnsi" w:hAnsiTheme="minorHAnsi" w:cstheme="minorBidi"/>
        </w:rPr>
        <w:t>8</w:t>
      </w:r>
      <w:r w:rsidR="008B6377" w:rsidRPr="00105FFC">
        <w:rPr>
          <w:rFonts w:asciiTheme="minorHAnsi" w:eastAsiaTheme="minorHAnsi" w:hAnsiTheme="minorHAnsi" w:cstheme="minorBidi"/>
        </w:rPr>
        <w:t xml:space="preserve">). </w:t>
      </w:r>
      <w:r w:rsidR="0057032E" w:rsidRPr="00105FFC">
        <w:rPr>
          <w:rFonts w:asciiTheme="minorHAnsi" w:eastAsiaTheme="minorHAnsi" w:hAnsiTheme="minorHAnsi" w:cstheme="minorBidi"/>
        </w:rPr>
        <w:t xml:space="preserve"> Again, the dominance of Spanish as a spoken language is primarily the result of the fact that Undocumented individuals generally participate in Medi-Cal’s FFS delivery system only.</w:t>
      </w:r>
    </w:p>
    <w:p w14:paraId="7BEE16CB" w14:textId="77777777" w:rsidR="008B6377" w:rsidRPr="00105FFC" w:rsidRDefault="008B6377" w:rsidP="002D04DA">
      <w:pPr>
        <w:spacing w:after="120" w:line="276" w:lineRule="auto"/>
        <w:contextualSpacing/>
        <w:rPr>
          <w:rFonts w:asciiTheme="minorHAnsi" w:eastAsiaTheme="minorHAnsi" w:hAnsiTheme="minorHAnsi" w:cstheme="minorBidi"/>
          <w:b/>
          <w:sz w:val="22"/>
          <w:szCs w:val="22"/>
        </w:rPr>
      </w:pPr>
    </w:p>
    <w:p w14:paraId="77ED6AB2" w14:textId="77777777" w:rsidR="00300C03" w:rsidRPr="00105FFC" w:rsidRDefault="00300C03" w:rsidP="002D04DA">
      <w:pPr>
        <w:spacing w:after="120" w:line="276" w:lineRule="auto"/>
        <w:contextualSpacing/>
        <w:rPr>
          <w:rFonts w:asciiTheme="minorHAnsi" w:eastAsiaTheme="minorHAnsi" w:hAnsiTheme="minorHAnsi" w:cstheme="minorBidi"/>
          <w:b/>
          <w:sz w:val="22"/>
          <w:szCs w:val="22"/>
        </w:rPr>
      </w:pPr>
    </w:p>
    <w:p w14:paraId="6A231FBB" w14:textId="77777777" w:rsidR="008B6377" w:rsidRPr="00105FFC" w:rsidRDefault="005238F4" w:rsidP="00D85A0B">
      <w:pPr>
        <w:pStyle w:val="Caption"/>
        <w:spacing w:after="0"/>
        <w:rPr>
          <w:rFonts w:asciiTheme="minorHAnsi" w:eastAsiaTheme="minorHAnsi" w:hAnsiTheme="minorHAnsi" w:cstheme="minorBidi"/>
          <w:color w:val="auto"/>
          <w:sz w:val="20"/>
          <w:szCs w:val="20"/>
        </w:rPr>
      </w:pPr>
      <w:bookmarkStart w:id="118" w:name="_Toc458782956"/>
      <w:bookmarkStart w:id="119" w:name="_Toc459285067"/>
      <w:bookmarkStart w:id="120" w:name="_Toc459285258"/>
      <w:bookmarkStart w:id="121" w:name="_Toc459286699"/>
      <w:r w:rsidRPr="00105FFC">
        <w:rPr>
          <w:rFonts w:asciiTheme="minorHAnsi" w:hAnsiTheme="minorHAnsi"/>
          <w:color w:val="auto"/>
          <w:sz w:val="20"/>
          <w:szCs w:val="20"/>
        </w:rPr>
        <w:lastRenderedPageBreak/>
        <w:t xml:space="preserve">Figure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Figure \* ARABIC </w:instrText>
      </w:r>
      <w:r w:rsidRPr="00105FFC">
        <w:rPr>
          <w:rFonts w:asciiTheme="minorHAnsi" w:hAnsiTheme="minorHAnsi"/>
          <w:color w:val="auto"/>
          <w:sz w:val="20"/>
          <w:szCs w:val="20"/>
        </w:rPr>
        <w:fldChar w:fldCharType="separate"/>
      </w:r>
      <w:r w:rsidR="000E1B8E">
        <w:rPr>
          <w:rFonts w:asciiTheme="minorHAnsi" w:hAnsiTheme="minorHAnsi"/>
          <w:noProof/>
          <w:color w:val="auto"/>
          <w:sz w:val="20"/>
          <w:szCs w:val="20"/>
        </w:rPr>
        <w:t>18</w:t>
      </w:r>
      <w:r w:rsidRPr="00105FFC">
        <w:rPr>
          <w:rFonts w:asciiTheme="minorHAnsi" w:hAnsiTheme="minorHAnsi"/>
          <w:color w:val="auto"/>
          <w:sz w:val="20"/>
          <w:szCs w:val="20"/>
        </w:rPr>
        <w:fldChar w:fldCharType="end"/>
      </w:r>
      <w:r w:rsidR="008B6377" w:rsidRPr="00105FFC">
        <w:rPr>
          <w:rFonts w:asciiTheme="minorHAnsi" w:eastAsiaTheme="minorHAnsi" w:hAnsiTheme="minorHAnsi" w:cstheme="minorBidi"/>
          <w:b w:val="0"/>
          <w:color w:val="auto"/>
          <w:sz w:val="20"/>
          <w:szCs w:val="20"/>
        </w:rPr>
        <w:t>:</w:t>
      </w:r>
      <w:r w:rsidR="008B6377" w:rsidRPr="00105FFC">
        <w:rPr>
          <w:rFonts w:asciiTheme="minorHAnsi" w:eastAsiaTheme="minorHAnsi" w:hAnsiTheme="minorHAnsi" w:cstheme="minorBidi"/>
          <w:color w:val="auto"/>
          <w:sz w:val="20"/>
          <w:szCs w:val="20"/>
        </w:rPr>
        <w:t xml:space="preserve"> </w:t>
      </w:r>
      <w:r w:rsidR="008B6377" w:rsidRPr="00105FFC">
        <w:rPr>
          <w:rFonts w:asciiTheme="minorHAnsi" w:eastAsiaTheme="minorHAnsi" w:hAnsiTheme="minorHAnsi" w:cstheme="minorBidi"/>
          <w:b w:val="0"/>
          <w:color w:val="auto"/>
          <w:sz w:val="20"/>
          <w:szCs w:val="20"/>
        </w:rPr>
        <w:t xml:space="preserve">Distribution of </w:t>
      </w:r>
      <w:r w:rsidR="001118E3" w:rsidRPr="00105FFC">
        <w:rPr>
          <w:rFonts w:asciiTheme="minorHAnsi" w:eastAsiaTheme="minorHAnsi" w:hAnsiTheme="minorHAnsi" w:cstheme="minorBidi"/>
          <w:b w:val="0"/>
          <w:color w:val="auto"/>
          <w:sz w:val="20"/>
          <w:szCs w:val="20"/>
        </w:rPr>
        <w:t>Certified Eligible</w:t>
      </w:r>
      <w:r w:rsidR="008B6377" w:rsidRPr="00105FFC">
        <w:rPr>
          <w:rFonts w:asciiTheme="minorHAnsi" w:eastAsiaTheme="minorHAnsi" w:hAnsiTheme="minorHAnsi" w:cstheme="minorBidi"/>
          <w:b w:val="0"/>
          <w:color w:val="auto"/>
          <w:sz w:val="20"/>
          <w:szCs w:val="20"/>
        </w:rPr>
        <w:t xml:space="preserve"> Medi-Cal </w:t>
      </w:r>
      <w:r w:rsidR="001118E3" w:rsidRPr="00105FFC">
        <w:rPr>
          <w:rFonts w:asciiTheme="minorHAnsi" w:eastAsiaTheme="minorHAnsi" w:hAnsiTheme="minorHAnsi" w:cstheme="minorBidi"/>
          <w:b w:val="0"/>
          <w:color w:val="auto"/>
          <w:sz w:val="20"/>
          <w:szCs w:val="20"/>
        </w:rPr>
        <w:t>Beneficiaries</w:t>
      </w:r>
      <w:r w:rsidR="008B6377" w:rsidRPr="00105FFC">
        <w:rPr>
          <w:rFonts w:asciiTheme="minorHAnsi" w:eastAsiaTheme="minorHAnsi" w:hAnsiTheme="minorHAnsi" w:cstheme="minorBidi"/>
          <w:b w:val="0"/>
          <w:color w:val="auto"/>
          <w:sz w:val="20"/>
          <w:szCs w:val="20"/>
        </w:rPr>
        <w:t xml:space="preserve"> in 2015</w:t>
      </w:r>
      <w:r w:rsidR="001118E3" w:rsidRPr="00105FFC">
        <w:rPr>
          <w:rFonts w:asciiTheme="minorHAnsi" w:eastAsiaTheme="minorHAnsi" w:hAnsiTheme="minorHAnsi" w:cstheme="minorBidi"/>
          <w:b w:val="0"/>
          <w:color w:val="auto"/>
          <w:sz w:val="20"/>
          <w:szCs w:val="20"/>
        </w:rPr>
        <w:t>, by Delivery System and Primary Language Spoken</w:t>
      </w:r>
      <w:r w:rsidRPr="00105FFC">
        <w:rPr>
          <w:rFonts w:asciiTheme="minorHAnsi" w:eastAsiaTheme="minorHAnsi" w:hAnsiTheme="minorHAnsi" w:cstheme="minorBidi"/>
          <w:noProof/>
          <w:sz w:val="22"/>
          <w:szCs w:val="22"/>
        </w:rPr>
        <w:drawing>
          <wp:inline distT="0" distB="0" distL="0" distR="0" wp14:anchorId="36F1031D" wp14:editId="57114447">
            <wp:extent cx="5943600" cy="2468880"/>
            <wp:effectExtent l="0" t="0" r="0" b="7620"/>
            <wp:docPr id="10" name="Chart 10" descr="Fee-for-Service: English 43%; Other Non-English 5%; Spanish 50%; Unknown 2%&#10;Managed Care: English 64%; Other Non-English 8%; Spanish 27%; Unknown 1%&#10;" title="Distribution of Certified Eligible Medi-Cal Beneficiaries in 2015, by Delivery System and Primary Language Spoke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118"/>
      <w:bookmarkEnd w:id="119"/>
      <w:bookmarkEnd w:id="120"/>
      <w:bookmarkEnd w:id="121"/>
    </w:p>
    <w:p w14:paraId="60852684" w14:textId="77777777" w:rsidR="008B6377" w:rsidRPr="00105FFC" w:rsidRDefault="008B6377" w:rsidP="001A3F08">
      <w:pPr>
        <w:rPr>
          <w:rFonts w:asciiTheme="minorHAnsi" w:eastAsiaTheme="minorHAnsi" w:hAnsiTheme="minorHAnsi" w:cs="Tahoma"/>
          <w:sz w:val="16"/>
          <w:szCs w:val="16"/>
        </w:rPr>
      </w:pP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w:t>
      </w:r>
      <w:r w:rsidR="001118E3" w:rsidRPr="00105FFC">
        <w:rPr>
          <w:rFonts w:asciiTheme="minorHAnsi" w:eastAsiaTheme="minorHAnsi" w:hAnsiTheme="minorHAnsi" w:cstheme="minorBidi"/>
          <w:sz w:val="16"/>
          <w:szCs w:val="16"/>
        </w:rPr>
        <w:t>r 2015 and extracted in May 2016</w:t>
      </w:r>
      <w:r w:rsidRPr="00105FFC">
        <w:rPr>
          <w:rFonts w:asciiTheme="minorHAnsi" w:eastAsiaTheme="minorHAnsi" w:hAnsiTheme="minorHAnsi" w:cstheme="minorBidi"/>
          <w:sz w:val="16"/>
          <w:szCs w:val="16"/>
        </w:rPr>
        <w:t xml:space="preserve">. </w:t>
      </w:r>
    </w:p>
    <w:p w14:paraId="6F239122" w14:textId="77777777" w:rsidR="001A3F08" w:rsidRPr="00105FFC" w:rsidRDefault="001A3F08" w:rsidP="001A3F08">
      <w:pPr>
        <w:spacing w:line="276" w:lineRule="auto"/>
        <w:rPr>
          <w:rFonts w:asciiTheme="minorHAnsi" w:eastAsiaTheme="minorHAnsi" w:hAnsiTheme="minorHAnsi" w:cstheme="minorBidi"/>
        </w:rPr>
      </w:pPr>
    </w:p>
    <w:p w14:paraId="4283B6DE" w14:textId="77777777" w:rsidR="008B6377" w:rsidRPr="00105FFC" w:rsidRDefault="001A3F08" w:rsidP="001A3F08">
      <w:pPr>
        <w:spacing w:line="276" w:lineRule="auto"/>
        <w:rPr>
          <w:rFonts w:asciiTheme="minorHAnsi" w:eastAsiaTheme="minorHAnsi" w:hAnsiTheme="minorHAnsi" w:cstheme="minorBidi"/>
        </w:rPr>
      </w:pPr>
      <w:r w:rsidRPr="00105FFC">
        <w:rPr>
          <w:rFonts w:asciiTheme="minorHAnsi" w:eastAsiaTheme="minorHAnsi" w:hAnsiTheme="minorHAnsi" w:cstheme="minorBidi"/>
        </w:rPr>
        <w:t>Where one lives can also impact</w:t>
      </w:r>
      <w:r w:rsidR="008B6377" w:rsidRPr="00105FFC">
        <w:rPr>
          <w:rFonts w:asciiTheme="minorHAnsi" w:eastAsiaTheme="minorHAnsi" w:hAnsiTheme="minorHAnsi" w:cstheme="minorBidi"/>
        </w:rPr>
        <w:t xml:space="preserve"> their a</w:t>
      </w:r>
      <w:r w:rsidR="00220506" w:rsidRPr="00105FFC">
        <w:rPr>
          <w:rFonts w:asciiTheme="minorHAnsi" w:eastAsiaTheme="minorHAnsi" w:hAnsiTheme="minorHAnsi" w:cstheme="minorBidi"/>
        </w:rPr>
        <w:t>bility to access medical care. Individuals</w:t>
      </w:r>
      <w:r w:rsidR="008B6377" w:rsidRPr="00105FFC">
        <w:rPr>
          <w:rFonts w:asciiTheme="minorHAnsi" w:eastAsiaTheme="minorHAnsi" w:hAnsiTheme="minorHAnsi" w:cstheme="minorBidi"/>
        </w:rPr>
        <w:t xml:space="preserve"> living in rural </w:t>
      </w:r>
      <w:r w:rsidR="00220506" w:rsidRPr="00105FFC">
        <w:rPr>
          <w:rFonts w:asciiTheme="minorHAnsi" w:eastAsiaTheme="minorHAnsi" w:hAnsiTheme="minorHAnsi" w:cstheme="minorBidi"/>
        </w:rPr>
        <w:t xml:space="preserve">geographic </w:t>
      </w:r>
      <w:r w:rsidR="008B6377" w:rsidRPr="00105FFC">
        <w:rPr>
          <w:rFonts w:asciiTheme="minorHAnsi" w:eastAsiaTheme="minorHAnsi" w:hAnsiTheme="minorHAnsi" w:cstheme="minorBidi"/>
        </w:rPr>
        <w:t>a</w:t>
      </w:r>
      <w:r w:rsidR="00220506" w:rsidRPr="00105FFC">
        <w:rPr>
          <w:rFonts w:asciiTheme="minorHAnsi" w:eastAsiaTheme="minorHAnsi" w:hAnsiTheme="minorHAnsi" w:cstheme="minorBidi"/>
        </w:rPr>
        <w:t>reas may experience longer driving</w:t>
      </w:r>
      <w:r w:rsidR="008B6377" w:rsidRPr="00105FFC">
        <w:rPr>
          <w:rFonts w:asciiTheme="minorHAnsi" w:eastAsiaTheme="minorHAnsi" w:hAnsiTheme="minorHAnsi" w:cstheme="minorBidi"/>
        </w:rPr>
        <w:t xml:space="preserve"> times and distances to the nearest medical care location</w:t>
      </w:r>
      <w:r w:rsidR="00220506" w:rsidRPr="00105FFC">
        <w:rPr>
          <w:rFonts w:asciiTheme="minorHAnsi" w:eastAsiaTheme="minorHAnsi" w:hAnsiTheme="minorHAnsi" w:cstheme="minorBidi"/>
        </w:rPr>
        <w:t>,</w:t>
      </w:r>
      <w:r w:rsidR="008B6377" w:rsidRPr="00105FFC">
        <w:rPr>
          <w:rFonts w:asciiTheme="minorHAnsi" w:eastAsiaTheme="minorHAnsi" w:hAnsiTheme="minorHAnsi" w:cstheme="minorBidi"/>
        </w:rPr>
        <w:t xml:space="preserve"> and there may be fewer physicians practicing in a given county (regardless of heal</w:t>
      </w:r>
      <w:r w:rsidR="00220506" w:rsidRPr="00105FFC">
        <w:rPr>
          <w:rFonts w:asciiTheme="minorHAnsi" w:eastAsiaTheme="minorHAnsi" w:hAnsiTheme="minorHAnsi" w:cstheme="minorBidi"/>
        </w:rPr>
        <w:t>th insurance type).</w:t>
      </w:r>
      <w:r w:rsidR="008B6377" w:rsidRPr="00105FFC">
        <w:rPr>
          <w:rFonts w:asciiTheme="minorHAnsi" w:eastAsiaTheme="minorHAnsi" w:hAnsiTheme="minorHAnsi" w:cstheme="minorBidi"/>
        </w:rPr>
        <w:t xml:space="preserve"> Low-income individuals living in urban areas who walk or rely on public t</w:t>
      </w:r>
      <w:r w:rsidR="00220506" w:rsidRPr="00105FFC">
        <w:rPr>
          <w:rFonts w:asciiTheme="minorHAnsi" w:eastAsiaTheme="minorHAnsi" w:hAnsiTheme="minorHAnsi" w:cstheme="minorBidi"/>
        </w:rPr>
        <w:t>ransportation also experience access barriers,</w:t>
      </w:r>
      <w:r w:rsidR="008B6377" w:rsidRPr="00105FFC">
        <w:rPr>
          <w:rFonts w:asciiTheme="minorHAnsi" w:eastAsiaTheme="minorHAnsi" w:hAnsiTheme="minorHAnsi" w:cstheme="minorBidi"/>
        </w:rPr>
        <w:t xml:space="preserve"> </w:t>
      </w:r>
      <w:r w:rsidR="00220506" w:rsidRPr="00105FFC">
        <w:rPr>
          <w:rFonts w:asciiTheme="minorHAnsi" w:eastAsiaTheme="minorHAnsi" w:hAnsiTheme="minorHAnsi" w:cstheme="minorBidi"/>
        </w:rPr>
        <w:t>being</w:t>
      </w:r>
      <w:r w:rsidR="008B6377" w:rsidRPr="00105FFC">
        <w:rPr>
          <w:rFonts w:asciiTheme="minorHAnsi" w:eastAsiaTheme="minorHAnsi" w:hAnsiTheme="minorHAnsi" w:cstheme="minorBidi"/>
        </w:rPr>
        <w:t xml:space="preserve"> less likely</w:t>
      </w:r>
      <w:r w:rsidR="00220506" w:rsidRPr="00105FFC">
        <w:rPr>
          <w:rFonts w:asciiTheme="minorHAnsi" w:eastAsiaTheme="minorHAnsi" w:hAnsiTheme="minorHAnsi" w:cstheme="minorBidi"/>
        </w:rPr>
        <w:t xml:space="preserve"> to have a usual source of care and more likely to</w:t>
      </w:r>
      <w:r w:rsidR="008B6377" w:rsidRPr="00105FFC">
        <w:rPr>
          <w:rFonts w:asciiTheme="minorHAnsi" w:eastAsiaTheme="minorHAnsi" w:hAnsiTheme="minorHAnsi" w:cstheme="minorBidi"/>
        </w:rPr>
        <w:t xml:space="preserve"> wait more th</w:t>
      </w:r>
      <w:r w:rsidR="00220506" w:rsidRPr="00105FFC">
        <w:rPr>
          <w:rFonts w:asciiTheme="minorHAnsi" w:eastAsiaTheme="minorHAnsi" w:hAnsiTheme="minorHAnsi" w:cstheme="minorBidi"/>
        </w:rPr>
        <w:t>an two days before seeking care</w:t>
      </w:r>
      <w:r w:rsidR="008B6377" w:rsidRPr="00105FFC">
        <w:rPr>
          <w:rFonts w:asciiTheme="minorHAnsi" w:eastAsiaTheme="minorHAnsi" w:hAnsiTheme="minorHAnsi" w:cstheme="minorBidi"/>
        </w:rPr>
        <w:t>.</w:t>
      </w:r>
      <w:r w:rsidR="008B6377" w:rsidRPr="00105FFC">
        <w:rPr>
          <w:rFonts w:asciiTheme="minorHAnsi" w:eastAsiaTheme="minorHAnsi" w:hAnsiTheme="minorHAnsi" w:cstheme="minorBidi"/>
          <w:vertAlign w:val="superscript"/>
        </w:rPr>
        <w:endnoteReference w:id="23"/>
      </w:r>
      <w:r w:rsidR="008B6377" w:rsidRPr="00105FFC">
        <w:rPr>
          <w:rFonts w:asciiTheme="minorHAnsi" w:eastAsiaTheme="minorHAnsi" w:hAnsiTheme="minorHAnsi" w:cstheme="minorBidi"/>
          <w:vertAlign w:val="superscript"/>
        </w:rPr>
        <w:t>,</w:t>
      </w:r>
      <w:r w:rsidR="008B6377" w:rsidRPr="00105FFC">
        <w:rPr>
          <w:rFonts w:asciiTheme="minorHAnsi" w:eastAsiaTheme="minorHAnsi" w:hAnsiTheme="minorHAnsi" w:cstheme="minorBidi"/>
          <w:vertAlign w:val="superscript"/>
        </w:rPr>
        <w:endnoteReference w:id="24"/>
      </w:r>
      <w:r w:rsidR="008B6377" w:rsidRPr="00105FFC">
        <w:rPr>
          <w:rFonts w:asciiTheme="minorHAnsi" w:eastAsiaTheme="minorHAnsi" w:hAnsiTheme="minorHAnsi" w:cstheme="minorBidi"/>
        </w:rPr>
        <w:t xml:space="preserve">  </w:t>
      </w:r>
      <w:r w:rsidR="001118E3" w:rsidRPr="00105FFC">
        <w:rPr>
          <w:rFonts w:asciiTheme="minorHAnsi" w:eastAsiaTheme="minorHAnsi" w:hAnsiTheme="minorHAnsi" w:cstheme="minorBidi"/>
        </w:rPr>
        <w:t>Although</w:t>
      </w:r>
      <w:r w:rsidR="008B6377" w:rsidRPr="00105FFC">
        <w:rPr>
          <w:rFonts w:asciiTheme="minorHAnsi" w:eastAsiaTheme="minorHAnsi" w:hAnsiTheme="minorHAnsi" w:cstheme="minorBidi"/>
        </w:rPr>
        <w:t xml:space="preserve"> barriers for urban and rural patients are similar, potential solutions are different</w:t>
      </w:r>
      <w:r w:rsidR="001118E3" w:rsidRPr="00105FFC">
        <w:rPr>
          <w:rFonts w:asciiTheme="minorHAnsi" w:eastAsiaTheme="minorHAnsi" w:hAnsiTheme="minorHAnsi" w:cstheme="minorBidi"/>
        </w:rPr>
        <w:t>,</w:t>
      </w:r>
      <w:r w:rsidR="008B6377" w:rsidRPr="00105FFC">
        <w:rPr>
          <w:rFonts w:asciiTheme="minorHAnsi" w:eastAsiaTheme="minorHAnsi" w:hAnsiTheme="minorHAnsi" w:cstheme="minorBidi"/>
        </w:rPr>
        <w:t xml:space="preserve"> making it important to consider the distribution of individuals in metropolit</w:t>
      </w:r>
      <w:r w:rsidR="00355C3F" w:rsidRPr="00105FFC">
        <w:rPr>
          <w:rFonts w:asciiTheme="minorHAnsi" w:eastAsiaTheme="minorHAnsi" w:hAnsiTheme="minorHAnsi" w:cstheme="minorBidi"/>
        </w:rPr>
        <w:t xml:space="preserve">an and non-metropolitan areas. </w:t>
      </w:r>
      <w:r w:rsidR="008B6377" w:rsidRPr="00105FFC">
        <w:rPr>
          <w:rFonts w:asciiTheme="minorHAnsi" w:eastAsiaTheme="minorHAnsi" w:hAnsiTheme="minorHAnsi" w:cstheme="minorBidi"/>
        </w:rPr>
        <w:t xml:space="preserve">While 2.2% of Californians live in non-metropolitan counties, only 1.4% of </w:t>
      </w:r>
      <w:r w:rsidR="00220506" w:rsidRPr="00105FFC">
        <w:rPr>
          <w:rFonts w:asciiTheme="minorHAnsi" w:eastAsiaTheme="minorHAnsi" w:hAnsiTheme="minorHAnsi" w:cstheme="minorBidi"/>
        </w:rPr>
        <w:t>FFS</w:t>
      </w:r>
      <w:r w:rsidR="008B6377" w:rsidRPr="00105FFC">
        <w:rPr>
          <w:rFonts w:asciiTheme="minorHAnsi" w:eastAsiaTheme="minorHAnsi" w:hAnsiTheme="minorHAnsi" w:cstheme="minorBidi"/>
        </w:rPr>
        <w:t xml:space="preserve"> Medi-Cal </w:t>
      </w:r>
      <w:r w:rsidR="00220506" w:rsidRPr="00105FFC">
        <w:rPr>
          <w:rFonts w:asciiTheme="minorHAnsi" w:eastAsiaTheme="minorHAnsi" w:hAnsiTheme="minorHAnsi" w:cstheme="minorBidi"/>
        </w:rPr>
        <w:t>beneficiaries</w:t>
      </w:r>
      <w:r w:rsidR="008B6377" w:rsidRPr="00105FFC">
        <w:rPr>
          <w:rFonts w:asciiTheme="minorHAnsi" w:eastAsiaTheme="minorHAnsi" w:hAnsiTheme="minorHAnsi" w:cstheme="minorBidi"/>
        </w:rPr>
        <w:t xml:space="preserve"> live </w:t>
      </w:r>
      <w:r w:rsidR="00220506" w:rsidRPr="00105FFC">
        <w:rPr>
          <w:rFonts w:asciiTheme="minorHAnsi" w:eastAsiaTheme="minorHAnsi" w:hAnsiTheme="minorHAnsi" w:cstheme="minorBidi"/>
        </w:rPr>
        <w:t>in such areas</w:t>
      </w:r>
      <w:r w:rsidR="008B6377" w:rsidRPr="00105FFC">
        <w:rPr>
          <w:rFonts w:asciiTheme="minorHAnsi" w:eastAsiaTheme="minorHAnsi" w:hAnsiTheme="minorHAnsi" w:cstheme="minorBidi"/>
        </w:rPr>
        <w:t xml:space="preserve"> (Table </w:t>
      </w:r>
      <w:r w:rsidR="00D82233" w:rsidRPr="00105FFC">
        <w:rPr>
          <w:rFonts w:asciiTheme="minorHAnsi" w:eastAsiaTheme="minorHAnsi" w:hAnsiTheme="minorHAnsi" w:cstheme="minorBidi"/>
        </w:rPr>
        <w:t>9</w:t>
      </w:r>
      <w:r w:rsidR="008B6377" w:rsidRPr="00105FFC">
        <w:rPr>
          <w:rFonts w:asciiTheme="minorHAnsi" w:eastAsiaTheme="minorHAnsi" w:hAnsiTheme="minorHAnsi" w:cstheme="minorBidi"/>
        </w:rPr>
        <w:t xml:space="preserve">). </w:t>
      </w:r>
    </w:p>
    <w:p w14:paraId="78FA0985" w14:textId="77777777" w:rsidR="001A3F08" w:rsidRPr="00105FFC" w:rsidRDefault="001A3F08" w:rsidP="001A3F08">
      <w:pPr>
        <w:spacing w:line="276" w:lineRule="auto"/>
        <w:rPr>
          <w:rFonts w:asciiTheme="minorHAnsi" w:eastAsiaTheme="minorHAnsi" w:hAnsiTheme="minorHAnsi" w:cstheme="minorBidi"/>
        </w:rPr>
      </w:pPr>
    </w:p>
    <w:p w14:paraId="2B4C2582" w14:textId="77777777" w:rsidR="008B6377" w:rsidRPr="00105FFC" w:rsidRDefault="00572994" w:rsidP="001A3F08">
      <w:pPr>
        <w:pStyle w:val="Caption"/>
        <w:spacing w:after="0"/>
        <w:rPr>
          <w:rFonts w:asciiTheme="minorHAnsi" w:eastAsiaTheme="minorHAnsi" w:hAnsiTheme="minorHAnsi" w:cstheme="minorBidi"/>
          <w:b w:val="0"/>
          <w:color w:val="auto"/>
          <w:sz w:val="20"/>
          <w:szCs w:val="20"/>
        </w:rPr>
      </w:pPr>
      <w:bookmarkStart w:id="122" w:name="_Toc458783084"/>
      <w:bookmarkStart w:id="123" w:name="_Toc459285154"/>
      <w:r w:rsidRPr="00105FFC">
        <w:rPr>
          <w:rFonts w:asciiTheme="minorHAnsi" w:hAnsiTheme="minorHAnsi"/>
          <w:color w:val="auto"/>
        </w:rPr>
        <w:t xml:space="preserve">Table </w:t>
      </w:r>
      <w:r w:rsidRPr="00105FFC">
        <w:rPr>
          <w:rFonts w:asciiTheme="minorHAnsi" w:hAnsiTheme="minorHAnsi"/>
          <w:color w:val="auto"/>
        </w:rPr>
        <w:fldChar w:fldCharType="begin"/>
      </w:r>
      <w:r w:rsidRPr="00105FFC">
        <w:rPr>
          <w:rFonts w:asciiTheme="minorHAnsi" w:hAnsiTheme="minorHAnsi"/>
          <w:color w:val="auto"/>
        </w:rPr>
        <w:instrText xml:space="preserve"> SEQ Table \* ARABIC </w:instrText>
      </w:r>
      <w:r w:rsidRPr="00105FFC">
        <w:rPr>
          <w:rFonts w:asciiTheme="minorHAnsi" w:hAnsiTheme="minorHAnsi"/>
          <w:color w:val="auto"/>
        </w:rPr>
        <w:fldChar w:fldCharType="separate"/>
      </w:r>
      <w:r w:rsidR="00B04F0F">
        <w:rPr>
          <w:rFonts w:asciiTheme="minorHAnsi" w:hAnsiTheme="minorHAnsi"/>
          <w:noProof/>
          <w:color w:val="auto"/>
        </w:rPr>
        <w:t>9</w:t>
      </w:r>
      <w:r w:rsidRPr="00105FFC">
        <w:rPr>
          <w:rFonts w:asciiTheme="minorHAnsi" w:hAnsiTheme="minorHAnsi"/>
          <w:color w:val="auto"/>
        </w:rPr>
        <w:fldChar w:fldCharType="end"/>
      </w:r>
      <w:r w:rsidR="008B6377" w:rsidRPr="00105FFC">
        <w:rPr>
          <w:rFonts w:asciiTheme="minorHAnsi" w:eastAsiaTheme="minorHAnsi" w:hAnsiTheme="minorHAnsi" w:cstheme="minorBidi"/>
          <w:color w:val="auto"/>
          <w:sz w:val="20"/>
          <w:szCs w:val="20"/>
        </w:rPr>
        <w:t xml:space="preserve">: </w:t>
      </w:r>
      <w:r w:rsidR="008B6377" w:rsidRPr="00105FFC">
        <w:rPr>
          <w:rFonts w:asciiTheme="minorHAnsi" w:eastAsiaTheme="minorHAnsi" w:hAnsiTheme="minorHAnsi" w:cstheme="minorBidi"/>
          <w:b w:val="0"/>
          <w:color w:val="auto"/>
          <w:sz w:val="20"/>
          <w:szCs w:val="20"/>
        </w:rPr>
        <w:t xml:space="preserve">Distribution of </w:t>
      </w:r>
      <w:r w:rsidR="007D3741" w:rsidRPr="00105FFC">
        <w:rPr>
          <w:rFonts w:asciiTheme="minorHAnsi" w:eastAsiaTheme="minorHAnsi" w:hAnsiTheme="minorHAnsi" w:cstheme="minorBidi"/>
          <w:b w:val="0"/>
          <w:color w:val="auto"/>
          <w:sz w:val="20"/>
          <w:szCs w:val="20"/>
        </w:rPr>
        <w:t xml:space="preserve">Certified Eligible FFS Medi-Cal and </w:t>
      </w:r>
      <w:r w:rsidR="008B6377" w:rsidRPr="00105FFC">
        <w:rPr>
          <w:rFonts w:asciiTheme="minorHAnsi" w:eastAsiaTheme="minorHAnsi" w:hAnsiTheme="minorHAnsi" w:cstheme="minorBidi"/>
          <w:b w:val="0"/>
          <w:color w:val="auto"/>
          <w:sz w:val="20"/>
          <w:szCs w:val="20"/>
        </w:rPr>
        <w:t xml:space="preserve">Medi-Cal Managed Care </w:t>
      </w:r>
      <w:r w:rsidR="007D3741" w:rsidRPr="00105FFC">
        <w:rPr>
          <w:rFonts w:asciiTheme="minorHAnsi" w:eastAsiaTheme="minorHAnsi" w:hAnsiTheme="minorHAnsi" w:cstheme="minorBidi"/>
          <w:b w:val="0"/>
          <w:color w:val="auto"/>
          <w:sz w:val="20"/>
          <w:szCs w:val="20"/>
        </w:rPr>
        <w:t>Beneficiaries</w:t>
      </w:r>
      <w:r w:rsidR="008B6377" w:rsidRPr="00105FFC">
        <w:rPr>
          <w:rFonts w:asciiTheme="minorHAnsi" w:eastAsiaTheme="minorHAnsi" w:hAnsiTheme="minorHAnsi" w:cstheme="minorBidi"/>
          <w:b w:val="0"/>
          <w:color w:val="auto"/>
          <w:sz w:val="20"/>
          <w:szCs w:val="20"/>
        </w:rPr>
        <w:t xml:space="preserve"> in 2015</w:t>
      </w:r>
      <w:r w:rsidR="007D3741" w:rsidRPr="00105FFC">
        <w:rPr>
          <w:rFonts w:asciiTheme="minorHAnsi" w:eastAsiaTheme="minorHAnsi" w:hAnsiTheme="minorHAnsi" w:cstheme="minorBidi"/>
          <w:b w:val="0"/>
          <w:color w:val="auto"/>
          <w:sz w:val="20"/>
          <w:szCs w:val="20"/>
        </w:rPr>
        <w:t>, and California Residents</w:t>
      </w:r>
      <w:r w:rsidR="008B6377" w:rsidRPr="00105FFC">
        <w:rPr>
          <w:rFonts w:asciiTheme="minorHAnsi" w:eastAsiaTheme="minorHAnsi" w:hAnsiTheme="minorHAnsi" w:cstheme="minorBidi"/>
          <w:b w:val="0"/>
          <w:color w:val="auto"/>
          <w:sz w:val="20"/>
          <w:szCs w:val="20"/>
        </w:rPr>
        <w:t xml:space="preserve"> in 2014</w:t>
      </w:r>
      <w:r w:rsidR="007D3741" w:rsidRPr="00105FFC">
        <w:rPr>
          <w:rFonts w:asciiTheme="minorHAnsi" w:eastAsiaTheme="minorHAnsi" w:hAnsiTheme="minorHAnsi" w:cstheme="minorBidi"/>
          <w:b w:val="0"/>
          <w:color w:val="auto"/>
          <w:sz w:val="20"/>
          <w:szCs w:val="20"/>
        </w:rPr>
        <w:t>, by Metropolitan Status</w:t>
      </w:r>
      <w:bookmarkEnd w:id="122"/>
      <w:bookmarkEnd w:id="123"/>
    </w:p>
    <w:tbl>
      <w:tblPr>
        <w:tblStyle w:val="MediumList1-Accent1"/>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1998"/>
        <w:gridCol w:w="2160"/>
        <w:gridCol w:w="2232"/>
      </w:tblGrid>
      <w:tr w:rsidR="008B6377" w:rsidRPr="00105FFC" w14:paraId="4F7073A1" w14:textId="77777777" w:rsidTr="00073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0" w:type="dxa"/>
            <w:tcBorders>
              <w:top w:val="none" w:sz="0" w:space="0" w:color="auto"/>
              <w:bottom w:val="none" w:sz="0" w:space="0" w:color="auto"/>
            </w:tcBorders>
          </w:tcPr>
          <w:p w14:paraId="2347BF2D" w14:textId="77777777" w:rsidR="008B6377" w:rsidRPr="00105FFC" w:rsidRDefault="00572994" w:rsidP="00572994">
            <w:pPr>
              <w:contextualSpacing/>
              <w:jc w:val="center"/>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Geographic Area</w:t>
            </w:r>
          </w:p>
        </w:tc>
        <w:tc>
          <w:tcPr>
            <w:tcW w:w="1998" w:type="dxa"/>
            <w:tcBorders>
              <w:top w:val="none" w:sz="0" w:space="0" w:color="auto"/>
              <w:bottom w:val="none" w:sz="0" w:space="0" w:color="auto"/>
            </w:tcBorders>
          </w:tcPr>
          <w:p w14:paraId="127DD7C0" w14:textId="77777777" w:rsidR="008B6377" w:rsidRPr="00105FFC" w:rsidRDefault="008B6377" w:rsidP="008B637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FFS</w:t>
            </w:r>
          </w:p>
        </w:tc>
        <w:tc>
          <w:tcPr>
            <w:tcW w:w="2160" w:type="dxa"/>
            <w:tcBorders>
              <w:top w:val="none" w:sz="0" w:space="0" w:color="auto"/>
              <w:bottom w:val="none" w:sz="0" w:space="0" w:color="auto"/>
            </w:tcBorders>
          </w:tcPr>
          <w:p w14:paraId="00CA8F49" w14:textId="77777777" w:rsidR="008B6377" w:rsidRPr="00105FFC" w:rsidRDefault="008B6377" w:rsidP="008B637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Managed Care</w:t>
            </w:r>
          </w:p>
        </w:tc>
        <w:tc>
          <w:tcPr>
            <w:tcW w:w="2232" w:type="dxa"/>
            <w:tcBorders>
              <w:top w:val="none" w:sz="0" w:space="0" w:color="auto"/>
              <w:bottom w:val="none" w:sz="0" w:space="0" w:color="auto"/>
            </w:tcBorders>
          </w:tcPr>
          <w:p w14:paraId="75E78F46" w14:textId="77777777" w:rsidR="008B6377" w:rsidRPr="00105FFC" w:rsidRDefault="008B6377" w:rsidP="008B637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California</w:t>
            </w:r>
          </w:p>
        </w:tc>
      </w:tr>
      <w:tr w:rsidR="008B6377" w:rsidRPr="00105FFC" w14:paraId="7EA40D94" w14:textId="77777777" w:rsidTr="00572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810CEF7" w14:textId="77777777" w:rsidR="008B6377" w:rsidRPr="00105FFC" w:rsidRDefault="008B6377" w:rsidP="00572994">
            <w:pPr>
              <w:contextualSpacing/>
              <w:jc w:val="center"/>
              <w:rPr>
                <w:rFonts w:asciiTheme="minorHAnsi" w:eastAsiaTheme="minorHAnsi" w:hAnsiTheme="minorHAnsi" w:cstheme="minorBidi"/>
                <w:b w:val="0"/>
                <w:sz w:val="22"/>
                <w:szCs w:val="22"/>
              </w:rPr>
            </w:pPr>
            <w:r w:rsidRPr="00105FFC">
              <w:rPr>
                <w:rFonts w:asciiTheme="minorHAnsi" w:eastAsiaTheme="minorHAnsi" w:hAnsiTheme="minorHAnsi" w:cstheme="minorBidi"/>
                <w:b w:val="0"/>
                <w:sz w:val="22"/>
                <w:szCs w:val="22"/>
              </w:rPr>
              <w:t>Non-Metropolitan County</w:t>
            </w:r>
          </w:p>
        </w:tc>
        <w:tc>
          <w:tcPr>
            <w:tcW w:w="1998" w:type="dxa"/>
          </w:tcPr>
          <w:p w14:paraId="27E0ADA7" w14:textId="77777777" w:rsidR="008B6377" w:rsidRPr="00105FFC" w:rsidRDefault="008B6377" w:rsidP="008B637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1.4%</w:t>
            </w:r>
          </w:p>
        </w:tc>
        <w:tc>
          <w:tcPr>
            <w:tcW w:w="2160" w:type="dxa"/>
          </w:tcPr>
          <w:p w14:paraId="7172A3ED" w14:textId="77777777" w:rsidR="008B6377" w:rsidRPr="00105FFC" w:rsidRDefault="008B6377" w:rsidP="008B637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2.5%</w:t>
            </w:r>
          </w:p>
        </w:tc>
        <w:tc>
          <w:tcPr>
            <w:tcW w:w="2232" w:type="dxa"/>
          </w:tcPr>
          <w:p w14:paraId="5607A725" w14:textId="77777777" w:rsidR="008B6377" w:rsidRPr="00105FFC" w:rsidRDefault="008B6377" w:rsidP="008B637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2.2%</w:t>
            </w:r>
          </w:p>
        </w:tc>
      </w:tr>
      <w:tr w:rsidR="008B6377" w:rsidRPr="00105FFC" w14:paraId="36A46932" w14:textId="77777777" w:rsidTr="00572994">
        <w:tc>
          <w:tcPr>
            <w:cnfStyle w:val="001000000000" w:firstRow="0" w:lastRow="0" w:firstColumn="1" w:lastColumn="0" w:oddVBand="0" w:evenVBand="0" w:oddHBand="0" w:evenHBand="0" w:firstRowFirstColumn="0" w:firstRowLastColumn="0" w:lastRowFirstColumn="0" w:lastRowLastColumn="0"/>
            <w:tcW w:w="2970" w:type="dxa"/>
          </w:tcPr>
          <w:p w14:paraId="76A9F07B" w14:textId="77777777" w:rsidR="008B6377" w:rsidRPr="00105FFC" w:rsidRDefault="008B6377" w:rsidP="00572994">
            <w:pPr>
              <w:contextualSpacing/>
              <w:jc w:val="center"/>
              <w:rPr>
                <w:rFonts w:asciiTheme="minorHAnsi" w:eastAsiaTheme="minorHAnsi" w:hAnsiTheme="minorHAnsi" w:cstheme="minorBidi"/>
                <w:b w:val="0"/>
                <w:sz w:val="22"/>
                <w:szCs w:val="22"/>
              </w:rPr>
            </w:pPr>
            <w:r w:rsidRPr="00105FFC">
              <w:rPr>
                <w:rFonts w:asciiTheme="minorHAnsi" w:eastAsiaTheme="minorHAnsi" w:hAnsiTheme="minorHAnsi" w:cstheme="minorBidi"/>
                <w:b w:val="0"/>
                <w:sz w:val="22"/>
                <w:szCs w:val="22"/>
              </w:rPr>
              <w:t>Metropolitan County</w:t>
            </w:r>
          </w:p>
        </w:tc>
        <w:tc>
          <w:tcPr>
            <w:tcW w:w="1998" w:type="dxa"/>
          </w:tcPr>
          <w:p w14:paraId="707B997D" w14:textId="77777777" w:rsidR="008B6377" w:rsidRPr="00105FFC" w:rsidRDefault="008B6377" w:rsidP="008B637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98.6%</w:t>
            </w:r>
          </w:p>
        </w:tc>
        <w:tc>
          <w:tcPr>
            <w:tcW w:w="2160" w:type="dxa"/>
          </w:tcPr>
          <w:p w14:paraId="50BC4586" w14:textId="77777777" w:rsidR="008B6377" w:rsidRPr="00105FFC" w:rsidRDefault="008B6377" w:rsidP="008B637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97.5%</w:t>
            </w:r>
          </w:p>
        </w:tc>
        <w:tc>
          <w:tcPr>
            <w:tcW w:w="2232" w:type="dxa"/>
          </w:tcPr>
          <w:p w14:paraId="61C3FBEC" w14:textId="77777777" w:rsidR="008B6377" w:rsidRPr="00105FFC" w:rsidRDefault="008B6377" w:rsidP="008B637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97.8%</w:t>
            </w:r>
          </w:p>
        </w:tc>
      </w:tr>
    </w:tbl>
    <w:p w14:paraId="5C64828C" w14:textId="77777777" w:rsidR="008B6377" w:rsidRPr="00105FFC" w:rsidRDefault="008B6377" w:rsidP="001A3F08">
      <w:pPr>
        <w:rPr>
          <w:rFonts w:asciiTheme="minorHAnsi" w:eastAsiaTheme="minorHAnsi" w:hAnsiTheme="minorHAnsi" w:cstheme="minorBidi"/>
          <w:sz w:val="16"/>
          <w:szCs w:val="16"/>
        </w:rPr>
      </w:pP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for 2015 and extracted in M</w:t>
      </w:r>
      <w:r w:rsidR="007D3741" w:rsidRPr="00105FFC">
        <w:rPr>
          <w:rFonts w:asciiTheme="minorHAnsi" w:eastAsiaTheme="minorHAnsi" w:hAnsiTheme="minorHAnsi" w:cstheme="minorBidi"/>
          <w:sz w:val="16"/>
          <w:szCs w:val="16"/>
        </w:rPr>
        <w:t>ay 2016</w:t>
      </w:r>
      <w:r w:rsidRPr="00105FFC">
        <w:rPr>
          <w:rFonts w:asciiTheme="minorHAnsi" w:eastAsiaTheme="minorHAnsi" w:hAnsiTheme="minorHAnsi" w:cstheme="minorBidi"/>
          <w:sz w:val="16"/>
          <w:szCs w:val="16"/>
        </w:rPr>
        <w:t xml:space="preserve"> and the </w:t>
      </w:r>
      <w:r w:rsidRPr="00105FFC">
        <w:rPr>
          <w:rFonts w:asciiTheme="minorHAnsi" w:eastAsiaTheme="minorHAnsi" w:hAnsiTheme="minorHAnsi" w:cs="Arial"/>
          <w:color w:val="000000"/>
          <w:sz w:val="16"/>
          <w:szCs w:val="16"/>
          <w:shd w:val="clear" w:color="auto" w:fill="FFFFFF"/>
        </w:rPr>
        <w:t>U.S. Census Bureau, 2010-2014 American Community Survey 5-Year Estimates</w:t>
      </w:r>
      <w:r w:rsidRPr="00105FFC">
        <w:rPr>
          <w:rFonts w:asciiTheme="minorHAnsi" w:eastAsiaTheme="minorHAnsi" w:hAnsiTheme="minorHAnsi" w:cstheme="minorBidi"/>
          <w:sz w:val="16"/>
          <w:szCs w:val="16"/>
        </w:rPr>
        <w:t xml:space="preserve">. </w:t>
      </w:r>
    </w:p>
    <w:p w14:paraId="16F11778" w14:textId="77777777" w:rsidR="001A3F08" w:rsidRPr="00105FFC" w:rsidRDefault="001A3F08" w:rsidP="001A3F08">
      <w:pPr>
        <w:spacing w:line="276" w:lineRule="auto"/>
        <w:contextualSpacing/>
        <w:rPr>
          <w:rFonts w:asciiTheme="minorHAnsi" w:eastAsiaTheme="minorHAnsi" w:hAnsiTheme="minorHAnsi" w:cstheme="minorBidi"/>
        </w:rPr>
      </w:pPr>
    </w:p>
    <w:p w14:paraId="3A1E0B92" w14:textId="77777777" w:rsidR="008B6377" w:rsidRPr="00105FFC" w:rsidRDefault="008B6377" w:rsidP="002D04DA">
      <w:pPr>
        <w:spacing w:after="120" w:line="276" w:lineRule="auto"/>
        <w:contextualSpacing/>
        <w:rPr>
          <w:rFonts w:asciiTheme="minorHAnsi" w:eastAsiaTheme="minorHAnsi" w:hAnsiTheme="minorHAnsi" w:cstheme="minorBidi"/>
        </w:rPr>
      </w:pPr>
      <w:r w:rsidRPr="00105FFC">
        <w:rPr>
          <w:rFonts w:asciiTheme="minorHAnsi" w:eastAsiaTheme="minorHAnsi" w:hAnsiTheme="minorHAnsi" w:cstheme="minorBidi"/>
        </w:rPr>
        <w:lastRenderedPageBreak/>
        <w:t xml:space="preserve">Gender </w:t>
      </w:r>
      <w:r w:rsidR="001118E3" w:rsidRPr="00105FFC">
        <w:rPr>
          <w:rFonts w:asciiTheme="minorHAnsi" w:eastAsiaTheme="minorHAnsi" w:hAnsiTheme="minorHAnsi" w:cstheme="minorBidi"/>
        </w:rPr>
        <w:t xml:space="preserve">must </w:t>
      </w:r>
      <w:r w:rsidRPr="00105FFC">
        <w:rPr>
          <w:rFonts w:asciiTheme="minorHAnsi" w:eastAsiaTheme="minorHAnsi" w:hAnsiTheme="minorHAnsi" w:cstheme="minorBidi"/>
        </w:rPr>
        <w:t>also be taken into consideration when eva</w:t>
      </w:r>
      <w:r w:rsidR="00355C3F" w:rsidRPr="00105FFC">
        <w:rPr>
          <w:rFonts w:asciiTheme="minorHAnsi" w:eastAsiaTheme="minorHAnsi" w:hAnsiTheme="minorHAnsi" w:cstheme="minorBidi"/>
        </w:rPr>
        <w:t xml:space="preserve">luating access to health care services. </w:t>
      </w:r>
      <w:r w:rsidRPr="00105FFC">
        <w:rPr>
          <w:rFonts w:asciiTheme="minorHAnsi" w:eastAsiaTheme="minorHAnsi" w:hAnsiTheme="minorHAnsi" w:cstheme="minorBidi"/>
        </w:rPr>
        <w:t xml:space="preserve">Men are less likely to </w:t>
      </w:r>
      <w:r w:rsidR="00355C3F" w:rsidRPr="00105FFC">
        <w:rPr>
          <w:rFonts w:asciiTheme="minorHAnsi" w:eastAsiaTheme="minorHAnsi" w:hAnsiTheme="minorHAnsi" w:cstheme="minorBidi"/>
        </w:rPr>
        <w:t>utilize</w:t>
      </w:r>
      <w:r w:rsidRPr="00105FFC">
        <w:rPr>
          <w:rFonts w:asciiTheme="minorHAnsi" w:eastAsiaTheme="minorHAnsi" w:hAnsiTheme="minorHAnsi" w:cstheme="minorBidi"/>
        </w:rPr>
        <w:t xml:space="preserve"> preventative services such as blood pressure checks, cholesterol screenings, flu shots</w:t>
      </w:r>
      <w:r w:rsidR="00355C3F" w:rsidRPr="00105FFC">
        <w:rPr>
          <w:rFonts w:asciiTheme="minorHAnsi" w:eastAsiaTheme="minorHAnsi" w:hAnsiTheme="minorHAnsi" w:cstheme="minorBidi"/>
        </w:rPr>
        <w:t xml:space="preserve">, and dental exams compared to </w:t>
      </w:r>
      <w:r w:rsidRPr="00105FFC">
        <w:rPr>
          <w:rFonts w:asciiTheme="minorHAnsi" w:eastAsiaTheme="minorHAnsi" w:hAnsiTheme="minorHAnsi" w:cstheme="minorBidi"/>
        </w:rPr>
        <w:t>their female counterparts.</w:t>
      </w:r>
      <w:r w:rsidRPr="00105FFC">
        <w:rPr>
          <w:rFonts w:asciiTheme="minorHAnsi" w:eastAsiaTheme="minorHAnsi" w:hAnsiTheme="minorHAnsi" w:cstheme="minorBidi"/>
          <w:vertAlign w:val="superscript"/>
        </w:rPr>
        <w:endnoteReference w:id="25"/>
      </w:r>
      <w:r w:rsidRPr="00105FFC">
        <w:rPr>
          <w:rFonts w:asciiTheme="minorHAnsi" w:eastAsiaTheme="minorHAnsi" w:hAnsiTheme="minorHAnsi" w:cstheme="minorBidi"/>
        </w:rPr>
        <w:t xml:space="preserve">  While Californians are fairly evenly split between genders, Medi-Cal</w:t>
      </w:r>
      <w:r w:rsidR="00355C3F" w:rsidRPr="00105FFC">
        <w:rPr>
          <w:rFonts w:asciiTheme="minorHAnsi" w:eastAsiaTheme="minorHAnsi" w:hAnsiTheme="minorHAnsi" w:cstheme="minorBidi"/>
        </w:rPr>
        <w:t xml:space="preserve"> beneficiaries – </w:t>
      </w:r>
      <w:r w:rsidRPr="00105FFC">
        <w:rPr>
          <w:rFonts w:asciiTheme="minorHAnsi" w:eastAsiaTheme="minorHAnsi" w:hAnsiTheme="minorHAnsi" w:cstheme="minorBidi"/>
        </w:rPr>
        <w:t xml:space="preserve">particularly </w:t>
      </w:r>
      <w:r w:rsidR="00355C3F" w:rsidRPr="00105FFC">
        <w:rPr>
          <w:rFonts w:asciiTheme="minorHAnsi" w:eastAsiaTheme="minorHAnsi" w:hAnsiTheme="minorHAnsi" w:cstheme="minorBidi"/>
        </w:rPr>
        <w:t>those in the FFS delivery system –</w:t>
      </w:r>
      <w:r w:rsidRPr="00105FFC">
        <w:rPr>
          <w:rFonts w:asciiTheme="minorHAnsi" w:eastAsiaTheme="minorHAnsi" w:hAnsiTheme="minorHAnsi" w:cstheme="minorBidi"/>
        </w:rPr>
        <w:t xml:space="preserve"> are more likely to be female (Table </w:t>
      </w:r>
      <w:r w:rsidR="00D82233" w:rsidRPr="00105FFC">
        <w:rPr>
          <w:rFonts w:asciiTheme="minorHAnsi" w:eastAsiaTheme="minorHAnsi" w:hAnsiTheme="minorHAnsi" w:cstheme="minorBidi"/>
        </w:rPr>
        <w:t>10</w:t>
      </w:r>
      <w:r w:rsidRPr="00105FFC">
        <w:rPr>
          <w:rFonts w:asciiTheme="minorHAnsi" w:eastAsiaTheme="minorHAnsi" w:hAnsiTheme="minorHAnsi" w:cstheme="minorBidi"/>
        </w:rPr>
        <w:t>).</w:t>
      </w:r>
      <w:r w:rsidR="00DF3F64" w:rsidRPr="00105FFC">
        <w:rPr>
          <w:rFonts w:asciiTheme="minorHAnsi" w:eastAsiaTheme="minorHAnsi" w:hAnsiTheme="minorHAnsi" w:cstheme="minorBidi"/>
        </w:rPr>
        <w:t xml:space="preserve">  When compared to Medi-Cal’s managed care delivery system participants, Medi-Cal’s FFS participants are more likely to be female.  This is again a consequence of the dominance within the FFS population of the Undocumented population and other eligibility pathways that initially start their Medi-Cal eligibility within Medi-Cal’s FFS delivery system (e.g. pregnancy related, etc).</w:t>
      </w:r>
    </w:p>
    <w:p w14:paraId="1FC804D2" w14:textId="77777777" w:rsidR="008B6377" w:rsidRPr="00105FFC" w:rsidRDefault="008B6377" w:rsidP="004C390B">
      <w:pPr>
        <w:ind w:left="720"/>
        <w:contextualSpacing/>
        <w:rPr>
          <w:rFonts w:asciiTheme="minorHAnsi" w:eastAsiaTheme="minorHAnsi" w:hAnsiTheme="minorHAnsi" w:cstheme="minorBidi"/>
          <w:sz w:val="20"/>
          <w:szCs w:val="20"/>
        </w:rPr>
      </w:pPr>
    </w:p>
    <w:p w14:paraId="576DC202" w14:textId="77777777" w:rsidR="008B6377" w:rsidRPr="00105FFC" w:rsidRDefault="005205BB" w:rsidP="00AF1CCC">
      <w:pPr>
        <w:pStyle w:val="Caption"/>
        <w:spacing w:after="120"/>
        <w:rPr>
          <w:rFonts w:asciiTheme="minorHAnsi" w:eastAsiaTheme="minorHAnsi" w:hAnsiTheme="minorHAnsi" w:cstheme="minorBidi"/>
          <w:color w:val="auto"/>
          <w:sz w:val="20"/>
          <w:szCs w:val="20"/>
        </w:rPr>
      </w:pPr>
      <w:bookmarkStart w:id="124" w:name="_Toc458783085"/>
      <w:bookmarkStart w:id="125" w:name="_Toc459285155"/>
      <w:r w:rsidRPr="00105FFC">
        <w:rPr>
          <w:rFonts w:asciiTheme="minorHAnsi" w:hAnsiTheme="minorHAnsi"/>
          <w:color w:val="auto"/>
        </w:rPr>
        <w:t xml:space="preserve">Table </w:t>
      </w:r>
      <w:r w:rsidRPr="00105FFC">
        <w:rPr>
          <w:rFonts w:asciiTheme="minorHAnsi" w:hAnsiTheme="minorHAnsi"/>
          <w:color w:val="auto"/>
        </w:rPr>
        <w:fldChar w:fldCharType="begin"/>
      </w:r>
      <w:r w:rsidRPr="00105FFC">
        <w:rPr>
          <w:rFonts w:asciiTheme="minorHAnsi" w:hAnsiTheme="minorHAnsi"/>
          <w:color w:val="auto"/>
        </w:rPr>
        <w:instrText xml:space="preserve"> SEQ Table \* ARABIC </w:instrText>
      </w:r>
      <w:r w:rsidRPr="00105FFC">
        <w:rPr>
          <w:rFonts w:asciiTheme="minorHAnsi" w:hAnsiTheme="minorHAnsi"/>
          <w:color w:val="auto"/>
        </w:rPr>
        <w:fldChar w:fldCharType="separate"/>
      </w:r>
      <w:r w:rsidR="00B04F0F">
        <w:rPr>
          <w:rFonts w:asciiTheme="minorHAnsi" w:hAnsiTheme="minorHAnsi"/>
          <w:noProof/>
          <w:color w:val="auto"/>
        </w:rPr>
        <w:t>10</w:t>
      </w:r>
      <w:r w:rsidRPr="00105FFC">
        <w:rPr>
          <w:rFonts w:asciiTheme="minorHAnsi" w:hAnsiTheme="minorHAnsi"/>
          <w:color w:val="auto"/>
        </w:rPr>
        <w:fldChar w:fldCharType="end"/>
      </w:r>
      <w:r w:rsidR="007D3741" w:rsidRPr="00105FFC">
        <w:rPr>
          <w:rFonts w:asciiTheme="minorHAnsi" w:eastAsiaTheme="minorHAnsi" w:hAnsiTheme="minorHAnsi" w:cstheme="minorBidi"/>
          <w:color w:val="auto"/>
          <w:sz w:val="20"/>
          <w:szCs w:val="20"/>
        </w:rPr>
        <w:t xml:space="preserve">: </w:t>
      </w:r>
      <w:r w:rsidR="007D3741" w:rsidRPr="00105FFC">
        <w:rPr>
          <w:rFonts w:asciiTheme="minorHAnsi" w:eastAsiaTheme="minorHAnsi" w:hAnsiTheme="minorHAnsi" w:cstheme="minorBidi"/>
          <w:b w:val="0"/>
          <w:color w:val="auto"/>
          <w:sz w:val="20"/>
          <w:szCs w:val="20"/>
        </w:rPr>
        <w:t>Distribution of Certified Eligible FFS Medi-Cal and Medi-Cal Managed Care Beneficiaries in 2015, and California Residents in 2014, by Gender</w:t>
      </w:r>
      <w:bookmarkEnd w:id="124"/>
      <w:bookmarkEnd w:id="125"/>
    </w:p>
    <w:tbl>
      <w:tblPr>
        <w:tblStyle w:val="MediumList1-Accent1"/>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08"/>
        <w:gridCol w:w="2520"/>
        <w:gridCol w:w="2492"/>
        <w:gridCol w:w="2440"/>
      </w:tblGrid>
      <w:tr w:rsidR="008B6377" w:rsidRPr="00105FFC" w14:paraId="68F23DB3" w14:textId="77777777" w:rsidTr="00073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tcBorders>
              <w:top w:val="none" w:sz="0" w:space="0" w:color="auto"/>
              <w:bottom w:val="none" w:sz="0" w:space="0" w:color="auto"/>
            </w:tcBorders>
          </w:tcPr>
          <w:p w14:paraId="28B898C6" w14:textId="77777777" w:rsidR="008B6377" w:rsidRPr="00105FFC" w:rsidRDefault="005205BB" w:rsidP="005205BB">
            <w:pPr>
              <w:contextualSpacing/>
              <w:jc w:val="center"/>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t>Gender</w:t>
            </w:r>
          </w:p>
        </w:tc>
        <w:tc>
          <w:tcPr>
            <w:tcW w:w="2520" w:type="dxa"/>
            <w:tcBorders>
              <w:top w:val="none" w:sz="0" w:space="0" w:color="auto"/>
              <w:bottom w:val="none" w:sz="0" w:space="0" w:color="auto"/>
            </w:tcBorders>
          </w:tcPr>
          <w:p w14:paraId="4CC9B9CC" w14:textId="77777777" w:rsidR="008B6377" w:rsidRPr="00105FFC" w:rsidRDefault="008B6377" w:rsidP="008B637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FFS</w:t>
            </w:r>
          </w:p>
        </w:tc>
        <w:tc>
          <w:tcPr>
            <w:tcW w:w="2492" w:type="dxa"/>
            <w:tcBorders>
              <w:top w:val="none" w:sz="0" w:space="0" w:color="auto"/>
              <w:bottom w:val="none" w:sz="0" w:space="0" w:color="auto"/>
            </w:tcBorders>
          </w:tcPr>
          <w:p w14:paraId="71E9A717" w14:textId="77777777" w:rsidR="008B6377" w:rsidRPr="00105FFC" w:rsidRDefault="008B6377" w:rsidP="008B637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Managed Care</w:t>
            </w:r>
          </w:p>
        </w:tc>
        <w:tc>
          <w:tcPr>
            <w:tcW w:w="2440" w:type="dxa"/>
            <w:tcBorders>
              <w:top w:val="none" w:sz="0" w:space="0" w:color="auto"/>
              <w:bottom w:val="none" w:sz="0" w:space="0" w:color="auto"/>
            </w:tcBorders>
          </w:tcPr>
          <w:p w14:paraId="2BBC1159" w14:textId="77777777" w:rsidR="008B6377" w:rsidRPr="00105FFC" w:rsidRDefault="008B6377" w:rsidP="008B637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szCs w:val="22"/>
              </w:rPr>
            </w:pPr>
            <w:r w:rsidRPr="00105FFC">
              <w:rPr>
                <w:rFonts w:asciiTheme="minorHAnsi" w:eastAsiaTheme="minorHAnsi" w:hAnsiTheme="minorHAnsi" w:cstheme="minorBidi"/>
                <w:b/>
                <w:sz w:val="22"/>
                <w:szCs w:val="22"/>
              </w:rPr>
              <w:t>California</w:t>
            </w:r>
          </w:p>
        </w:tc>
      </w:tr>
      <w:tr w:rsidR="008B6377" w:rsidRPr="00105FFC" w14:paraId="3A4AC209" w14:textId="77777777" w:rsidTr="00520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035E8F9" w14:textId="77777777" w:rsidR="008B6377" w:rsidRPr="00105FFC" w:rsidRDefault="008B6377" w:rsidP="005205BB">
            <w:pPr>
              <w:contextualSpacing/>
              <w:jc w:val="center"/>
              <w:rPr>
                <w:rFonts w:asciiTheme="minorHAnsi" w:eastAsiaTheme="minorHAnsi" w:hAnsiTheme="minorHAnsi" w:cstheme="minorBidi"/>
                <w:b w:val="0"/>
                <w:sz w:val="22"/>
                <w:szCs w:val="22"/>
              </w:rPr>
            </w:pPr>
            <w:r w:rsidRPr="00105FFC">
              <w:rPr>
                <w:rFonts w:asciiTheme="minorHAnsi" w:eastAsiaTheme="minorHAnsi" w:hAnsiTheme="minorHAnsi" w:cstheme="minorBidi"/>
                <w:b w:val="0"/>
                <w:sz w:val="22"/>
                <w:szCs w:val="22"/>
              </w:rPr>
              <w:t>Male</w:t>
            </w:r>
          </w:p>
        </w:tc>
        <w:tc>
          <w:tcPr>
            <w:tcW w:w="2520" w:type="dxa"/>
          </w:tcPr>
          <w:p w14:paraId="1F377658" w14:textId="77777777" w:rsidR="008B6377" w:rsidRPr="00105FFC" w:rsidRDefault="008B6377" w:rsidP="008B637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42.4%</w:t>
            </w:r>
          </w:p>
        </w:tc>
        <w:tc>
          <w:tcPr>
            <w:tcW w:w="2492" w:type="dxa"/>
          </w:tcPr>
          <w:p w14:paraId="2DC3D84D" w14:textId="77777777" w:rsidR="008B6377" w:rsidRPr="00105FFC" w:rsidRDefault="008B6377" w:rsidP="008B637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46.4%</w:t>
            </w:r>
          </w:p>
        </w:tc>
        <w:tc>
          <w:tcPr>
            <w:tcW w:w="2440" w:type="dxa"/>
          </w:tcPr>
          <w:p w14:paraId="4D4DBCA4" w14:textId="77777777" w:rsidR="008B6377" w:rsidRPr="00105FFC" w:rsidRDefault="008B6377" w:rsidP="008B637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49.7%</w:t>
            </w:r>
          </w:p>
        </w:tc>
      </w:tr>
      <w:tr w:rsidR="008B6377" w:rsidRPr="00105FFC" w14:paraId="6C5E3F4D" w14:textId="77777777" w:rsidTr="005205BB">
        <w:tc>
          <w:tcPr>
            <w:cnfStyle w:val="001000000000" w:firstRow="0" w:lastRow="0" w:firstColumn="1" w:lastColumn="0" w:oddVBand="0" w:evenVBand="0" w:oddHBand="0" w:evenHBand="0" w:firstRowFirstColumn="0" w:firstRowLastColumn="0" w:lastRowFirstColumn="0" w:lastRowLastColumn="0"/>
            <w:tcW w:w="1908" w:type="dxa"/>
          </w:tcPr>
          <w:p w14:paraId="6102A0AB" w14:textId="77777777" w:rsidR="008B6377" w:rsidRPr="00105FFC" w:rsidRDefault="008B6377" w:rsidP="005205BB">
            <w:pPr>
              <w:contextualSpacing/>
              <w:jc w:val="center"/>
              <w:rPr>
                <w:rFonts w:asciiTheme="minorHAnsi" w:eastAsiaTheme="minorHAnsi" w:hAnsiTheme="minorHAnsi" w:cstheme="minorBidi"/>
                <w:b w:val="0"/>
                <w:sz w:val="22"/>
                <w:szCs w:val="22"/>
              </w:rPr>
            </w:pPr>
            <w:r w:rsidRPr="00105FFC">
              <w:rPr>
                <w:rFonts w:asciiTheme="minorHAnsi" w:eastAsiaTheme="minorHAnsi" w:hAnsiTheme="minorHAnsi" w:cstheme="minorBidi"/>
                <w:b w:val="0"/>
                <w:sz w:val="22"/>
                <w:szCs w:val="22"/>
              </w:rPr>
              <w:t>Female</w:t>
            </w:r>
          </w:p>
        </w:tc>
        <w:tc>
          <w:tcPr>
            <w:tcW w:w="2520" w:type="dxa"/>
          </w:tcPr>
          <w:p w14:paraId="3CDAB250" w14:textId="77777777" w:rsidR="008B6377" w:rsidRPr="00105FFC" w:rsidRDefault="008B6377" w:rsidP="008B637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57.6%</w:t>
            </w:r>
          </w:p>
        </w:tc>
        <w:tc>
          <w:tcPr>
            <w:tcW w:w="2492" w:type="dxa"/>
          </w:tcPr>
          <w:p w14:paraId="2CF77A02" w14:textId="77777777" w:rsidR="008B6377" w:rsidRPr="00105FFC" w:rsidRDefault="008B6377" w:rsidP="008B637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53.6%</w:t>
            </w:r>
          </w:p>
        </w:tc>
        <w:tc>
          <w:tcPr>
            <w:tcW w:w="2440" w:type="dxa"/>
          </w:tcPr>
          <w:p w14:paraId="2D107B7D" w14:textId="77777777" w:rsidR="008B6377" w:rsidRPr="00105FFC" w:rsidRDefault="008B6377" w:rsidP="008B637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sz w:val="22"/>
                <w:szCs w:val="22"/>
              </w:rPr>
            </w:pPr>
            <w:r w:rsidRPr="00105FFC">
              <w:rPr>
                <w:rFonts w:asciiTheme="minorHAnsi" w:eastAsiaTheme="minorHAnsi" w:hAnsiTheme="minorHAnsi" w:cstheme="minorBidi"/>
                <w:color w:val="000000"/>
                <w:sz w:val="22"/>
                <w:szCs w:val="22"/>
              </w:rPr>
              <w:t>50.3%</w:t>
            </w:r>
          </w:p>
        </w:tc>
      </w:tr>
    </w:tbl>
    <w:p w14:paraId="76AF6574" w14:textId="77777777" w:rsidR="00D56502" w:rsidRPr="00105FFC" w:rsidRDefault="008B6377" w:rsidP="00AF1CCC">
      <w:pPr>
        <w:spacing w:after="120"/>
        <w:rPr>
          <w:rFonts w:asciiTheme="minorHAnsi" w:eastAsiaTheme="minorHAnsi" w:hAnsiTheme="minorHAnsi" w:cstheme="minorBidi"/>
          <w:sz w:val="16"/>
          <w:szCs w:val="16"/>
        </w:rPr>
      </w:pPr>
      <w:r w:rsidRPr="00105FFC">
        <w:rPr>
          <w:rFonts w:asciiTheme="minorHAnsi" w:eastAsiaTheme="minorHAnsi" w:hAnsiTheme="minorHAnsi" w:cstheme="minorBidi"/>
          <w:b/>
          <w:sz w:val="16"/>
          <w:szCs w:val="16"/>
        </w:rPr>
        <w:t>Source:</w:t>
      </w:r>
      <w:r w:rsidRPr="00105FFC">
        <w:rPr>
          <w:rFonts w:asciiTheme="minorHAnsi" w:eastAsiaTheme="minorHAnsi" w:hAnsiTheme="minorHAnsi" w:cstheme="minorBidi"/>
          <w:sz w:val="16"/>
          <w:szCs w:val="16"/>
        </w:rPr>
        <w:t xml:space="preserve"> Created by DHCS Research and Analytic Studies Division using data from the MIS/DSS eligibility tables fo</w:t>
      </w:r>
      <w:r w:rsidR="007D3741" w:rsidRPr="00105FFC">
        <w:rPr>
          <w:rFonts w:asciiTheme="minorHAnsi" w:eastAsiaTheme="minorHAnsi" w:hAnsiTheme="minorHAnsi" w:cstheme="minorBidi"/>
          <w:sz w:val="16"/>
          <w:szCs w:val="16"/>
        </w:rPr>
        <w:t>r 2015 and extracted in May 2016</w:t>
      </w:r>
      <w:r w:rsidRPr="00105FFC">
        <w:rPr>
          <w:rFonts w:asciiTheme="minorHAnsi" w:eastAsiaTheme="minorHAnsi" w:hAnsiTheme="minorHAnsi" w:cstheme="minorBidi"/>
          <w:sz w:val="16"/>
          <w:szCs w:val="16"/>
        </w:rPr>
        <w:t xml:space="preserve"> and the </w:t>
      </w:r>
      <w:r w:rsidRPr="00105FFC">
        <w:rPr>
          <w:rFonts w:asciiTheme="minorHAnsi" w:eastAsiaTheme="minorHAnsi" w:hAnsiTheme="minorHAnsi" w:cs="Arial"/>
          <w:color w:val="000000"/>
          <w:sz w:val="16"/>
          <w:szCs w:val="16"/>
          <w:shd w:val="clear" w:color="auto" w:fill="FFFFFF"/>
        </w:rPr>
        <w:t>U.S. Census Bureau, 2010-2014 American Community Survey 5-Year Estimates</w:t>
      </w:r>
      <w:r w:rsidRPr="00105FFC">
        <w:rPr>
          <w:rFonts w:asciiTheme="minorHAnsi" w:eastAsiaTheme="minorHAnsi" w:hAnsiTheme="minorHAnsi" w:cstheme="minorBidi"/>
          <w:sz w:val="16"/>
          <w:szCs w:val="16"/>
        </w:rPr>
        <w:t>.</w:t>
      </w:r>
    </w:p>
    <w:p w14:paraId="41D41657" w14:textId="77777777" w:rsidR="00092374" w:rsidRPr="00105FFC" w:rsidRDefault="00C8300D" w:rsidP="00AF1CCC">
      <w:pPr>
        <w:pStyle w:val="Heading1"/>
        <w:spacing w:before="0" w:after="120" w:line="276" w:lineRule="auto"/>
      </w:pPr>
      <w:bookmarkStart w:id="126" w:name="_Toc459287719"/>
      <w:r w:rsidRPr="00105FFC">
        <w:rPr>
          <w:color w:val="auto"/>
        </w:rPr>
        <w:t>Literature Review</w:t>
      </w:r>
      <w:bookmarkEnd w:id="126"/>
    </w:p>
    <w:p w14:paraId="0069E38C" w14:textId="77777777" w:rsidR="00CD129F" w:rsidRPr="00105FFC" w:rsidRDefault="00C8300D" w:rsidP="002D04DA">
      <w:pPr>
        <w:spacing w:after="120" w:line="276" w:lineRule="auto"/>
        <w:rPr>
          <w:rFonts w:asciiTheme="minorHAnsi" w:hAnsiTheme="minorHAnsi" w:cs="Tahoma"/>
        </w:rPr>
      </w:pPr>
      <w:r w:rsidRPr="00105FFC">
        <w:rPr>
          <w:rFonts w:asciiTheme="minorHAnsi" w:hAnsiTheme="minorHAnsi" w:cs="Tahoma"/>
        </w:rPr>
        <w:t>The purpose of this section is to summarize the available literature on how health care access has been defined and operationalized in health services research.  A meta-analysis of relevant literature provided recommendations for how to efficiently and effectively monitor health care access in Medicaid health systems.</w:t>
      </w:r>
    </w:p>
    <w:p w14:paraId="794B2076" w14:textId="77777777" w:rsidR="00CD129F"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Over the past 60 years, researchers have struggled with how to best define and measure access to health care services. </w:t>
      </w:r>
      <w:r w:rsidR="00E352ED" w:rsidRPr="00105FFC">
        <w:rPr>
          <w:rFonts w:asciiTheme="minorHAnsi" w:hAnsiTheme="minorHAnsi" w:cs="Tahoma"/>
        </w:rPr>
        <w:t>T</w:t>
      </w:r>
      <w:r w:rsidRPr="00105FFC">
        <w:rPr>
          <w:rFonts w:asciiTheme="minorHAnsi" w:hAnsiTheme="minorHAnsi" w:cs="Tahoma"/>
        </w:rPr>
        <w:t xml:space="preserve">he concept of health care access resists a simplified definition or standard set of measurements, and is often misunderstood. As noted by the IOM, “Often because of difficulties in defining and measuring the concept, people equate access (simply) with insurance coverage or with having enough doctors and hospitals in the geographic area in which they live. But having insurance or nearby health care providers is no guarantee that people who need services will get them.” </w:t>
      </w:r>
      <w:r w:rsidRPr="00105FFC">
        <w:rPr>
          <w:rStyle w:val="EndnoteReference"/>
          <w:rFonts w:asciiTheme="minorHAnsi" w:eastAsiaTheme="majorEastAsia" w:hAnsiTheme="minorHAnsi"/>
        </w:rPr>
        <w:endnoteReference w:id="26"/>
      </w:r>
    </w:p>
    <w:p w14:paraId="15AE86F8" w14:textId="77777777" w:rsidR="000359F9"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Understanding access to health care requires a multi-dimensional examination of the relationships between human behavior, organizational structures, environmental influences, public policy, and economic impacts. Many concepts have informed research over the decades, addressing a variety of elements that measure factors which may enable or impede an </w:t>
      </w:r>
      <w:r w:rsidRPr="00105FFC">
        <w:rPr>
          <w:rFonts w:asciiTheme="minorHAnsi" w:hAnsiTheme="minorHAnsi" w:cs="Tahoma"/>
        </w:rPr>
        <w:lastRenderedPageBreak/>
        <w:t>individual’s access to health care services. However, there is no single, standardized measure that alone can indicate the state of access in a giv</w:t>
      </w:r>
      <w:r w:rsidR="00AF1CCC" w:rsidRPr="00105FFC">
        <w:rPr>
          <w:rFonts w:asciiTheme="minorHAnsi" w:hAnsiTheme="minorHAnsi" w:cs="Tahoma"/>
        </w:rPr>
        <w:t>en health care delivery system.</w:t>
      </w:r>
    </w:p>
    <w:p w14:paraId="637C9023" w14:textId="77777777" w:rsidR="000359F9" w:rsidRPr="00105FFC" w:rsidRDefault="00C8300D" w:rsidP="00AF1CCC">
      <w:pPr>
        <w:pStyle w:val="Heading2"/>
        <w:spacing w:before="0" w:after="120" w:line="276" w:lineRule="auto"/>
        <w:rPr>
          <w:rFonts w:asciiTheme="minorHAnsi" w:hAnsiTheme="minorHAnsi"/>
          <w:color w:val="auto"/>
        </w:rPr>
      </w:pPr>
      <w:bookmarkStart w:id="127" w:name="_Toc459287720"/>
      <w:r w:rsidRPr="00105FFC">
        <w:rPr>
          <w:rFonts w:asciiTheme="minorHAnsi" w:hAnsiTheme="minorHAnsi"/>
          <w:color w:val="auto"/>
        </w:rPr>
        <w:t>Primary Access Elements</w:t>
      </w:r>
      <w:bookmarkEnd w:id="127"/>
    </w:p>
    <w:p w14:paraId="3CB289D3"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Although the study of access to health care services is inherently complex and difficult to conceptualize, with a wide array of factors influencing patient access on multiple levels, several elements are universally recognized as primary drivers that help form the foundation of health care access. </w:t>
      </w:r>
    </w:p>
    <w:p w14:paraId="285E27D7" w14:textId="77777777" w:rsidR="000359F9" w:rsidRPr="00105FFC" w:rsidRDefault="00C8300D" w:rsidP="00AF1CCC">
      <w:pPr>
        <w:pStyle w:val="Heading3"/>
        <w:spacing w:before="0" w:after="120" w:line="276" w:lineRule="auto"/>
        <w:rPr>
          <w:color w:val="auto"/>
        </w:rPr>
      </w:pPr>
      <w:bookmarkStart w:id="128" w:name="_Toc459287721"/>
      <w:r w:rsidRPr="00105FFC">
        <w:rPr>
          <w:color w:val="auto"/>
        </w:rPr>
        <w:t>Insurance Coverage</w:t>
      </w:r>
      <w:bookmarkEnd w:id="128"/>
    </w:p>
    <w:p w14:paraId="3F2B21D2"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The most fundamental and frequently studied variable in health care access is health insurance.  Many health services researchers have provided strong evidence that a lack of health insurance is a major deterrent to health care access and utilization, which can lead to poor health outcomes.</w:t>
      </w:r>
      <w:r w:rsidR="00AF1CCC" w:rsidRPr="00105FFC">
        <w:rPr>
          <w:rFonts w:asciiTheme="minorHAnsi" w:hAnsiTheme="minorHAnsi" w:cs="Tahoma"/>
        </w:rPr>
        <w:t xml:space="preserve">  </w:t>
      </w:r>
    </w:p>
    <w:p w14:paraId="74BD5066"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The IOM Committee on the Consequences of Uninsurance (IOM-COU) summarizes the evidence on the effects of being uninsured in the United States, reporting that health insurance is associated with better health outcomes and increases the likelihood of receiving appropriate preventive, chronic, and acute care services. Additionally, individuals without health insurance coverage are more likely to experience sharper declines in health status and die sooner than those with continuous health insurance coverage.</w:t>
      </w:r>
      <w:r w:rsidRPr="00105FFC">
        <w:rPr>
          <w:rStyle w:val="EndnoteReference"/>
          <w:rFonts w:asciiTheme="minorHAnsi" w:eastAsiaTheme="majorEastAsia" w:hAnsiTheme="minorHAnsi"/>
        </w:rPr>
        <w:t xml:space="preserve"> </w:t>
      </w:r>
      <w:r w:rsidRPr="00105FFC">
        <w:rPr>
          <w:rStyle w:val="EndnoteReference"/>
          <w:rFonts w:asciiTheme="minorHAnsi" w:eastAsiaTheme="majorEastAsia" w:hAnsiTheme="minorHAnsi"/>
        </w:rPr>
        <w:endnoteReference w:id="27"/>
      </w:r>
    </w:p>
    <w:p w14:paraId="432F1300" w14:textId="77777777" w:rsidR="000359F9" w:rsidRPr="00105FFC" w:rsidRDefault="00C8300D" w:rsidP="002D04DA">
      <w:pPr>
        <w:spacing w:after="120" w:line="276" w:lineRule="auto"/>
        <w:rPr>
          <w:rFonts w:asciiTheme="minorHAnsi" w:hAnsiTheme="minorHAnsi" w:cs="Tahoma"/>
        </w:rPr>
      </w:pPr>
      <w:r w:rsidRPr="00105FFC">
        <w:rPr>
          <w:rFonts w:asciiTheme="minorHAnsi" w:hAnsiTheme="minorHAnsi" w:cs="Tahoma"/>
        </w:rPr>
        <w:t>Although health insurance is an important enabler of health services utilization, it is only one of several important factors in health care access.</w:t>
      </w:r>
      <w:r w:rsidR="00AF1CCC" w:rsidRPr="00105FFC">
        <w:rPr>
          <w:rFonts w:asciiTheme="minorHAnsi" w:hAnsiTheme="minorHAnsi" w:cs="Tahoma"/>
        </w:rPr>
        <w:t xml:space="preserve">  </w:t>
      </w:r>
    </w:p>
    <w:p w14:paraId="7FF8C28F" w14:textId="77777777" w:rsidR="00C8300D" w:rsidRPr="00105FFC" w:rsidRDefault="00C8300D" w:rsidP="00AF1CCC">
      <w:pPr>
        <w:pStyle w:val="Heading3"/>
        <w:spacing w:before="0" w:after="120" w:line="276" w:lineRule="auto"/>
        <w:rPr>
          <w:color w:val="auto"/>
        </w:rPr>
      </w:pPr>
      <w:bookmarkStart w:id="129" w:name="_Toc295463716"/>
      <w:bookmarkStart w:id="130" w:name="_Toc303177762"/>
      <w:bookmarkStart w:id="131" w:name="_Toc305586786"/>
      <w:bookmarkStart w:id="132" w:name="_Toc459287722"/>
      <w:r w:rsidRPr="00105FFC">
        <w:rPr>
          <w:color w:val="auto"/>
        </w:rPr>
        <w:t>Provider Supply</w:t>
      </w:r>
      <w:bookmarkEnd w:id="129"/>
      <w:bookmarkEnd w:id="130"/>
      <w:bookmarkEnd w:id="131"/>
      <w:bookmarkEnd w:id="132"/>
    </w:p>
    <w:p w14:paraId="054CE6CF" w14:textId="77777777" w:rsidR="00000936" w:rsidRPr="00105FFC" w:rsidRDefault="00C8300D" w:rsidP="002D04DA">
      <w:pPr>
        <w:spacing w:after="120" w:line="276" w:lineRule="auto"/>
        <w:rPr>
          <w:rFonts w:asciiTheme="minorHAnsi" w:hAnsiTheme="minorHAnsi" w:cs="Tahoma"/>
        </w:rPr>
      </w:pPr>
      <w:r w:rsidRPr="00105FFC">
        <w:rPr>
          <w:rFonts w:asciiTheme="minorHAnsi" w:hAnsiTheme="minorHAnsi" w:cs="Tahoma"/>
        </w:rPr>
        <w:t>De</w:t>
      </w:r>
      <w:r w:rsidR="00EC7C45" w:rsidRPr="00105FFC">
        <w:rPr>
          <w:rFonts w:asciiTheme="minorHAnsi" w:hAnsiTheme="minorHAnsi" w:cs="Tahoma"/>
        </w:rPr>
        <w:t>m</w:t>
      </w:r>
      <w:r w:rsidRPr="00105FFC">
        <w:rPr>
          <w:rFonts w:asciiTheme="minorHAnsi" w:hAnsiTheme="minorHAnsi" w:cs="Tahoma"/>
        </w:rPr>
        <w:t xml:space="preserve">and </w:t>
      </w:r>
      <w:r w:rsidR="00EE21D3" w:rsidRPr="00105FFC">
        <w:rPr>
          <w:rFonts w:asciiTheme="minorHAnsi" w:hAnsiTheme="minorHAnsi" w:cs="Tahoma"/>
        </w:rPr>
        <w:t xml:space="preserve">for safety-net health care services </w:t>
      </w:r>
      <w:r w:rsidRPr="00105FFC">
        <w:rPr>
          <w:rFonts w:asciiTheme="minorHAnsi" w:hAnsiTheme="minorHAnsi" w:cs="Tahoma"/>
        </w:rPr>
        <w:t xml:space="preserve">has been defined as, “the extent of need for safety-net services … affected by a wide variety of factors, particularly the size of the population potentially using safety-net providers and the intensity of their need.” </w:t>
      </w:r>
      <w:r w:rsidRPr="00105FFC">
        <w:rPr>
          <w:rStyle w:val="EndnoteReference"/>
          <w:rFonts w:asciiTheme="minorHAnsi" w:eastAsiaTheme="majorEastAsia" w:hAnsiTheme="minorHAnsi"/>
        </w:rPr>
        <w:endnoteReference w:id="28"/>
      </w:r>
      <w:r w:rsidRPr="00105FFC">
        <w:rPr>
          <w:rFonts w:asciiTheme="minorHAnsi" w:hAnsiTheme="minorHAnsi" w:cs="Tahoma"/>
        </w:rPr>
        <w:t xml:space="preserve"> Health care demand has been studied in various ways – focusing both on assessing community-wide health care resources available to serve the needy, as well as considering the unique characteristics of the population placing demand on ser</w:t>
      </w:r>
      <w:r w:rsidR="00AF1CCC" w:rsidRPr="00105FFC">
        <w:rPr>
          <w:rFonts w:asciiTheme="minorHAnsi" w:hAnsiTheme="minorHAnsi" w:cs="Tahoma"/>
        </w:rPr>
        <w:t>vices in the safety-net system.</w:t>
      </w:r>
    </w:p>
    <w:p w14:paraId="7DC40C55" w14:textId="77777777" w:rsidR="00EE21D3" w:rsidRPr="00105FFC" w:rsidRDefault="00EE21D3" w:rsidP="00EE21D3">
      <w:pPr>
        <w:spacing w:line="276" w:lineRule="auto"/>
        <w:rPr>
          <w:rFonts w:asciiTheme="minorHAnsi" w:hAnsiTheme="minorHAnsi" w:cs="Tahoma"/>
        </w:rPr>
      </w:pPr>
      <w:r w:rsidRPr="00105FFC">
        <w:rPr>
          <w:rFonts w:asciiTheme="minorHAnsi" w:hAnsiTheme="minorHAnsi" w:cs="Tahoma"/>
        </w:rPr>
        <w:lastRenderedPageBreak/>
        <w:t>To meet this demand, there must be at least an adequate supply of physicians and other health care providers.  Physician supply has been defined as “the number of licensed physicians working in a health care system or active in the labor market.”</w:t>
      </w:r>
      <w:r w:rsidRPr="00105FFC">
        <w:rPr>
          <w:rStyle w:val="EndnoteReference"/>
          <w:rFonts w:asciiTheme="minorHAnsi" w:hAnsiTheme="minorHAnsi" w:cs="Tahoma"/>
        </w:rPr>
        <w:endnoteReference w:id="29"/>
      </w:r>
      <w:r w:rsidRPr="00105FFC">
        <w:rPr>
          <w:rFonts w:asciiTheme="minorHAnsi" w:hAnsiTheme="minorHAnsi" w:cs="Tahoma"/>
        </w:rPr>
        <w:t xml:space="preserve"> The same concept can be applied to other health care providers such as physician assistants, nurse practitioners, nurses, dentists, optometrists, behavioral health therapists, and physical therapists.  In this section, we will discuss what existing literature has to say about provider supply and its effect on access to care, especially for the Medi-Cal and Medicaid populations. </w:t>
      </w:r>
    </w:p>
    <w:p w14:paraId="31E2B32D" w14:textId="77777777" w:rsidR="00FE7486" w:rsidRPr="00105FFC" w:rsidRDefault="00FE7486" w:rsidP="00EE21D3">
      <w:pPr>
        <w:spacing w:line="276" w:lineRule="auto"/>
        <w:rPr>
          <w:rFonts w:asciiTheme="minorHAnsi" w:hAnsiTheme="minorHAnsi" w:cs="Tahoma"/>
        </w:rPr>
      </w:pPr>
    </w:p>
    <w:p w14:paraId="61008808" w14:textId="77777777" w:rsidR="00C8300D" w:rsidRPr="00105FFC" w:rsidRDefault="00C8300D" w:rsidP="00AF1CCC">
      <w:pPr>
        <w:pStyle w:val="Heading4"/>
        <w:spacing w:before="0" w:after="120" w:line="276" w:lineRule="auto"/>
        <w:rPr>
          <w:color w:val="auto"/>
        </w:rPr>
      </w:pPr>
      <w:r w:rsidRPr="00105FFC">
        <w:rPr>
          <w:color w:val="auto"/>
        </w:rPr>
        <w:t xml:space="preserve">Impact of the </w:t>
      </w:r>
      <w:r w:rsidR="00D519F6" w:rsidRPr="00105FFC">
        <w:rPr>
          <w:color w:val="auto"/>
        </w:rPr>
        <w:t>ACA</w:t>
      </w:r>
    </w:p>
    <w:p w14:paraId="6C6F8E12"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The enactment of health care legislation over the past several years, including the </w:t>
      </w:r>
      <w:r w:rsidR="00D519F6" w:rsidRPr="00105FFC">
        <w:rPr>
          <w:rFonts w:asciiTheme="minorHAnsi" w:hAnsiTheme="minorHAnsi" w:cs="Tahoma"/>
        </w:rPr>
        <w:t>ACA</w:t>
      </w:r>
      <w:r w:rsidRPr="00105FFC">
        <w:rPr>
          <w:rFonts w:asciiTheme="minorHAnsi" w:hAnsiTheme="minorHAnsi" w:cs="Tahoma"/>
        </w:rPr>
        <w:t xml:space="preserve"> and the Children’s Health Insurance Program Reauthorization Act (CHIPRA), has expanded </w:t>
      </w:r>
      <w:r w:rsidR="00FE7486" w:rsidRPr="00105FFC">
        <w:rPr>
          <w:rFonts w:asciiTheme="minorHAnsi" w:hAnsiTheme="minorHAnsi" w:cs="Tahoma"/>
        </w:rPr>
        <w:t>publicly</w:t>
      </w:r>
      <w:r w:rsidRPr="00105FFC">
        <w:rPr>
          <w:rFonts w:asciiTheme="minorHAnsi" w:hAnsiTheme="minorHAnsi" w:cs="Tahoma"/>
        </w:rPr>
        <w:t xml:space="preserve"> funded health insurance coverage to millions who were previously uninsured, including more than 10 million individuals new to Medicaid as a result of the ACA’s eligibility expansions.</w:t>
      </w:r>
      <w:r w:rsidRPr="00105FFC">
        <w:rPr>
          <w:rStyle w:val="EndnoteReference"/>
          <w:rFonts w:asciiTheme="minorHAnsi" w:eastAsiaTheme="majorEastAsia" w:hAnsiTheme="minorHAnsi"/>
        </w:rPr>
        <w:endnoteReference w:id="30"/>
      </w:r>
    </w:p>
    <w:p w14:paraId="310108E2" w14:textId="77777777" w:rsidR="00000936" w:rsidRPr="00105FFC" w:rsidRDefault="00C8300D" w:rsidP="002D04DA">
      <w:pPr>
        <w:spacing w:after="120" w:line="276" w:lineRule="auto"/>
        <w:rPr>
          <w:rFonts w:asciiTheme="minorHAnsi" w:hAnsiTheme="minorHAnsi" w:cs="Tahoma"/>
        </w:rPr>
      </w:pPr>
      <w:r w:rsidRPr="00105FFC">
        <w:rPr>
          <w:rFonts w:asciiTheme="minorHAnsi" w:hAnsiTheme="minorHAnsi" w:cs="Tahoma"/>
        </w:rPr>
        <w:t>These gains have minimized one of the fundamental barriers to accessing care, and one of the tests facing these health care coverage expansion programs will be in accommodating the increased demand for health care services in the safety-net system, the default system which cares for the uninsured and medically vulnerable. However, several years after the ACA’s initial implementation, research indicated that the health law was likely to have a relatively modest impact on demand for services, and existing provider supply should be sufficient to meet any increase in demand.</w:t>
      </w:r>
      <w:r w:rsidRPr="00105FFC">
        <w:rPr>
          <w:rStyle w:val="EndnoteReference"/>
          <w:rFonts w:asciiTheme="minorHAnsi" w:eastAsiaTheme="majorEastAsia" w:hAnsiTheme="minorHAnsi"/>
        </w:rPr>
        <w:endnoteReference w:id="31"/>
      </w:r>
      <w:r w:rsidRPr="00105FFC">
        <w:rPr>
          <w:rFonts w:asciiTheme="minorHAnsi" w:hAnsiTheme="minorHAnsi" w:cs="Tahoma"/>
        </w:rPr>
        <w:t xml:space="preserve"> A study assessing effects of the ACA five years after its passage supported this and found a high degree of consumer satisfaction with access to services, with about 75% of individuals seeking appointments with new primary care physicians being able to secure one within four weeks.</w:t>
      </w:r>
      <w:r w:rsidRPr="00105FFC">
        <w:rPr>
          <w:rStyle w:val="EndnoteReference"/>
          <w:rFonts w:asciiTheme="minorHAnsi" w:eastAsiaTheme="majorEastAsia" w:hAnsiTheme="minorHAnsi"/>
        </w:rPr>
        <w:endnoteReference w:id="32"/>
      </w:r>
    </w:p>
    <w:p w14:paraId="0A1DA436" w14:textId="77777777" w:rsidR="00C8300D" w:rsidRPr="00105FFC" w:rsidRDefault="00C8300D" w:rsidP="00AF1CCC">
      <w:pPr>
        <w:pStyle w:val="Heading4"/>
        <w:spacing w:before="0" w:after="120" w:line="276" w:lineRule="auto"/>
        <w:rPr>
          <w:color w:val="auto"/>
        </w:rPr>
      </w:pPr>
      <w:r w:rsidRPr="00105FFC">
        <w:rPr>
          <w:color w:val="auto"/>
        </w:rPr>
        <w:t>Monitoring Provider Supply</w:t>
      </w:r>
    </w:p>
    <w:p w14:paraId="2E31531B"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Population characteristics such as age distribution, the level of illness and disability, cultural diversity, and the geographic distribution of the population have been identified in the literature as important factors to consider in a health care access monitoring system, since each in some way relates to specific demands for services.</w:t>
      </w:r>
      <w:r w:rsidRPr="00105FFC">
        <w:rPr>
          <w:rStyle w:val="EndnoteReference"/>
          <w:rFonts w:asciiTheme="minorHAnsi" w:eastAsiaTheme="majorEastAsia" w:hAnsiTheme="minorHAnsi"/>
        </w:rPr>
        <w:endnoteReference w:id="33"/>
      </w:r>
    </w:p>
    <w:p w14:paraId="0CB2C037" w14:textId="77777777" w:rsidR="00C8300D" w:rsidRPr="00105FFC" w:rsidRDefault="00C8300D" w:rsidP="00AF1CCC">
      <w:pPr>
        <w:spacing w:after="120" w:line="276" w:lineRule="auto"/>
        <w:rPr>
          <w:rFonts w:asciiTheme="minorHAnsi" w:hAnsiTheme="minorHAnsi" w:cs="Tahoma"/>
        </w:rPr>
      </w:pPr>
      <w:r w:rsidRPr="00105FFC">
        <w:rPr>
          <w:rFonts w:asciiTheme="minorHAnsi" w:hAnsiTheme="minorHAnsi" w:cs="Tahoma"/>
        </w:rPr>
        <w:lastRenderedPageBreak/>
        <w:t>For example, a population comprised predominantly of older or disabled adults places greater demand on specialty services such as cardiology or orthopedic surgery, while a population comprised mainly of children places a greater demand on pediatric services. Other studies which focus on assessing health care capacity examine community-level factors of access such as the availability of providers offering services within the community, the overall availability of hospital beds, the preponderance of poverty in the community, and market factors such as the extent to which managed care is the</w:t>
      </w:r>
      <w:r w:rsidR="00AF1CCC" w:rsidRPr="00105FFC">
        <w:rPr>
          <w:rFonts w:asciiTheme="minorHAnsi" w:hAnsiTheme="minorHAnsi" w:cs="Tahoma"/>
        </w:rPr>
        <w:t xml:space="preserve"> primary health delivery model.</w:t>
      </w:r>
    </w:p>
    <w:p w14:paraId="4084B6A0"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Adequate provider supply, which is probably the most commonly used community-level measure of health care access, is associated with many positive health outcomes. For example, studies have found a significant association between adequate primary care physician supply and lower mortality, longer life expectancy, and better birth outcomes. These positive outcomes occur even in the presence of individual-level inequities such as income and racial/ethnic characteristics.</w:t>
      </w:r>
      <w:r w:rsidRPr="00105FFC">
        <w:rPr>
          <w:rStyle w:val="EndnoteReference"/>
          <w:rFonts w:asciiTheme="minorHAnsi" w:eastAsiaTheme="majorEastAsia" w:hAnsiTheme="minorHAnsi"/>
        </w:rPr>
        <w:endnoteReference w:id="34"/>
      </w:r>
    </w:p>
    <w:p w14:paraId="5D4CCD31" w14:textId="77777777" w:rsidR="00000936"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Studies assessing the impact of provider supply have examined several practice characteristics such as location (rural vs. urban), health care setting (large group, public or private hospital, academic medical centers, or community health clinics), and provider specialty area. For example, health care resources tend to be scarcer in rural and poor inner-city areas compared to metropolitan areas with higher incomes; and public and teaching hospitals tend to serve a larger proportion of uninsured or </w:t>
      </w:r>
      <w:r w:rsidR="008677A6" w:rsidRPr="00105FFC">
        <w:rPr>
          <w:rFonts w:asciiTheme="minorHAnsi" w:hAnsiTheme="minorHAnsi" w:cs="Tahoma"/>
        </w:rPr>
        <w:t>publicly</w:t>
      </w:r>
      <w:r w:rsidRPr="00105FFC">
        <w:rPr>
          <w:rFonts w:asciiTheme="minorHAnsi" w:hAnsiTheme="minorHAnsi" w:cs="Tahoma"/>
        </w:rPr>
        <w:t xml:space="preserve"> insured patients. When the number of public hospitals shrinks, or when the proportion of low-income patients who reside in rural or inner-city areas grows, the supply and demand for services change in marked w</w:t>
      </w:r>
      <w:r w:rsidR="00AF1CCC" w:rsidRPr="00105FFC">
        <w:rPr>
          <w:rFonts w:asciiTheme="minorHAnsi" w:hAnsiTheme="minorHAnsi" w:cs="Tahoma"/>
        </w:rPr>
        <w:t>ays.</w:t>
      </w:r>
    </w:p>
    <w:p w14:paraId="6668B8E0" w14:textId="77777777" w:rsidR="00C8300D" w:rsidRPr="00105FFC" w:rsidRDefault="00C8300D" w:rsidP="00AF1CCC">
      <w:pPr>
        <w:pStyle w:val="Heading4"/>
        <w:spacing w:before="0" w:after="120" w:line="276" w:lineRule="auto"/>
        <w:rPr>
          <w:color w:val="auto"/>
        </w:rPr>
      </w:pPr>
      <w:r w:rsidRPr="00105FFC">
        <w:rPr>
          <w:color w:val="auto"/>
        </w:rPr>
        <w:t>Specialist Accessibility</w:t>
      </w:r>
    </w:p>
    <w:p w14:paraId="5A894EAD" w14:textId="77777777" w:rsidR="00000936" w:rsidRPr="00105FFC" w:rsidRDefault="00C8300D" w:rsidP="002D04DA">
      <w:pPr>
        <w:spacing w:after="120" w:line="276" w:lineRule="auto"/>
        <w:rPr>
          <w:rFonts w:asciiTheme="minorHAnsi" w:hAnsiTheme="minorHAnsi" w:cs="Tahoma"/>
        </w:rPr>
      </w:pPr>
      <w:r w:rsidRPr="00105FFC">
        <w:rPr>
          <w:rFonts w:asciiTheme="minorHAnsi" w:hAnsiTheme="minorHAnsi" w:cs="Tahoma"/>
        </w:rPr>
        <w:t>The availability of specific professional subgroups (including primary care physicians, obstetricians/gynecologists, specialty care, and surgical specialty practitioners) in the health care system can impact a patient’s access to services. Studies have cited problems with access for California’s uninsured and low-income population to specialty providers such as neurologists, allergy/immunology specialists, orthopedists, and others.</w:t>
      </w:r>
      <w:r w:rsidRPr="00105FFC">
        <w:rPr>
          <w:rStyle w:val="EndnoteReference"/>
          <w:rFonts w:asciiTheme="minorHAnsi" w:eastAsiaTheme="majorEastAsia" w:hAnsiTheme="minorHAnsi"/>
        </w:rPr>
        <w:endnoteReference w:id="35"/>
      </w:r>
      <w:r w:rsidRPr="00105FFC">
        <w:rPr>
          <w:rFonts w:asciiTheme="minorHAnsi" w:hAnsiTheme="minorHAnsi" w:cs="Tahoma"/>
          <w:vertAlign w:val="superscript"/>
        </w:rPr>
        <w:t>,</w:t>
      </w:r>
      <w:r w:rsidRPr="00105FFC">
        <w:rPr>
          <w:rStyle w:val="EndnoteReference"/>
          <w:rFonts w:asciiTheme="minorHAnsi" w:eastAsiaTheme="majorEastAsia" w:hAnsiTheme="minorHAnsi"/>
        </w:rPr>
        <w:endnoteReference w:id="36"/>
      </w:r>
      <w:r w:rsidRPr="00105FFC">
        <w:rPr>
          <w:rFonts w:asciiTheme="minorHAnsi" w:hAnsiTheme="minorHAnsi" w:cs="Tahoma"/>
        </w:rPr>
        <w:t xml:space="preserve"> In addition to limitations rooted in families’ lack of resources (including low levels of income, education, language proficiency, and health literacy), the main reasons cited for these access problems were finding a specialist willing to accept new patients, and the inability of patients to obtain timely appointments. Even when they secure appointments with specialists, uninsured and publicly insured patients face longer delays in receiving care compared to their privately insured counterparts with similar conditions.</w:t>
      </w:r>
      <w:r w:rsidRPr="00105FFC">
        <w:rPr>
          <w:rStyle w:val="EndnoteReference"/>
          <w:rFonts w:asciiTheme="minorHAnsi" w:eastAsiaTheme="majorEastAsia" w:hAnsiTheme="minorHAnsi"/>
        </w:rPr>
        <w:endnoteReference w:id="37"/>
      </w:r>
    </w:p>
    <w:p w14:paraId="64F0070E" w14:textId="77777777" w:rsidR="00C8300D" w:rsidRPr="00105FFC" w:rsidRDefault="00C8300D" w:rsidP="00AF1CCC">
      <w:pPr>
        <w:pStyle w:val="Heading4"/>
        <w:spacing w:before="0" w:after="120" w:line="276" w:lineRule="auto"/>
        <w:rPr>
          <w:color w:val="auto"/>
        </w:rPr>
      </w:pPr>
      <w:r w:rsidRPr="00105FFC">
        <w:rPr>
          <w:color w:val="auto"/>
        </w:rPr>
        <w:lastRenderedPageBreak/>
        <w:t>Rural vs. Urban</w:t>
      </w:r>
    </w:p>
    <w:p w14:paraId="674B8F9B" w14:textId="77777777" w:rsidR="00C8300D" w:rsidRPr="00105FFC" w:rsidRDefault="00C8300D" w:rsidP="00AF1CCC">
      <w:pPr>
        <w:spacing w:after="120" w:line="276" w:lineRule="auto"/>
        <w:rPr>
          <w:rFonts w:asciiTheme="minorHAnsi" w:hAnsiTheme="minorHAnsi" w:cs="Tahoma"/>
        </w:rPr>
      </w:pPr>
      <w:r w:rsidRPr="00105FFC">
        <w:rPr>
          <w:rFonts w:asciiTheme="minorHAnsi" w:hAnsiTheme="minorHAnsi" w:cs="Tahoma"/>
        </w:rPr>
        <w:t>The impact of providers and specialist accessibility is even starker when examining the differences in provider supply within rural vs. urban areas. Provider supply has been a long-standing issue affecting health care access for patients in rural parts of the U.S. While 20% of Americans live in rural areas, only 9% of the nation’s physicians practice there.  Rural residents account for a large proportion of America’s disabled population, and rural areas have difficulties in attracting and retaining qualified health care professionals, often lacking the resources necessary to offer highly specialized services. In comparison to urban residents, patients living in rural areas have access to fewer hospital beds, physicians, nurses, and specialty providers per capita, and face increased transportation barriers. The limited supply of providers offering services in rural areas can lead to patients making fewer physician visits and seeking care later in the course of their illness.</w:t>
      </w:r>
      <w:r w:rsidRPr="00105FFC">
        <w:rPr>
          <w:rStyle w:val="EndnoteReference"/>
          <w:rFonts w:asciiTheme="minorHAnsi" w:eastAsiaTheme="majorEastAsia" w:hAnsiTheme="minorHAnsi"/>
        </w:rPr>
        <w:endnoteReference w:id="38"/>
      </w:r>
    </w:p>
    <w:p w14:paraId="69CF0326" w14:textId="77777777" w:rsidR="00C8300D" w:rsidRPr="00105FFC" w:rsidRDefault="00C8300D" w:rsidP="00AF1CCC">
      <w:pPr>
        <w:pStyle w:val="Heading5"/>
        <w:spacing w:before="0" w:after="120" w:line="276" w:lineRule="auto"/>
        <w:rPr>
          <w:color w:val="auto"/>
        </w:rPr>
      </w:pPr>
      <w:r w:rsidRPr="00105FFC">
        <w:rPr>
          <w:color w:val="auto"/>
        </w:rPr>
        <w:t>Assertions about Rural vs</w:t>
      </w:r>
      <w:r w:rsidR="00AF1CCC" w:rsidRPr="00105FFC">
        <w:rPr>
          <w:color w:val="auto"/>
        </w:rPr>
        <w:t>.</w:t>
      </w:r>
      <w:r w:rsidRPr="00105FFC">
        <w:rPr>
          <w:color w:val="auto"/>
        </w:rPr>
        <w:t xml:space="preserve"> Urban Physician Supply</w:t>
      </w:r>
    </w:p>
    <w:p w14:paraId="45B8C915"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Most existing literature regarding physician supply in urban and rural areas asserts that there is a relative shortage of physicians per population in rural areas, compared to urban areas</w:t>
      </w:r>
      <w:r w:rsidRPr="00105FFC">
        <w:rPr>
          <w:rStyle w:val="EndnoteReference"/>
          <w:rFonts w:asciiTheme="minorHAnsi" w:eastAsiaTheme="majorEastAsia" w:hAnsiTheme="minorHAnsi"/>
        </w:rPr>
        <w:endnoteReference w:id="39"/>
      </w:r>
      <w:r w:rsidRPr="00105FFC">
        <w:rPr>
          <w:rFonts w:asciiTheme="minorHAnsi" w:hAnsiTheme="minorHAnsi" w:cs="Tahoma"/>
        </w:rPr>
        <w:t xml:space="preserve"> </w:t>
      </w:r>
      <w:r w:rsidRPr="00105FFC">
        <w:rPr>
          <w:rStyle w:val="EndnoteReference"/>
          <w:rFonts w:asciiTheme="minorHAnsi" w:eastAsiaTheme="majorEastAsia" w:hAnsiTheme="minorHAnsi"/>
        </w:rPr>
        <w:endnoteReference w:id="40"/>
      </w:r>
      <w:r w:rsidRPr="00105FFC">
        <w:rPr>
          <w:rFonts w:asciiTheme="minorHAnsi" w:hAnsiTheme="minorHAnsi" w:cs="Tahoma"/>
        </w:rPr>
        <w:t>.  As of August 2014, 60% of Primary Medical Health Professional Shortage Areas were located in non-metropolitan areas</w:t>
      </w:r>
      <w:r w:rsidRPr="00105FFC">
        <w:rPr>
          <w:rStyle w:val="EndnoteReference"/>
          <w:rFonts w:asciiTheme="minorHAnsi" w:eastAsiaTheme="majorEastAsia" w:hAnsiTheme="minorHAnsi"/>
        </w:rPr>
        <w:endnoteReference w:id="41"/>
      </w:r>
      <w:r w:rsidRPr="00105FFC">
        <w:rPr>
          <w:rFonts w:asciiTheme="minorHAnsi" w:hAnsiTheme="minorHAnsi" w:cs="Tahoma"/>
        </w:rPr>
        <w:t>.  However, there is not universal agreement among researchers as to whether such a shortage exists in rural areas.  At least one study asserts that the disparity between urban and rural physician supply may reflect oversupply, especially among specialists, in urban areas.  It may also not reflect the usage of urban physicians’ (especially specialists) services by rural residents</w:t>
      </w:r>
      <w:r w:rsidRPr="00105FFC">
        <w:rPr>
          <w:rStyle w:val="EndnoteReference"/>
          <w:rFonts w:asciiTheme="minorHAnsi" w:eastAsiaTheme="majorEastAsia" w:hAnsiTheme="minorHAnsi"/>
        </w:rPr>
        <w:endnoteReference w:id="42"/>
      </w:r>
      <w:r w:rsidR="00AF1CCC" w:rsidRPr="00105FFC">
        <w:rPr>
          <w:rFonts w:asciiTheme="minorHAnsi" w:hAnsiTheme="minorHAnsi" w:cs="Tahoma"/>
        </w:rPr>
        <w:t>.</w:t>
      </w:r>
    </w:p>
    <w:p w14:paraId="06D0A6A3" w14:textId="77777777" w:rsidR="009F6463" w:rsidRPr="00105FFC" w:rsidRDefault="00C8300D" w:rsidP="002D04DA">
      <w:pPr>
        <w:spacing w:after="120" w:line="276" w:lineRule="auto"/>
        <w:rPr>
          <w:rFonts w:asciiTheme="minorHAnsi" w:hAnsiTheme="minorHAnsi" w:cs="Tahoma"/>
          <w:sz w:val="22"/>
          <w:szCs w:val="22"/>
        </w:rPr>
      </w:pPr>
      <w:r w:rsidRPr="00105FFC">
        <w:rPr>
          <w:rFonts w:asciiTheme="minorHAnsi" w:hAnsiTheme="minorHAnsi" w:cs="Tahoma"/>
        </w:rPr>
        <w:t>If shortages exist, they may in part be a symptom of a national health care labor shortage</w:t>
      </w:r>
      <w:r w:rsidRPr="00105FFC">
        <w:rPr>
          <w:rStyle w:val="EndnoteReference"/>
          <w:rFonts w:asciiTheme="minorHAnsi" w:eastAsiaTheme="majorEastAsia" w:hAnsiTheme="minorHAnsi"/>
        </w:rPr>
        <w:endnoteReference w:id="43"/>
      </w:r>
      <w:r w:rsidRPr="00105FFC">
        <w:rPr>
          <w:rFonts w:asciiTheme="minorHAnsi" w:hAnsiTheme="minorHAnsi" w:cs="Tahoma"/>
        </w:rPr>
        <w:t>.  Geographic distribution of supply can also vary by health care workforce sector.  For example, compared to other provider types, there are proportionately fewer oral and behavioral health professionals living and practicing in rural areas</w:t>
      </w:r>
      <w:r w:rsidRPr="00105FFC">
        <w:rPr>
          <w:rStyle w:val="EndnoteReference"/>
          <w:rFonts w:asciiTheme="minorHAnsi" w:eastAsiaTheme="majorEastAsia" w:hAnsiTheme="minorHAnsi"/>
        </w:rPr>
        <w:endnoteReference w:id="44"/>
      </w:r>
      <w:r w:rsidRPr="00105FFC">
        <w:rPr>
          <w:rFonts w:asciiTheme="minorHAnsi" w:hAnsiTheme="minorHAnsi" w:cs="Tahoma"/>
        </w:rPr>
        <w:t>.</w:t>
      </w:r>
    </w:p>
    <w:p w14:paraId="6F8A9BD9" w14:textId="77777777" w:rsidR="00C8300D" w:rsidRPr="00105FFC" w:rsidRDefault="00C8300D" w:rsidP="00AF1CCC">
      <w:pPr>
        <w:pStyle w:val="Heading5"/>
        <w:spacing w:before="0" w:after="120" w:line="276" w:lineRule="auto"/>
      </w:pPr>
      <w:r w:rsidRPr="00105FFC">
        <w:t>Factors that Affect Physician Location</w:t>
      </w:r>
    </w:p>
    <w:p w14:paraId="3389BA09"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There are numerous factors that affect physician location.  First, unlike many Western nations, the US does not manage or regulate the amount, type, and geographic distribution of its workforce.  Thus, members of the healthcare workforce have considerable freedom to choose where and how they work.  This freedom and the resulting geographic imbalance suggest that there are inferior incentives to practice in rural areas</w:t>
      </w:r>
      <w:r w:rsidRPr="00105FFC">
        <w:rPr>
          <w:rStyle w:val="EndnoteReference"/>
          <w:rFonts w:asciiTheme="minorHAnsi" w:eastAsiaTheme="majorEastAsia" w:hAnsiTheme="minorHAnsi"/>
        </w:rPr>
        <w:endnoteReference w:id="45"/>
      </w:r>
      <w:r w:rsidRPr="00105FFC">
        <w:rPr>
          <w:rFonts w:asciiTheme="minorHAnsi" w:hAnsiTheme="minorHAnsi" w:cs="Tahoma"/>
        </w:rPr>
        <w:t>.</w:t>
      </w:r>
    </w:p>
    <w:p w14:paraId="74DC24E1"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lastRenderedPageBreak/>
        <w:t xml:space="preserve">Other factors that affect physician location include specialization; years of training and education; and gender.  Specialty affects physician location decision far more than any other factor.  The more highly specialized the physician or other provider type, and the more years of education and training he or she has, the more likely he or she will practice in an urban area, and the less likely </w:t>
      </w:r>
      <w:r w:rsidR="006C3EA4" w:rsidRPr="00105FFC">
        <w:rPr>
          <w:rFonts w:asciiTheme="minorHAnsi" w:hAnsiTheme="minorHAnsi" w:cs="Tahoma"/>
        </w:rPr>
        <w:t xml:space="preserve">he or she </w:t>
      </w:r>
      <w:r w:rsidRPr="00105FFC">
        <w:rPr>
          <w:rFonts w:asciiTheme="minorHAnsi" w:hAnsiTheme="minorHAnsi" w:cs="Tahoma"/>
        </w:rPr>
        <w:t>will choose a rural area</w:t>
      </w:r>
      <w:r w:rsidRPr="00105FFC">
        <w:rPr>
          <w:rStyle w:val="EndnoteReference"/>
          <w:rFonts w:asciiTheme="minorHAnsi" w:eastAsiaTheme="majorEastAsia" w:hAnsiTheme="minorHAnsi"/>
        </w:rPr>
        <w:endnoteReference w:id="46"/>
      </w:r>
      <w:r w:rsidRPr="00105FFC">
        <w:rPr>
          <w:rFonts w:asciiTheme="minorHAnsi" w:hAnsiTheme="minorHAnsi" w:cs="Tahoma"/>
        </w:rPr>
        <w:t xml:space="preserve"> </w:t>
      </w:r>
      <w:r w:rsidRPr="00105FFC">
        <w:rPr>
          <w:rStyle w:val="EndnoteReference"/>
          <w:rFonts w:asciiTheme="minorHAnsi" w:eastAsiaTheme="majorEastAsia" w:hAnsiTheme="minorHAnsi"/>
        </w:rPr>
        <w:endnoteReference w:id="47"/>
      </w:r>
      <w:r w:rsidRPr="00105FFC">
        <w:rPr>
          <w:rFonts w:asciiTheme="minorHAnsi" w:hAnsiTheme="minorHAnsi" w:cs="Tahoma"/>
        </w:rPr>
        <w:t>.  Female doctors prefer urban practice more strongly than male doctors.  As women continue to account for a progressively increasing percentage of medical students and ultimately physicians, this preference could pose a challenge for recruitment of physicians to practice in rural areas</w:t>
      </w:r>
      <w:r w:rsidRPr="00105FFC">
        <w:rPr>
          <w:rStyle w:val="EndnoteReference"/>
          <w:rFonts w:asciiTheme="minorHAnsi" w:eastAsiaTheme="majorEastAsia" w:hAnsiTheme="minorHAnsi"/>
        </w:rPr>
        <w:endnoteReference w:id="48"/>
      </w:r>
      <w:r w:rsidR="00AF1CCC" w:rsidRPr="00105FFC">
        <w:rPr>
          <w:rFonts w:asciiTheme="minorHAnsi" w:hAnsiTheme="minorHAnsi" w:cs="Tahoma"/>
        </w:rPr>
        <w:t>.</w:t>
      </w:r>
    </w:p>
    <w:p w14:paraId="1E63016C" w14:textId="77777777" w:rsidR="009F6463" w:rsidRPr="00105FFC" w:rsidRDefault="00C8300D" w:rsidP="002D04DA">
      <w:pPr>
        <w:spacing w:after="120" w:line="276" w:lineRule="auto"/>
        <w:rPr>
          <w:rFonts w:asciiTheme="minorHAnsi" w:hAnsiTheme="minorHAnsi" w:cs="Tahoma"/>
        </w:rPr>
      </w:pPr>
      <w:r w:rsidRPr="00105FFC">
        <w:rPr>
          <w:rFonts w:asciiTheme="minorHAnsi" w:hAnsiTheme="minorHAnsi" w:cs="Tahoma"/>
        </w:rPr>
        <w:t>While one might assume that income prospects would drive physicians to practice in urban areas, average physician incomes in rural and urban areas do not differ significantly.  Also, after accounting for local cost of living, rural physician incomes provide significantly more purchasing power.  Thus, earning potential is not necessarily a driving factor in physicians’ location decisions</w:t>
      </w:r>
      <w:r w:rsidRPr="00105FFC">
        <w:rPr>
          <w:rStyle w:val="EndnoteReference"/>
          <w:rFonts w:asciiTheme="minorHAnsi" w:eastAsiaTheme="majorEastAsia" w:hAnsiTheme="minorHAnsi"/>
        </w:rPr>
        <w:endnoteReference w:id="49"/>
      </w:r>
      <w:r w:rsidR="00AF1CCC" w:rsidRPr="00105FFC">
        <w:rPr>
          <w:rFonts w:asciiTheme="minorHAnsi" w:hAnsiTheme="minorHAnsi" w:cs="Tahoma"/>
        </w:rPr>
        <w:t>.</w:t>
      </w:r>
    </w:p>
    <w:p w14:paraId="7177119B" w14:textId="77777777" w:rsidR="00C8300D" w:rsidRPr="00105FFC" w:rsidRDefault="00C8300D" w:rsidP="00FD7DA5">
      <w:pPr>
        <w:pStyle w:val="Heading5"/>
        <w:spacing w:before="0" w:after="120" w:line="276" w:lineRule="auto"/>
      </w:pPr>
      <w:r w:rsidRPr="00105FFC">
        <w:t>Rural vs Urban Physician Supply, and its Effect on Access</w:t>
      </w:r>
    </w:p>
    <w:p w14:paraId="7FEB4F01"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Physician supply ultimately affects access to care more in rural areas than urban ones.  In urban areas, lack of insurance and demographic characteristics such as income and race/ethnicity affect access much more significantly than physician supply.  A more equitably distributed supply within urban areas would not likely resolve those fundamental access inequities</w:t>
      </w:r>
      <w:r w:rsidRPr="00105FFC">
        <w:rPr>
          <w:rStyle w:val="EndnoteReference"/>
          <w:rFonts w:asciiTheme="minorHAnsi" w:eastAsiaTheme="majorEastAsia" w:hAnsiTheme="minorHAnsi"/>
        </w:rPr>
        <w:endnoteReference w:id="50"/>
      </w:r>
      <w:r w:rsidRPr="00105FFC">
        <w:rPr>
          <w:rFonts w:asciiTheme="minorHAnsi" w:hAnsiTheme="minorHAnsi" w:cs="Tahoma"/>
        </w:rPr>
        <w:t xml:space="preserve">.  Since the </w:t>
      </w:r>
      <w:r w:rsidR="00D519F6" w:rsidRPr="00105FFC">
        <w:rPr>
          <w:rFonts w:asciiTheme="minorHAnsi" w:hAnsiTheme="minorHAnsi" w:cs="Tahoma"/>
        </w:rPr>
        <w:t>ACA</w:t>
      </w:r>
      <w:r w:rsidRPr="00105FFC">
        <w:rPr>
          <w:rFonts w:asciiTheme="minorHAnsi" w:hAnsiTheme="minorHAnsi" w:cs="Tahoma"/>
        </w:rPr>
        <w:t xml:space="preserve"> has contributed to increasingly equitable insurance status, it will likely serve to further illustrate that physician supply more negatively affects rural areas</w:t>
      </w:r>
      <w:r w:rsidRPr="00105FFC">
        <w:rPr>
          <w:rStyle w:val="EndnoteReference"/>
          <w:rFonts w:asciiTheme="minorHAnsi" w:eastAsiaTheme="majorEastAsia" w:hAnsiTheme="minorHAnsi"/>
        </w:rPr>
        <w:endnoteReference w:id="51"/>
      </w:r>
      <w:r w:rsidRPr="00105FFC">
        <w:rPr>
          <w:rFonts w:asciiTheme="minorHAnsi" w:hAnsiTheme="minorHAnsi" w:cs="Tahoma"/>
        </w:rPr>
        <w:t>.  Finally, even though rural residents are more likely than their urban counterparts to have a usual source of care, they are more likely to have difficulty accessing that source of care, largely due to the need for extensive travel time to see their providers</w:t>
      </w:r>
      <w:r w:rsidRPr="00105FFC">
        <w:rPr>
          <w:rStyle w:val="EndnoteReference"/>
          <w:rFonts w:asciiTheme="minorHAnsi" w:eastAsiaTheme="majorEastAsia" w:hAnsiTheme="minorHAnsi"/>
        </w:rPr>
        <w:endnoteReference w:id="52"/>
      </w:r>
      <w:r w:rsidRPr="00105FFC">
        <w:rPr>
          <w:rFonts w:asciiTheme="minorHAnsi" w:hAnsiTheme="minorHAnsi" w:cs="Tahoma"/>
        </w:rPr>
        <w:t>.</w:t>
      </w:r>
      <w:r w:rsidR="00FD7DA5" w:rsidRPr="00105FFC">
        <w:rPr>
          <w:rFonts w:asciiTheme="minorHAnsi" w:hAnsiTheme="minorHAnsi" w:cs="Tahoma"/>
        </w:rPr>
        <w:t xml:space="preserve">     </w:t>
      </w:r>
    </w:p>
    <w:p w14:paraId="36DCE16A" w14:textId="77777777" w:rsidR="00FD7DA5" w:rsidRPr="00105FFC" w:rsidRDefault="00C8300D" w:rsidP="00FD7DA5">
      <w:pPr>
        <w:pStyle w:val="Heading4"/>
        <w:spacing w:before="0" w:after="120" w:line="276" w:lineRule="auto"/>
      </w:pPr>
      <w:r w:rsidRPr="00105FFC">
        <w:t>Evaluating Adequacy</w:t>
      </w:r>
    </w:p>
    <w:p w14:paraId="52C0833D" w14:textId="77777777" w:rsidR="00C8300D" w:rsidRPr="00105FFC" w:rsidRDefault="00C8300D" w:rsidP="00FD7DA5">
      <w:pPr>
        <w:spacing w:after="120" w:line="276" w:lineRule="auto"/>
        <w:rPr>
          <w:rFonts w:asciiTheme="minorHAnsi" w:hAnsiTheme="minorHAnsi" w:cs="Tahoma"/>
        </w:rPr>
      </w:pPr>
      <w:r w:rsidRPr="00105FFC">
        <w:rPr>
          <w:rFonts w:asciiTheme="minorHAnsi" w:hAnsiTheme="minorHAnsi" w:cs="Tahoma"/>
        </w:rPr>
        <w:t>Identifying areas of oversupply and shortages of safety-net providers and specialists is critical in assessing access and meeting the demand for safety-net health care services. There were several methodologies identified in the literature that are used to evaluate the adequacy of provider supply. Three complementary methods are described below.</w:t>
      </w:r>
      <w:r w:rsidRPr="00105FFC">
        <w:rPr>
          <w:rStyle w:val="EndnoteReference"/>
          <w:rFonts w:asciiTheme="minorHAnsi" w:eastAsiaTheme="majorEastAsia" w:hAnsiTheme="minorHAnsi"/>
        </w:rPr>
        <w:endnoteReference w:id="53"/>
      </w:r>
      <w:r w:rsidR="00FD7DA5" w:rsidRPr="00105FFC">
        <w:rPr>
          <w:rFonts w:asciiTheme="minorHAnsi" w:hAnsiTheme="minorHAnsi" w:cs="Tahoma"/>
        </w:rPr>
        <w:t xml:space="preserve"> </w:t>
      </w:r>
    </w:p>
    <w:p w14:paraId="0B402253" w14:textId="77777777" w:rsidR="00C8300D" w:rsidRPr="00105FFC" w:rsidRDefault="00C8300D" w:rsidP="00FD7DA5">
      <w:pPr>
        <w:spacing w:after="120" w:line="276" w:lineRule="auto"/>
        <w:rPr>
          <w:rFonts w:asciiTheme="minorHAnsi" w:hAnsiTheme="minorHAnsi" w:cs="Tahoma"/>
        </w:rPr>
      </w:pPr>
      <w:r w:rsidRPr="00105FFC">
        <w:rPr>
          <w:rStyle w:val="Heading5Char"/>
          <w:rFonts w:asciiTheme="minorHAnsi" w:hAnsiTheme="minorHAnsi"/>
          <w:i/>
          <w:u w:val="none"/>
        </w:rPr>
        <w:lastRenderedPageBreak/>
        <w:t>Relative benchmarking</w:t>
      </w:r>
      <w:r w:rsidRPr="00105FFC">
        <w:rPr>
          <w:rFonts w:asciiTheme="minorHAnsi" w:hAnsiTheme="minorHAnsi" w:cs="Tahoma"/>
        </w:rPr>
        <w:t xml:space="preserve"> uses population-to-physician ratios in a geographic area of interest, and compares this ratio to those of other geographic areas. A county-based or local population-to-provider ratio that is well above the mean for the state could be an indication of under-supply and a signal for Medicaid officials to investigate further.</w:t>
      </w:r>
      <w:r w:rsidR="00FD7DA5" w:rsidRPr="00105FFC">
        <w:rPr>
          <w:rFonts w:asciiTheme="minorHAnsi" w:hAnsiTheme="minorHAnsi" w:cs="Tahoma"/>
        </w:rPr>
        <w:t xml:space="preserve">  </w:t>
      </w:r>
    </w:p>
    <w:p w14:paraId="36717D1B" w14:textId="77777777" w:rsidR="00C8300D" w:rsidRPr="00105FFC" w:rsidRDefault="00C8300D" w:rsidP="00E352ED">
      <w:pPr>
        <w:spacing w:after="120" w:line="276" w:lineRule="auto"/>
        <w:rPr>
          <w:rFonts w:asciiTheme="minorHAnsi" w:hAnsiTheme="minorHAnsi" w:cs="Tahoma"/>
        </w:rPr>
      </w:pPr>
      <w:r w:rsidRPr="00105FFC">
        <w:rPr>
          <w:rStyle w:val="Heading5Char"/>
          <w:rFonts w:asciiTheme="minorHAnsi" w:hAnsiTheme="minorHAnsi"/>
          <w:i/>
          <w:u w:val="none"/>
        </w:rPr>
        <w:t>Normative benchmarking</w:t>
      </w:r>
      <w:r w:rsidRPr="00105FFC">
        <w:rPr>
          <w:rFonts w:asciiTheme="minorHAnsi" w:hAnsiTheme="minorHAnsi" w:cs="Tahoma"/>
        </w:rPr>
        <w:t xml:space="preserve"> utilizes a pre-determined desired ratio of the population to providers against the actual ratio. The HPSA’s population-to-primary-care-physician ratio of 3,500:1 as a benchmark for “high need” is an example of a normative ratio. Of course, such ratios vary by provider type, and demand for services varies by physician specialty. For example, the number of visits to pediatricians or family practice physicians, per thousand members, is likely to be greater than the number of visits to dermatologists or ophthalmologists.</w:t>
      </w:r>
      <w:r w:rsidR="00E352ED" w:rsidRPr="00105FFC">
        <w:rPr>
          <w:rFonts w:asciiTheme="minorHAnsi" w:hAnsiTheme="minorHAnsi" w:cs="Tahoma"/>
        </w:rPr>
        <w:t xml:space="preserve">  </w:t>
      </w:r>
    </w:p>
    <w:p w14:paraId="3AD93C11" w14:textId="77777777" w:rsidR="00C8300D" w:rsidRPr="00105FFC" w:rsidRDefault="00C8300D" w:rsidP="002D04DA">
      <w:pPr>
        <w:spacing w:after="120" w:line="276" w:lineRule="auto"/>
        <w:rPr>
          <w:rFonts w:asciiTheme="minorHAnsi" w:hAnsiTheme="minorHAnsi" w:cs="Tahoma"/>
        </w:rPr>
      </w:pPr>
      <w:r w:rsidRPr="00105FFC">
        <w:rPr>
          <w:rStyle w:val="Heading5Char"/>
          <w:rFonts w:asciiTheme="minorHAnsi" w:hAnsiTheme="minorHAnsi"/>
          <w:i/>
          <w:u w:val="none"/>
        </w:rPr>
        <w:t>Economic analysis of the physician labor market</w:t>
      </w:r>
      <w:r w:rsidRPr="00105FFC">
        <w:rPr>
          <w:rFonts w:asciiTheme="minorHAnsi" w:hAnsiTheme="minorHAnsi" w:cs="Tahoma"/>
        </w:rPr>
        <w:t xml:space="preserve"> is the analysis of the provider market, and the impact of reimbursement rates and compensation, as various health care organizations compete for the limited supply of physician services by off</w:t>
      </w:r>
      <w:r w:rsidR="00E352ED" w:rsidRPr="00105FFC">
        <w:rPr>
          <w:rFonts w:asciiTheme="minorHAnsi" w:hAnsiTheme="minorHAnsi" w:cs="Tahoma"/>
        </w:rPr>
        <w:t>ering higher payments. However</w:t>
      </w:r>
      <w:r w:rsidRPr="00105FFC">
        <w:rPr>
          <w:rFonts w:asciiTheme="minorHAnsi" w:hAnsiTheme="minorHAnsi" w:cs="Tahoma"/>
        </w:rPr>
        <w:t>, not all providers share the same sensitivity – or elasticity – to price. Some physicians are able to accommodate a greater number of Medi-Cal beneficiaries as a percentage of their overall practice than others.</w:t>
      </w:r>
    </w:p>
    <w:p w14:paraId="3AE2280D" w14:textId="77777777" w:rsidR="00CC03A3" w:rsidRPr="00105FFC" w:rsidRDefault="00C8300D" w:rsidP="00FD7DA5">
      <w:pPr>
        <w:spacing w:after="120" w:line="276" w:lineRule="auto"/>
        <w:ind w:left="720"/>
        <w:rPr>
          <w:rFonts w:asciiTheme="minorHAnsi" w:hAnsiTheme="minorHAnsi" w:cs="Tahoma"/>
        </w:rPr>
      </w:pPr>
      <w:r w:rsidRPr="00105FFC">
        <w:rPr>
          <w:rFonts w:asciiTheme="minorHAnsi" w:hAnsiTheme="minorHAnsi" w:cs="Tahoma"/>
        </w:rPr>
        <w:t xml:space="preserve">“Although high fee levels increase the probability that individual physicians will accept Medicaid patients, high fee levels do not necessarily lead to high levels of physician Medicaid acceptance in an area. Numerous other physician practice, health system, and community characteristics also affect Medicaid acceptance. The effects of Medicaid fees on Medicaid acceptance are substantially lower in areas with high Medicaid managed care penetration and for physicians who practice in institutional settings. The results suggest that a broad range of factors need to be considered to increase access to physicians for Medicaid enrollees.” </w:t>
      </w:r>
      <w:r w:rsidRPr="00105FFC">
        <w:rPr>
          <w:rStyle w:val="EndnoteReference"/>
          <w:rFonts w:asciiTheme="minorHAnsi" w:eastAsiaTheme="majorEastAsia" w:hAnsiTheme="minorHAnsi"/>
        </w:rPr>
        <w:endnoteReference w:id="54"/>
      </w:r>
      <w:r w:rsidR="00FD7DA5" w:rsidRPr="00105FFC">
        <w:rPr>
          <w:rFonts w:asciiTheme="minorHAnsi" w:hAnsiTheme="minorHAnsi" w:cs="Tahoma"/>
        </w:rPr>
        <w:t xml:space="preserve"> </w:t>
      </w:r>
    </w:p>
    <w:p w14:paraId="2AC1C28F" w14:textId="77777777" w:rsidR="00C8300D" w:rsidRPr="00105FFC" w:rsidRDefault="00C8300D" w:rsidP="00FD7DA5">
      <w:pPr>
        <w:pStyle w:val="Heading3"/>
        <w:spacing w:before="0" w:after="120" w:line="276" w:lineRule="auto"/>
      </w:pPr>
      <w:bookmarkStart w:id="133" w:name="_Toc459287723"/>
      <w:r w:rsidRPr="00105FFC">
        <w:rPr>
          <w:color w:val="auto"/>
        </w:rPr>
        <w:t>Provider Reimbursement</w:t>
      </w:r>
      <w:bookmarkEnd w:id="133"/>
    </w:p>
    <w:p w14:paraId="6651AAB5"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Physicians’ willingness to participate in the Medicaid program is an important aspect of provider supply in</w:t>
      </w:r>
      <w:r w:rsidR="00FE7486" w:rsidRPr="00105FFC">
        <w:rPr>
          <w:rFonts w:asciiTheme="minorHAnsi" w:hAnsiTheme="minorHAnsi" w:cs="Tahoma"/>
        </w:rPr>
        <w:t xml:space="preserve"> Medi-Cal. Certain s</w:t>
      </w:r>
      <w:r w:rsidRPr="00105FFC">
        <w:rPr>
          <w:rFonts w:asciiTheme="minorHAnsi" w:hAnsiTheme="minorHAnsi" w:cs="Tahoma"/>
        </w:rPr>
        <w:t>urveys that assess a provider’s willingness to participate in the Medicaid program have reported inadequate and delayed reimbursement as a primary reason for not participating in the Medicaid program.</w:t>
      </w:r>
      <w:r w:rsidRPr="00105FFC">
        <w:rPr>
          <w:rStyle w:val="EndnoteReference"/>
          <w:rFonts w:asciiTheme="minorHAnsi" w:eastAsiaTheme="majorEastAsia" w:hAnsiTheme="minorHAnsi"/>
        </w:rPr>
        <w:endnoteReference w:id="55"/>
      </w:r>
      <w:r w:rsidRPr="00105FFC">
        <w:rPr>
          <w:rFonts w:asciiTheme="minorHAnsi" w:hAnsiTheme="minorHAnsi" w:cs="Tahoma"/>
          <w:vertAlign w:val="superscript"/>
        </w:rPr>
        <w:t xml:space="preserve">, </w:t>
      </w:r>
      <w:r w:rsidRPr="00105FFC">
        <w:rPr>
          <w:rStyle w:val="EndnoteReference"/>
          <w:rFonts w:asciiTheme="minorHAnsi" w:eastAsiaTheme="majorEastAsia" w:hAnsiTheme="minorHAnsi"/>
        </w:rPr>
        <w:endnoteReference w:id="56"/>
      </w:r>
      <w:r w:rsidRPr="00105FFC">
        <w:rPr>
          <w:rFonts w:asciiTheme="minorHAnsi" w:hAnsiTheme="minorHAnsi" w:cs="Tahoma"/>
          <w:vertAlign w:val="superscript"/>
        </w:rPr>
        <w:t xml:space="preserve">, </w:t>
      </w:r>
      <w:r w:rsidRPr="00105FFC">
        <w:rPr>
          <w:rStyle w:val="EndnoteReference"/>
          <w:rFonts w:asciiTheme="minorHAnsi" w:eastAsiaTheme="majorEastAsia" w:hAnsiTheme="minorHAnsi"/>
        </w:rPr>
        <w:endnoteReference w:id="57"/>
      </w:r>
    </w:p>
    <w:p w14:paraId="22C8ACF7"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Though many studies demonstrate an observable association between higher reimbursement rates and higher physician participation in the Medicaid program, there is conflicting evidence as to the degree of that association. For instance, a </w:t>
      </w:r>
      <w:r w:rsidRPr="00105FFC">
        <w:rPr>
          <w:rFonts w:asciiTheme="minorHAnsi" w:hAnsiTheme="minorHAnsi" w:cs="Tahoma"/>
        </w:rPr>
        <w:lastRenderedPageBreak/>
        <w:t>study of Mississippi’s Medicaid program found that after implementing a legislatively mandated 5.4% reduction in provider reimbursements in 2002, the program saw little to no impact on provider participation. Data show that providers slightly increased their number of appointments to compensate for lost revenue, but even modest impacts on beneficiary access proved to be temporary.</w:t>
      </w:r>
      <w:r w:rsidRPr="00105FFC">
        <w:rPr>
          <w:rStyle w:val="EndnoteReference"/>
          <w:rFonts w:asciiTheme="minorHAnsi" w:eastAsiaTheme="majorEastAsia" w:hAnsiTheme="minorHAnsi"/>
        </w:rPr>
        <w:endnoteReference w:id="58"/>
      </w:r>
    </w:p>
    <w:p w14:paraId="2840C546" w14:textId="77777777" w:rsidR="00C8300D" w:rsidRPr="00105FFC" w:rsidRDefault="00C8300D" w:rsidP="002D04DA">
      <w:pPr>
        <w:spacing w:after="120" w:line="276" w:lineRule="auto"/>
        <w:rPr>
          <w:rFonts w:asciiTheme="minorHAnsi" w:hAnsiTheme="minorHAnsi" w:cs="Tahoma"/>
          <w:vertAlign w:val="superscript"/>
        </w:rPr>
      </w:pPr>
      <w:r w:rsidRPr="00105FFC">
        <w:rPr>
          <w:rFonts w:asciiTheme="minorHAnsi" w:hAnsiTheme="minorHAnsi" w:cs="Tahoma"/>
        </w:rPr>
        <w:t xml:space="preserve">More recent studies assessing the effects of the ACA’s increase in Medicaid primary care physician reimbursements to Medicare levels in 2013 and 2014 found similar results in terms of the impact of reimbursement rates on provider participation. In 10 states, an 8% increase in appointment availability was observed among participating Medicaid providers following the reimbursement increase compared to a 1% increase among privately insured patients. However, no effect on the proportion of providers accepting Medicaid patients was observed. </w:t>
      </w:r>
      <w:r w:rsidRPr="00105FFC">
        <w:rPr>
          <w:rStyle w:val="EndnoteReference"/>
          <w:rFonts w:asciiTheme="minorHAnsi" w:eastAsiaTheme="majorEastAsia" w:hAnsiTheme="minorHAnsi"/>
        </w:rPr>
        <w:endnoteReference w:id="59"/>
      </w:r>
      <w:r w:rsidRPr="00105FFC">
        <w:rPr>
          <w:rFonts w:asciiTheme="minorHAnsi" w:hAnsiTheme="minorHAnsi" w:cs="Tahoma"/>
          <w:vertAlign w:val="superscript"/>
        </w:rPr>
        <w:t xml:space="preserve">, </w:t>
      </w:r>
      <w:r w:rsidRPr="00105FFC">
        <w:rPr>
          <w:rStyle w:val="EndnoteReference"/>
          <w:rFonts w:asciiTheme="minorHAnsi" w:eastAsiaTheme="majorEastAsia" w:hAnsiTheme="minorHAnsi"/>
        </w:rPr>
        <w:endnoteReference w:id="60"/>
      </w:r>
    </w:p>
    <w:p w14:paraId="3676B941" w14:textId="77777777" w:rsidR="00CC03A3" w:rsidRPr="00105FFC" w:rsidRDefault="00C8300D" w:rsidP="002D04DA">
      <w:pPr>
        <w:spacing w:after="120" w:line="276" w:lineRule="auto"/>
        <w:rPr>
          <w:rFonts w:asciiTheme="minorHAnsi" w:hAnsiTheme="minorHAnsi" w:cs="Tahoma"/>
        </w:rPr>
      </w:pPr>
      <w:r w:rsidRPr="00105FFC">
        <w:rPr>
          <w:rFonts w:asciiTheme="minorHAnsi" w:hAnsiTheme="minorHAnsi" w:cs="Tahoma"/>
        </w:rPr>
        <w:t>Other studies recognize that fee levels are only one of many factors that affect the relative number of physicians who are willing to accept Medicaid patients. For example, general internists and family practitioners, physicians from ethnic minority groups, physicians who deliver services in institutional settings, and those practicing in lower-income communities are more likely to participate in the Medicaid program, regardless of reimbursement policies.</w:t>
      </w:r>
      <w:r w:rsidRPr="00105FFC">
        <w:rPr>
          <w:rStyle w:val="EndnoteReference"/>
          <w:rFonts w:asciiTheme="minorHAnsi" w:eastAsiaTheme="majorEastAsia" w:hAnsiTheme="minorHAnsi"/>
        </w:rPr>
        <w:endnoteReference w:id="61"/>
      </w:r>
    </w:p>
    <w:p w14:paraId="39871DFC" w14:textId="77777777" w:rsidR="00C8300D" w:rsidRPr="00105FFC" w:rsidRDefault="00C8300D" w:rsidP="00FD7DA5">
      <w:pPr>
        <w:pStyle w:val="Heading3"/>
        <w:spacing w:before="0" w:after="120" w:line="276" w:lineRule="auto"/>
      </w:pPr>
      <w:bookmarkStart w:id="134" w:name="_Toc459287724"/>
      <w:r w:rsidRPr="00105FFC">
        <w:rPr>
          <w:color w:val="auto"/>
        </w:rPr>
        <w:t>Service Utilization and Other Elements of Access</w:t>
      </w:r>
      <w:bookmarkEnd w:id="134"/>
    </w:p>
    <w:p w14:paraId="0F960CFD" w14:textId="77777777" w:rsidR="00CC03A3" w:rsidRPr="00105FFC" w:rsidRDefault="00C8300D" w:rsidP="002D04DA">
      <w:pPr>
        <w:spacing w:after="120" w:line="276" w:lineRule="auto"/>
        <w:rPr>
          <w:rFonts w:asciiTheme="minorHAnsi" w:hAnsiTheme="minorHAnsi" w:cs="Tahoma"/>
        </w:rPr>
      </w:pPr>
      <w:r w:rsidRPr="00105FFC">
        <w:rPr>
          <w:rFonts w:asciiTheme="minorHAnsi" w:hAnsiTheme="minorHAnsi" w:cs="Tahoma"/>
        </w:rPr>
        <w:t>Appropriate health care utilization, or “realized access,” is the ultimate outcome of achieving effective health care access. Studies have demonstrated that any one of several barriers to access may hinder the ability for patients to access appropriate primary care services, and increase the likelihood for those with chronic conditions to delay needed care or to seek</w:t>
      </w:r>
      <w:r w:rsidR="00FD7DA5" w:rsidRPr="00105FFC">
        <w:rPr>
          <w:rFonts w:asciiTheme="minorHAnsi" w:hAnsiTheme="minorHAnsi" w:cs="Tahoma"/>
        </w:rPr>
        <w:t xml:space="preserve"> care in emergency departments.</w:t>
      </w:r>
    </w:p>
    <w:p w14:paraId="0A7D017B" w14:textId="77777777" w:rsidR="00CC03A3" w:rsidRPr="00105FFC" w:rsidRDefault="00C8300D" w:rsidP="002D04DA">
      <w:pPr>
        <w:spacing w:after="120" w:line="276" w:lineRule="auto"/>
        <w:rPr>
          <w:rFonts w:asciiTheme="minorHAnsi" w:hAnsiTheme="minorHAnsi" w:cs="Tahoma"/>
        </w:rPr>
      </w:pPr>
      <w:r w:rsidRPr="00105FFC">
        <w:rPr>
          <w:rFonts w:asciiTheme="minorHAnsi" w:hAnsiTheme="minorHAnsi" w:cs="Tahoma"/>
        </w:rPr>
        <w:t>Access to preventive services such as routine blood pressure and cholesterol screening, dental check-ups, vaccinations, and routine cancer screening are hindered when patients face major barriers such as a lack of insurance and a limited availability of providers, as well as when they face other patient-level access barrier</w:t>
      </w:r>
      <w:r w:rsidR="00E352ED" w:rsidRPr="00105FFC">
        <w:rPr>
          <w:rFonts w:asciiTheme="minorHAnsi" w:hAnsiTheme="minorHAnsi" w:cs="Tahoma"/>
        </w:rPr>
        <w:t>s</w:t>
      </w:r>
      <w:r w:rsidRPr="00105FFC">
        <w:rPr>
          <w:rFonts w:asciiTheme="minorHAnsi" w:hAnsiTheme="minorHAnsi" w:cs="Tahoma"/>
        </w:rPr>
        <w:t xml:space="preserve"> such as a lack of a usual source of care, and language and transportation difficulties. Eliminating these health care access barriers places patients on a pathway to appropriate health care utilization and, ulti</w:t>
      </w:r>
      <w:r w:rsidR="00FD7DA5" w:rsidRPr="00105FFC">
        <w:rPr>
          <w:rFonts w:asciiTheme="minorHAnsi" w:hAnsiTheme="minorHAnsi" w:cs="Tahoma"/>
        </w:rPr>
        <w:t>mately, better health outcomes.</w:t>
      </w:r>
    </w:p>
    <w:p w14:paraId="78AE8EAB" w14:textId="77777777" w:rsidR="00CC03A3" w:rsidRPr="00105FFC" w:rsidRDefault="00C8300D" w:rsidP="00FD7DA5">
      <w:pPr>
        <w:pStyle w:val="Heading3"/>
        <w:spacing w:before="0" w:after="120" w:line="276" w:lineRule="auto"/>
        <w:rPr>
          <w:color w:val="auto"/>
        </w:rPr>
      </w:pPr>
      <w:bookmarkStart w:id="135" w:name="_Toc459287725"/>
      <w:r w:rsidRPr="00105FFC">
        <w:rPr>
          <w:color w:val="auto"/>
        </w:rPr>
        <w:lastRenderedPageBreak/>
        <w:t>Patient-Level Barriers</w:t>
      </w:r>
      <w:bookmarkEnd w:id="135"/>
    </w:p>
    <w:p w14:paraId="5BA41ECB" w14:textId="77777777" w:rsidR="00C8300D" w:rsidRPr="00105FFC" w:rsidRDefault="00C8300D" w:rsidP="002D04DA">
      <w:pPr>
        <w:spacing w:after="120" w:line="276" w:lineRule="auto"/>
        <w:rPr>
          <w:rFonts w:asciiTheme="minorHAnsi" w:hAnsiTheme="minorHAnsi" w:cs="Tahoma"/>
          <w:vertAlign w:val="superscript"/>
        </w:rPr>
      </w:pPr>
      <w:r w:rsidRPr="00105FFC">
        <w:rPr>
          <w:rFonts w:asciiTheme="minorHAnsi" w:hAnsiTheme="minorHAnsi" w:cs="Tahoma"/>
        </w:rPr>
        <w:t xml:space="preserve">The concept of access to health care services encompasses much more than the three primary pillars of insurance coverage, provider supply, and service utilization. Barriers often cited by low-income and </w:t>
      </w:r>
      <w:r w:rsidR="00E247EC" w:rsidRPr="00105FFC">
        <w:rPr>
          <w:rFonts w:asciiTheme="minorHAnsi" w:hAnsiTheme="minorHAnsi" w:cs="Tahoma"/>
        </w:rPr>
        <w:t>publicly</w:t>
      </w:r>
      <w:r w:rsidRPr="00105FFC">
        <w:rPr>
          <w:rFonts w:asciiTheme="minorHAnsi" w:hAnsiTheme="minorHAnsi" w:cs="Tahoma"/>
        </w:rPr>
        <w:t xml:space="preserve"> insured patients include: the doctor’s lack of responsiveness; a feeling of being unwelcome at doctor’s offices; an inability to pay their portion of costs; being too busy to take time off of work for appointments; and having prior commitments to care for family members, leaving insufficient time to seek care.</w:t>
      </w:r>
      <w:r w:rsidRPr="00105FFC">
        <w:rPr>
          <w:rStyle w:val="EndnoteReference"/>
          <w:rFonts w:asciiTheme="minorHAnsi" w:eastAsiaTheme="majorEastAsia" w:hAnsiTheme="minorHAnsi"/>
        </w:rPr>
        <w:endnoteReference w:id="62"/>
      </w:r>
      <w:r w:rsidRPr="00105FFC">
        <w:rPr>
          <w:rFonts w:asciiTheme="minorHAnsi" w:hAnsiTheme="minorHAnsi" w:cs="Tahoma"/>
          <w:vertAlign w:val="superscript"/>
        </w:rPr>
        <w:t xml:space="preserve">, </w:t>
      </w:r>
      <w:r w:rsidRPr="00105FFC">
        <w:rPr>
          <w:rStyle w:val="EndnoteReference"/>
          <w:rFonts w:asciiTheme="minorHAnsi" w:eastAsiaTheme="majorEastAsia" w:hAnsiTheme="minorHAnsi"/>
        </w:rPr>
        <w:endnoteReference w:id="63"/>
      </w:r>
      <w:r w:rsidRPr="00105FFC">
        <w:rPr>
          <w:rFonts w:asciiTheme="minorHAnsi" w:hAnsiTheme="minorHAnsi" w:cs="Tahoma"/>
          <w:vertAlign w:val="superscript"/>
        </w:rPr>
        <w:t xml:space="preserve">, </w:t>
      </w:r>
      <w:r w:rsidRPr="00105FFC">
        <w:rPr>
          <w:rStyle w:val="EndnoteReference"/>
          <w:rFonts w:asciiTheme="minorHAnsi" w:eastAsiaTheme="majorEastAsia" w:hAnsiTheme="minorHAnsi"/>
        </w:rPr>
        <w:endnoteReference w:id="64"/>
      </w:r>
      <w:r w:rsidRPr="00105FFC">
        <w:rPr>
          <w:rFonts w:asciiTheme="minorHAnsi" w:hAnsiTheme="minorHAnsi" w:cs="Tahoma"/>
          <w:vertAlign w:val="superscript"/>
        </w:rPr>
        <w:t xml:space="preserve">, </w:t>
      </w:r>
      <w:r w:rsidRPr="00105FFC">
        <w:rPr>
          <w:rStyle w:val="EndnoteReference"/>
          <w:rFonts w:asciiTheme="minorHAnsi" w:eastAsiaTheme="majorEastAsia" w:hAnsiTheme="minorHAnsi"/>
        </w:rPr>
        <w:endnoteReference w:id="65"/>
      </w:r>
    </w:p>
    <w:p w14:paraId="04E3FABF"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Even peripheral patient- and community-level issues such as housing instability and food insecurity have been cited as major impediments to health care access, leading to high rates of acute care.</w:t>
      </w:r>
      <w:r w:rsidRPr="00105FFC">
        <w:rPr>
          <w:rStyle w:val="EndnoteReference"/>
          <w:rFonts w:asciiTheme="minorHAnsi" w:eastAsiaTheme="majorEastAsia" w:hAnsiTheme="minorHAnsi"/>
        </w:rPr>
        <w:endnoteReference w:id="66"/>
      </w:r>
      <w:r w:rsidRPr="00105FFC">
        <w:rPr>
          <w:rFonts w:asciiTheme="minorHAnsi" w:hAnsiTheme="minorHAnsi" w:cs="Tahoma"/>
        </w:rPr>
        <w:t xml:space="preserve"> These issues were observed across demographics, with a higher prevalence noted among young adults, women, parents, low-income individuals, and those diagnosed with at least one chronic health condition.</w:t>
      </w:r>
      <w:r w:rsidRPr="00105FFC">
        <w:rPr>
          <w:rStyle w:val="EndnoteReference"/>
          <w:rFonts w:asciiTheme="minorHAnsi" w:eastAsiaTheme="majorEastAsia" w:hAnsiTheme="minorHAnsi"/>
        </w:rPr>
        <w:endnoteReference w:id="67"/>
      </w:r>
    </w:p>
    <w:p w14:paraId="7DB8676E"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In addition, studies have shown that patients encounter a number of process obstacles in getting needed care, such as long telephone wait times, waiting several days for an appointment, and encountering providers who do not have weekend or evening hours.</w:t>
      </w:r>
      <w:r w:rsidRPr="00105FFC">
        <w:rPr>
          <w:rStyle w:val="EndnoteReference"/>
          <w:rFonts w:asciiTheme="minorHAnsi" w:eastAsiaTheme="majorEastAsia" w:hAnsiTheme="minorHAnsi"/>
        </w:rPr>
        <w:endnoteReference w:id="68"/>
      </w:r>
    </w:p>
    <w:p w14:paraId="08838251" w14:textId="77777777" w:rsidR="00C8300D" w:rsidRPr="00105FFC" w:rsidRDefault="00C8300D" w:rsidP="002D04DA">
      <w:pPr>
        <w:spacing w:after="120" w:line="276" w:lineRule="auto"/>
        <w:rPr>
          <w:rFonts w:asciiTheme="minorHAnsi" w:hAnsiTheme="minorHAnsi" w:cs="Tahoma"/>
          <w:vertAlign w:val="superscript"/>
        </w:rPr>
      </w:pPr>
      <w:r w:rsidRPr="00105FFC">
        <w:rPr>
          <w:rFonts w:asciiTheme="minorHAnsi" w:hAnsiTheme="minorHAnsi" w:cs="Tahoma"/>
        </w:rPr>
        <w:t>Patients who live in remote areas of the country experience serious obstacles in accessing needed medical care due to geographic distances and transportation problems. Long transportation times (greater than 30 minutes) and provider proximity have been associated with more frequent use of emergency room visits.</w:t>
      </w:r>
      <w:r w:rsidRPr="00105FFC">
        <w:rPr>
          <w:rStyle w:val="EndnoteReference"/>
          <w:rFonts w:asciiTheme="minorHAnsi" w:eastAsiaTheme="majorEastAsia" w:hAnsiTheme="minorHAnsi"/>
        </w:rPr>
        <w:endnoteReference w:id="69"/>
      </w:r>
      <w:r w:rsidRPr="00105FFC">
        <w:rPr>
          <w:rFonts w:asciiTheme="minorHAnsi" w:hAnsiTheme="minorHAnsi" w:cs="Tahoma"/>
        </w:rPr>
        <w:t xml:space="preserve"> Low-income urban patients who walk or rely on public transportation are less likely to have a usual source of care, wait more than two days before seeking care, and are less likely to seek care when new problems and exacerbations of chronic problems arise.</w:t>
      </w:r>
      <w:r w:rsidRPr="00105FFC">
        <w:rPr>
          <w:rStyle w:val="EndnoteReference"/>
          <w:rFonts w:asciiTheme="minorHAnsi" w:eastAsiaTheme="majorEastAsia" w:hAnsiTheme="minorHAnsi"/>
        </w:rPr>
        <w:endnoteReference w:id="70"/>
      </w:r>
      <w:r w:rsidRPr="00105FFC">
        <w:rPr>
          <w:rFonts w:asciiTheme="minorHAnsi" w:hAnsiTheme="minorHAnsi" w:cs="Tahoma"/>
          <w:vertAlign w:val="superscript"/>
        </w:rPr>
        <w:t xml:space="preserve">, </w:t>
      </w:r>
      <w:r w:rsidRPr="00105FFC">
        <w:rPr>
          <w:rStyle w:val="EndnoteReference"/>
          <w:rFonts w:asciiTheme="minorHAnsi" w:eastAsiaTheme="majorEastAsia" w:hAnsiTheme="minorHAnsi"/>
        </w:rPr>
        <w:endnoteReference w:id="71"/>
      </w:r>
    </w:p>
    <w:p w14:paraId="43492624" w14:textId="77777777" w:rsidR="00CC03A3" w:rsidRPr="00105FFC" w:rsidRDefault="00CC03A3" w:rsidP="002D04DA">
      <w:pPr>
        <w:spacing w:after="120" w:line="276" w:lineRule="auto"/>
        <w:rPr>
          <w:rFonts w:asciiTheme="minorHAnsi" w:hAnsiTheme="minorHAnsi" w:cs="Tahoma"/>
        </w:rPr>
      </w:pPr>
    </w:p>
    <w:p w14:paraId="6849050C" w14:textId="77777777" w:rsidR="00CC03A3" w:rsidRPr="00105FFC" w:rsidRDefault="00C8300D" w:rsidP="00FD7DA5">
      <w:pPr>
        <w:pStyle w:val="Heading2"/>
        <w:spacing w:before="0" w:after="120" w:line="276" w:lineRule="auto"/>
        <w:rPr>
          <w:rFonts w:asciiTheme="minorHAnsi" w:hAnsiTheme="minorHAnsi"/>
          <w:color w:val="auto"/>
        </w:rPr>
      </w:pPr>
      <w:bookmarkStart w:id="136" w:name="_Toc459287726"/>
      <w:r w:rsidRPr="00105FFC">
        <w:rPr>
          <w:rFonts w:asciiTheme="minorHAnsi" w:hAnsiTheme="minorHAnsi"/>
          <w:color w:val="auto"/>
        </w:rPr>
        <w:t>Andersen’s Model for the Study of Access to Health Care Services</w:t>
      </w:r>
      <w:bookmarkEnd w:id="136"/>
    </w:p>
    <w:p w14:paraId="5453929F"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Researcher Ronald Andersen’s work was predicated on the idea that the study of access to health care services encompasses much more than foundational elements such as insurance coverage and provider supply. Started almost 50 years </w:t>
      </w:r>
      <w:r w:rsidRPr="00105FFC">
        <w:rPr>
          <w:rFonts w:asciiTheme="minorHAnsi" w:hAnsiTheme="minorHAnsi" w:cs="Tahoma"/>
        </w:rPr>
        <w:lastRenderedPageBreak/>
        <w:t>ago and developed further since, Andersen’s remains the most-often cited and studied framework for measuring health care access.</w:t>
      </w:r>
    </w:p>
    <w:p w14:paraId="252CC1DE"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In the initial model, developed in 1968, Andersen sought to “construct an integrated theoretical framework for the study of access and to suggest how empirical indicators of the concept might be derived from it.” This framework was further developed in the ensuing decades. The second iteration, published in 1974 and co-authored by researcher Lu Ann Aday, refined the model and has served as a primary influence for future researchers’ study of health care access. Andersen’s model also serves as a resource to understand how an array of internal factors and external influences interact to ultimately determine patient access – underlining the fact that access to health care services, and the ability of a population to utilize them, encompasses far more than the presence of insurance coverage and adequate provider supply. </w:t>
      </w:r>
    </w:p>
    <w:p w14:paraId="41162EE6"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At the center of Andersen’s model is the overarching influence of federal, state, and local health policy. Health policy directly affects the characteristics of the health delivery system, impacting the volume and distribution of resources, as well as organizational factors such as the administrative entry process and the actual course of treatment received by the patient once they have gained entry into the health care delivery system. In turn, the characteristics of the health delivery system can affect patients’ utilization of health care services, determining the type of health care sought and the site at which it is rendered.</w:t>
      </w:r>
    </w:p>
    <w:p w14:paraId="0B1211D0"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The health delivery system can also impact a patient’s purpose for seeking care as well as their continuity of care. In a different but equally tangible fashion, the use of health care services is also informed by the characteristics of the population at risk, defined by Andersen as the population’s predisposing demographic, social, and belief-based characteristics; personal and community-based factors that either enable or impede their access to care; and perceived and objectively evaluated need-based factors. Some of these characteristics of the population at risk are themselves influenced by federal, state, and local health policy and the characteristics of the health delivery system, such as patients’ health beliefs, and their perceived and evaluated needs (Figure 1</w:t>
      </w:r>
      <w:r w:rsidR="00FD7DA5" w:rsidRPr="00105FFC">
        <w:rPr>
          <w:rFonts w:asciiTheme="minorHAnsi" w:hAnsiTheme="minorHAnsi" w:cs="Tahoma"/>
        </w:rPr>
        <w:t>9</w:t>
      </w:r>
      <w:r w:rsidRPr="00105FFC">
        <w:rPr>
          <w:rFonts w:asciiTheme="minorHAnsi" w:hAnsiTheme="minorHAnsi" w:cs="Tahoma"/>
        </w:rPr>
        <w:t>).</w:t>
      </w:r>
    </w:p>
    <w:p w14:paraId="4F420D63" w14:textId="77777777" w:rsidR="00C8300D" w:rsidRPr="00105FFC" w:rsidRDefault="00C8300D" w:rsidP="002D04DA">
      <w:pPr>
        <w:spacing w:after="120" w:line="276" w:lineRule="auto"/>
        <w:rPr>
          <w:rFonts w:asciiTheme="minorHAnsi" w:hAnsiTheme="minorHAnsi" w:cs="Tahoma"/>
          <w:sz w:val="22"/>
          <w:szCs w:val="22"/>
        </w:rPr>
      </w:pPr>
      <w:r w:rsidRPr="00105FFC">
        <w:rPr>
          <w:rFonts w:asciiTheme="minorHAnsi" w:hAnsiTheme="minorHAnsi" w:cs="Tahoma"/>
          <w:sz w:val="22"/>
          <w:szCs w:val="22"/>
        </w:rPr>
        <w:br w:type="page"/>
      </w:r>
    </w:p>
    <w:p w14:paraId="34086AFA" w14:textId="77777777" w:rsidR="00C8300D" w:rsidRPr="00105FFC" w:rsidRDefault="005205BB" w:rsidP="00FD7DA5">
      <w:pPr>
        <w:pStyle w:val="Caption"/>
        <w:spacing w:after="120"/>
        <w:rPr>
          <w:rFonts w:asciiTheme="minorHAnsi" w:hAnsiTheme="minorHAnsi" w:cs="Tahoma"/>
          <w:b w:val="0"/>
          <w:color w:val="auto"/>
          <w:sz w:val="20"/>
          <w:szCs w:val="20"/>
        </w:rPr>
      </w:pPr>
      <w:bookmarkStart w:id="137" w:name="_Toc458782957"/>
      <w:bookmarkStart w:id="138" w:name="_Toc459285068"/>
      <w:bookmarkStart w:id="139" w:name="_Toc459285259"/>
      <w:bookmarkStart w:id="140" w:name="_Toc459286700"/>
      <w:r w:rsidRPr="00105FFC">
        <w:rPr>
          <w:rFonts w:asciiTheme="minorHAnsi" w:hAnsiTheme="minorHAnsi"/>
          <w:color w:val="auto"/>
        </w:rPr>
        <w:lastRenderedPageBreak/>
        <w:t xml:space="preserve">Figure </w:t>
      </w:r>
      <w:r w:rsidRPr="00105FFC">
        <w:rPr>
          <w:rFonts w:asciiTheme="minorHAnsi" w:hAnsiTheme="minorHAnsi"/>
          <w:color w:val="auto"/>
        </w:rPr>
        <w:fldChar w:fldCharType="begin"/>
      </w:r>
      <w:r w:rsidRPr="00105FFC">
        <w:rPr>
          <w:rFonts w:asciiTheme="minorHAnsi" w:hAnsiTheme="minorHAnsi"/>
          <w:color w:val="auto"/>
        </w:rPr>
        <w:instrText xml:space="preserve"> SEQ Figure \* ARABIC </w:instrText>
      </w:r>
      <w:r w:rsidRPr="00105FFC">
        <w:rPr>
          <w:rFonts w:asciiTheme="minorHAnsi" w:hAnsiTheme="minorHAnsi"/>
          <w:color w:val="auto"/>
        </w:rPr>
        <w:fldChar w:fldCharType="separate"/>
      </w:r>
      <w:r w:rsidR="000E1B8E">
        <w:rPr>
          <w:rFonts w:asciiTheme="minorHAnsi" w:hAnsiTheme="minorHAnsi"/>
          <w:noProof/>
          <w:color w:val="auto"/>
        </w:rPr>
        <w:t>19</w:t>
      </w:r>
      <w:r w:rsidRPr="00105FFC">
        <w:rPr>
          <w:rFonts w:asciiTheme="minorHAnsi" w:hAnsiTheme="minorHAnsi"/>
          <w:color w:val="auto"/>
        </w:rPr>
        <w:fldChar w:fldCharType="end"/>
      </w:r>
      <w:r w:rsidR="00C8300D" w:rsidRPr="00105FFC">
        <w:rPr>
          <w:rFonts w:asciiTheme="minorHAnsi" w:hAnsiTheme="minorHAnsi"/>
          <w:color w:val="auto"/>
          <w:sz w:val="20"/>
          <w:szCs w:val="20"/>
        </w:rPr>
        <w:t xml:space="preserve">: </w:t>
      </w:r>
      <w:r w:rsidR="00C8300D" w:rsidRPr="00105FFC">
        <w:rPr>
          <w:rFonts w:asciiTheme="minorHAnsi" w:hAnsiTheme="minorHAnsi"/>
          <w:b w:val="0"/>
          <w:color w:val="auto"/>
          <w:sz w:val="20"/>
          <w:szCs w:val="20"/>
        </w:rPr>
        <w:t>Ronald Andersen’s Framework for the Study of Access to Health Care Services</w:t>
      </w:r>
      <w:bookmarkEnd w:id="137"/>
      <w:bookmarkEnd w:id="138"/>
      <w:bookmarkEnd w:id="139"/>
      <w:bookmarkEnd w:id="140"/>
    </w:p>
    <w:p w14:paraId="41FCD4C2" w14:textId="77777777" w:rsidR="00C8300D" w:rsidRPr="00105FFC" w:rsidRDefault="00C8300D" w:rsidP="00D85A0B">
      <w:pPr>
        <w:spacing w:line="276" w:lineRule="auto"/>
        <w:rPr>
          <w:rFonts w:asciiTheme="minorHAnsi" w:hAnsiTheme="minorHAnsi" w:cs="Tahoma"/>
          <w:sz w:val="22"/>
          <w:szCs w:val="22"/>
        </w:rPr>
      </w:pPr>
      <w:r w:rsidRPr="00105FFC">
        <w:rPr>
          <w:rFonts w:asciiTheme="minorHAnsi" w:hAnsiTheme="minorHAnsi" w:cs="Tahoma"/>
          <w:noProof/>
          <w:sz w:val="22"/>
          <w:szCs w:val="22"/>
        </w:rPr>
        <w:drawing>
          <wp:inline distT="0" distB="0" distL="0" distR="0" wp14:anchorId="4C754257" wp14:editId="497EE8AF">
            <wp:extent cx="6477000" cy="6067425"/>
            <wp:effectExtent l="19050" t="19050" r="19050" b="28575"/>
            <wp:docPr id="11" name="Picture 11" descr="Visual depiction of framework described on pages 53-55" title="Ronald Andersen's Framework for the Study of Access to Health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2647" cy="6072715"/>
                    </a:xfrm>
                    <a:prstGeom prst="rect">
                      <a:avLst/>
                    </a:prstGeom>
                    <a:noFill/>
                    <a:ln>
                      <a:solidFill>
                        <a:schemeClr val="tx1"/>
                      </a:solidFill>
                    </a:ln>
                  </pic:spPr>
                </pic:pic>
              </a:graphicData>
            </a:graphic>
          </wp:inline>
        </w:drawing>
      </w:r>
    </w:p>
    <w:p w14:paraId="1B7AEB73" w14:textId="77777777" w:rsidR="004774FD" w:rsidRPr="00105FFC" w:rsidRDefault="004774FD" w:rsidP="00FD7DA5">
      <w:pPr>
        <w:spacing w:after="120"/>
        <w:rPr>
          <w:rFonts w:asciiTheme="minorHAnsi" w:hAnsiTheme="minorHAnsi" w:cs="Tahoma"/>
          <w:sz w:val="16"/>
          <w:szCs w:val="16"/>
        </w:rPr>
      </w:pPr>
      <w:r w:rsidRPr="00105FFC">
        <w:rPr>
          <w:rFonts w:asciiTheme="minorHAnsi" w:hAnsiTheme="minorHAnsi" w:cs="Tahoma"/>
          <w:b/>
          <w:sz w:val="16"/>
          <w:szCs w:val="16"/>
        </w:rPr>
        <w:t>Source:</w:t>
      </w:r>
      <w:r w:rsidR="00E352ED" w:rsidRPr="00105FFC">
        <w:rPr>
          <w:rFonts w:asciiTheme="minorHAnsi" w:hAnsiTheme="minorHAnsi" w:cs="Tahoma"/>
          <w:sz w:val="16"/>
          <w:szCs w:val="16"/>
        </w:rPr>
        <w:t xml:space="preserve"> Created by DHCS-RASD, based on “Revisiting the Behavioral Model and Access to Medical Care: Does It Matter?” (1995) by Ronald Andersen.</w:t>
      </w:r>
    </w:p>
    <w:p w14:paraId="55A74D81" w14:textId="77777777" w:rsidR="00455A54"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As a practical application of Andersen’s model, consider the issue of ED utilization. When one is attempting to diagnose the reasons for high ED use, one must consider that this issue is influenced by many different factors from various areas of the framework. The explanation may tie into the characteristics of the health delivery system, such as the insufficient volume </w:t>
      </w:r>
      <w:r w:rsidRPr="00105FFC">
        <w:rPr>
          <w:rFonts w:asciiTheme="minorHAnsi" w:hAnsiTheme="minorHAnsi" w:cs="Tahoma"/>
        </w:rPr>
        <w:lastRenderedPageBreak/>
        <w:t>and distribution of primary care resources that cause a higher utilization of ED services. Or, the answer may lie in the characteristics of the population at risk, such as some patients’ belief that ED facilities render more complete care than primary care physicians. Finally, one must consider the possibility that ED use may be influenced simply by patients’ legitimate perceived and evaluated needs, or that all of these factors have had a tangible influence on rates of ED utilization.</w:t>
      </w:r>
      <w:r w:rsidRPr="00105FFC">
        <w:rPr>
          <w:rStyle w:val="EndnoteReference"/>
          <w:rFonts w:asciiTheme="minorHAnsi" w:eastAsiaTheme="majorEastAsia" w:hAnsiTheme="minorHAnsi"/>
        </w:rPr>
        <w:endnoteReference w:id="72"/>
      </w:r>
    </w:p>
    <w:p w14:paraId="73B5D800" w14:textId="77777777" w:rsidR="00455A54" w:rsidRPr="00105FFC" w:rsidRDefault="00C8300D" w:rsidP="002D04DA">
      <w:pPr>
        <w:spacing w:after="120" w:line="276" w:lineRule="auto"/>
        <w:rPr>
          <w:rFonts w:asciiTheme="minorHAnsi" w:hAnsiTheme="minorHAnsi" w:cs="Tahoma"/>
        </w:rPr>
      </w:pPr>
      <w:r w:rsidRPr="00105FFC">
        <w:rPr>
          <w:rFonts w:asciiTheme="minorHAnsi" w:hAnsiTheme="minorHAnsi" w:cs="Tahoma"/>
        </w:rPr>
        <w:t>As demonstrated by Andersen’s framework, the study of access to health care services represents a complex tapestry of interwoven factors that work in concert to determine an individual’s access to care, with each major factor influencing and in turn being influenced by one another.</w:t>
      </w:r>
    </w:p>
    <w:p w14:paraId="222C68D8" w14:textId="77777777" w:rsidR="00C8300D" w:rsidRPr="00105FFC" w:rsidRDefault="00C8300D" w:rsidP="00FD7DA5">
      <w:pPr>
        <w:pStyle w:val="Heading2"/>
        <w:spacing w:before="0" w:after="120" w:line="276" w:lineRule="auto"/>
        <w:rPr>
          <w:rFonts w:asciiTheme="minorHAnsi" w:hAnsiTheme="minorHAnsi" w:cs="Tahoma"/>
          <w:color w:val="auto"/>
        </w:rPr>
      </w:pPr>
      <w:bookmarkStart w:id="141" w:name="_Toc459287727"/>
      <w:r w:rsidRPr="00105FFC">
        <w:rPr>
          <w:rFonts w:asciiTheme="minorHAnsi" w:hAnsiTheme="minorHAnsi" w:cs="Tahoma"/>
          <w:color w:val="auto"/>
        </w:rPr>
        <w:t>MACPAC Access Monitoring Framework</w:t>
      </w:r>
      <w:bookmarkEnd w:id="141"/>
    </w:p>
    <w:p w14:paraId="1CBEEF3A" w14:textId="77777777" w:rsidR="00C8300D" w:rsidRPr="00105FFC" w:rsidRDefault="00C8300D" w:rsidP="00FD7DA5">
      <w:pPr>
        <w:spacing w:after="120" w:line="276" w:lineRule="auto"/>
        <w:rPr>
          <w:rFonts w:asciiTheme="minorHAnsi" w:hAnsiTheme="minorHAnsi" w:cs="Tahoma"/>
        </w:rPr>
      </w:pPr>
      <w:r w:rsidRPr="00105FFC">
        <w:rPr>
          <w:rFonts w:asciiTheme="minorHAnsi" w:hAnsiTheme="minorHAnsi" w:cs="Tahoma"/>
        </w:rPr>
        <w:t>The Medicaid and CHIP Payment and Access Commission (MACPAC) prepared a report to Congress in 2011, incorporating many of the previously mentioned elements in their recommendations for measuring and monitoring access to health care services among Medicaid and CHIP populations.  In its report, MACPAC presents an access framework with an emphasis on three main areas:  the unique characteristics of Medicaid and CHIP enrollees; the availability of Medicaid and CHIP providers; and the appropriate utilization of health care services.</w:t>
      </w:r>
      <w:r w:rsidR="00E352ED" w:rsidRPr="00105FFC">
        <w:rPr>
          <w:rStyle w:val="EndnoteReference"/>
          <w:rFonts w:asciiTheme="minorHAnsi" w:hAnsiTheme="minorHAnsi" w:cs="Tahoma"/>
        </w:rPr>
        <w:endnoteReference w:id="73"/>
      </w:r>
      <w:r w:rsidR="00FD7DA5" w:rsidRPr="00105FFC">
        <w:rPr>
          <w:rFonts w:asciiTheme="minorHAnsi" w:hAnsiTheme="minorHAnsi" w:cs="Tahoma"/>
        </w:rPr>
        <w:t xml:space="preserve">  </w:t>
      </w:r>
    </w:p>
    <w:p w14:paraId="7A40CED4"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Population characteristics such as age distribution, </w:t>
      </w:r>
      <w:r w:rsidR="005D757F" w:rsidRPr="00105FFC">
        <w:rPr>
          <w:rFonts w:asciiTheme="minorHAnsi" w:hAnsiTheme="minorHAnsi" w:cs="Tahoma"/>
        </w:rPr>
        <w:t xml:space="preserve">gender, </w:t>
      </w:r>
      <w:r w:rsidRPr="00105FFC">
        <w:rPr>
          <w:rFonts w:asciiTheme="minorHAnsi" w:hAnsiTheme="minorHAnsi" w:cs="Tahoma"/>
        </w:rPr>
        <w:t>the level of illness and disability, cultural diversity, and geographic distribution are recognized as important factors in an analysis of health care access, as each of these aspects driv</w:t>
      </w:r>
      <w:r w:rsidR="00FD7DA5" w:rsidRPr="00105FFC">
        <w:rPr>
          <w:rFonts w:asciiTheme="minorHAnsi" w:hAnsiTheme="minorHAnsi" w:cs="Tahoma"/>
        </w:rPr>
        <w:t>es health care use in some way.</w:t>
      </w:r>
    </w:p>
    <w:p w14:paraId="234B86EA"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The Commission’s framework recognizes that most Medicaid beneficiaries are lower income, making cost-sharing requirements for services particularly challenging. A large proportion of the Medicaid population is culturally and linguistically diverse, and many may have difficulties understanding and acting upon health care information. Additionally, the Medicaid beneficiary population is comprised of a large proportion of disabled individuals and other people </w:t>
      </w:r>
      <w:r w:rsidR="00FD7DA5" w:rsidRPr="00105FFC">
        <w:rPr>
          <w:rFonts w:asciiTheme="minorHAnsi" w:hAnsiTheme="minorHAnsi" w:cs="Tahoma"/>
        </w:rPr>
        <w:t>with complex health care needs.</w:t>
      </w:r>
    </w:p>
    <w:p w14:paraId="23838811"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The availability of services, specifically the adequacy of provider supply and specialty mix, is highly correlated with beneficiaries’ receipt of needed services. Examining the adequacy of Medi-Cal delivery systems requires an analysis of the number and types of providers available to the Medi-Cal population, their service location, and whether the Medi-Cal provider </w:t>
      </w:r>
      <w:r w:rsidRPr="00105FFC">
        <w:rPr>
          <w:rFonts w:asciiTheme="minorHAnsi" w:hAnsiTheme="minorHAnsi" w:cs="Tahoma"/>
        </w:rPr>
        <w:lastRenderedPageBreak/>
        <w:t>network reflects the needs of the beneficiaries. Provider supply may be driven by payment and other program policies, and may further influence whether providers are willing t</w:t>
      </w:r>
      <w:r w:rsidR="00FD7DA5" w:rsidRPr="00105FFC">
        <w:rPr>
          <w:rFonts w:asciiTheme="minorHAnsi" w:hAnsiTheme="minorHAnsi" w:cs="Tahoma"/>
        </w:rPr>
        <w:t>o accept new Medicaid patients.</w:t>
      </w:r>
    </w:p>
    <w:p w14:paraId="0807AB7A"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t>The final area of the framework focuses on the way beneficiaries use health care services, often referred to as “realized access.”  This area places attention on what services are being used, the affordability of such services, how easily beneficiaries can navigate the health system, as well as beneficiary experiences and feedback. The appropriate use of health care services, which is a fundamental goal in achieving adequate access, directly l</w:t>
      </w:r>
      <w:r w:rsidR="00FD7DA5" w:rsidRPr="00105FFC">
        <w:rPr>
          <w:rFonts w:asciiTheme="minorHAnsi" w:hAnsiTheme="minorHAnsi" w:cs="Tahoma"/>
        </w:rPr>
        <w:t>eads to better health outcomes.</w:t>
      </w:r>
    </w:p>
    <w:p w14:paraId="294A1CBF" w14:textId="77777777" w:rsidR="004774FD"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Combined, these three areas of access monitoring provide a comprehensive picture of health care access for Medicaid beneficiaries. MACPAC’s report appreciates that substantial differences in state program policies exist, and places emphasis on tailored measures that reflect the local health system and the needs of the local populations. The framework recommended by MACPAC offers a realistic approach that considers data limitations and other resource constraints, with a focus on implementing measures more likely to reveal important </w:t>
      </w:r>
      <w:r w:rsidR="00FD7DA5" w:rsidRPr="00105FFC">
        <w:rPr>
          <w:rFonts w:asciiTheme="minorHAnsi" w:hAnsiTheme="minorHAnsi" w:cs="Tahoma"/>
        </w:rPr>
        <w:t>barriers to health care access.</w:t>
      </w:r>
    </w:p>
    <w:p w14:paraId="1B3D926C" w14:textId="77777777" w:rsidR="004774FD" w:rsidRPr="00105FFC" w:rsidRDefault="00C8300D" w:rsidP="00082395">
      <w:pPr>
        <w:pStyle w:val="Heading2"/>
        <w:spacing w:before="0" w:after="120" w:line="276" w:lineRule="auto"/>
        <w:rPr>
          <w:rFonts w:asciiTheme="minorHAnsi" w:hAnsiTheme="minorHAnsi" w:cs="Tahoma"/>
          <w:color w:val="auto"/>
        </w:rPr>
      </w:pPr>
      <w:bookmarkStart w:id="142" w:name="_Toc305586791"/>
      <w:bookmarkStart w:id="143" w:name="_Toc459287728"/>
      <w:r w:rsidRPr="00105FFC">
        <w:rPr>
          <w:rFonts w:asciiTheme="minorHAnsi" w:hAnsiTheme="minorHAnsi" w:cs="Tahoma"/>
          <w:color w:val="auto"/>
        </w:rPr>
        <w:t>DHCS</w:t>
      </w:r>
      <w:r w:rsidR="00391EFC" w:rsidRPr="00105FFC">
        <w:rPr>
          <w:rFonts w:asciiTheme="minorHAnsi" w:hAnsiTheme="minorHAnsi" w:cs="Tahoma"/>
          <w:color w:val="auto"/>
        </w:rPr>
        <w:t>’</w:t>
      </w:r>
      <w:r w:rsidRPr="00105FFC">
        <w:rPr>
          <w:rFonts w:asciiTheme="minorHAnsi" w:hAnsiTheme="minorHAnsi" w:cs="Tahoma"/>
          <w:color w:val="auto"/>
        </w:rPr>
        <w:t xml:space="preserve"> Access </w:t>
      </w:r>
      <w:bookmarkEnd w:id="142"/>
      <w:r w:rsidRPr="00105FFC">
        <w:rPr>
          <w:rFonts w:asciiTheme="minorHAnsi" w:hAnsiTheme="minorHAnsi" w:cs="Tahoma"/>
          <w:color w:val="auto"/>
        </w:rPr>
        <w:t>Monitoring Framework</w:t>
      </w:r>
      <w:bookmarkEnd w:id="143"/>
    </w:p>
    <w:p w14:paraId="2426F434" w14:textId="77777777" w:rsidR="00391EFC" w:rsidRPr="00105FFC" w:rsidRDefault="00391EFC" w:rsidP="002D04DA">
      <w:pPr>
        <w:spacing w:after="120" w:line="276" w:lineRule="auto"/>
        <w:rPr>
          <w:rFonts w:asciiTheme="minorHAnsi" w:hAnsiTheme="minorHAnsi" w:cs="Tahoma"/>
        </w:rPr>
      </w:pPr>
      <w:r w:rsidRPr="00105FFC">
        <w:rPr>
          <w:rFonts w:asciiTheme="minorHAnsi" w:hAnsiTheme="minorHAnsi" w:cs="Tahoma"/>
        </w:rPr>
        <w:t xml:space="preserve">As the determinants of access remain a complicated interplay of factors, DHCS developed an access monitoring framework that casts a wide net across the Medi-Cal delivery system to best evaluate access to health care services. </w:t>
      </w:r>
    </w:p>
    <w:p w14:paraId="057346DC" w14:textId="77777777" w:rsidR="00391EFC" w:rsidRPr="00105FFC" w:rsidRDefault="00391EFC" w:rsidP="002D04DA">
      <w:pPr>
        <w:spacing w:after="120" w:line="276" w:lineRule="auto"/>
        <w:rPr>
          <w:rFonts w:asciiTheme="minorHAnsi" w:hAnsiTheme="minorHAnsi" w:cs="Tahoma"/>
        </w:rPr>
      </w:pPr>
      <w:r w:rsidRPr="00105FFC">
        <w:rPr>
          <w:rFonts w:asciiTheme="minorHAnsi" w:hAnsiTheme="minorHAnsi" w:cs="Tahoma"/>
        </w:rPr>
        <w:t xml:space="preserve">Information published by MACPAC was used as the primary source of material for developing DHCS’ framework for evaluating healthcare access. Additional sources of information that contributed to this effort included published work from the Institute of Medicine, Agency for Healthcare Research and Quality (AHRQ), and the published works of health services researchers.  Finally, the requirements from </w:t>
      </w:r>
      <w:r w:rsidR="00E247EC" w:rsidRPr="00105FFC">
        <w:rPr>
          <w:rFonts w:asciiTheme="minorHAnsi" w:hAnsiTheme="minorHAnsi" w:cs="Tahoma"/>
        </w:rPr>
        <w:t>the final rule</w:t>
      </w:r>
      <w:r w:rsidRPr="00105FFC">
        <w:rPr>
          <w:rFonts w:asciiTheme="minorHAnsi" w:hAnsiTheme="minorHAnsi" w:cs="Tahoma"/>
        </w:rPr>
        <w:t xml:space="preserve"> were </w:t>
      </w:r>
      <w:r w:rsidR="005D757F" w:rsidRPr="00105FFC">
        <w:rPr>
          <w:rFonts w:asciiTheme="minorHAnsi" w:hAnsiTheme="minorHAnsi" w:cs="Tahoma"/>
        </w:rPr>
        <w:t xml:space="preserve">evaluated and </w:t>
      </w:r>
      <w:r w:rsidRPr="00105FFC">
        <w:rPr>
          <w:rFonts w:asciiTheme="minorHAnsi" w:hAnsiTheme="minorHAnsi" w:cs="Tahoma"/>
        </w:rPr>
        <w:t>incorporated into DHCS’ framework.</w:t>
      </w:r>
    </w:p>
    <w:p w14:paraId="327222D7" w14:textId="77777777" w:rsidR="00614C3A" w:rsidRPr="00105FFC" w:rsidRDefault="00614C3A" w:rsidP="00082395">
      <w:pPr>
        <w:pStyle w:val="Heading3"/>
        <w:spacing w:before="0" w:after="120" w:line="276" w:lineRule="auto"/>
      </w:pPr>
      <w:bookmarkStart w:id="144" w:name="_Toc459287729"/>
      <w:r w:rsidRPr="00105FFC">
        <w:t>Foundational Concepts</w:t>
      </w:r>
      <w:bookmarkEnd w:id="144"/>
    </w:p>
    <w:p w14:paraId="5FAF5F6E" w14:textId="77777777" w:rsidR="00614C3A" w:rsidRPr="00105FFC" w:rsidRDefault="00614C3A" w:rsidP="002D04DA">
      <w:pPr>
        <w:spacing w:after="120" w:line="276" w:lineRule="auto"/>
        <w:rPr>
          <w:rFonts w:asciiTheme="minorHAnsi" w:hAnsiTheme="minorHAnsi" w:cs="Tahoma"/>
        </w:rPr>
      </w:pPr>
      <w:r w:rsidRPr="00105FFC">
        <w:rPr>
          <w:rFonts w:asciiTheme="minorHAnsi" w:hAnsiTheme="minorHAnsi" w:cs="Tahoma"/>
        </w:rPr>
        <w:t xml:space="preserve">DHCS’ </w:t>
      </w:r>
      <w:r w:rsidR="00C8300D" w:rsidRPr="00105FFC">
        <w:rPr>
          <w:rFonts w:asciiTheme="minorHAnsi" w:hAnsiTheme="minorHAnsi" w:cs="Tahoma"/>
        </w:rPr>
        <w:t>framework is predicated on the idea that access is the act of linking a population to needed and appropriate health care services, incorp</w:t>
      </w:r>
      <w:r w:rsidR="00FD7DA5" w:rsidRPr="00105FFC">
        <w:rPr>
          <w:rFonts w:asciiTheme="minorHAnsi" w:hAnsiTheme="minorHAnsi" w:cs="Tahoma"/>
        </w:rPr>
        <w:t>orating the following concepts:</w:t>
      </w:r>
    </w:p>
    <w:p w14:paraId="65ECEA2E" w14:textId="77777777" w:rsidR="00C8300D" w:rsidRPr="00105FFC" w:rsidRDefault="00C8300D" w:rsidP="00FD7DA5">
      <w:pPr>
        <w:pStyle w:val="ListParagraph"/>
        <w:numPr>
          <w:ilvl w:val="0"/>
          <w:numId w:val="9"/>
        </w:numPr>
        <w:spacing w:after="120" w:line="276" w:lineRule="auto"/>
        <w:ind w:left="360"/>
        <w:rPr>
          <w:rFonts w:asciiTheme="minorHAnsi" w:hAnsiTheme="minorHAnsi" w:cs="Tahoma"/>
        </w:rPr>
      </w:pPr>
      <w:r w:rsidRPr="00105FFC">
        <w:rPr>
          <w:rFonts w:asciiTheme="minorHAnsi" w:hAnsiTheme="minorHAnsi" w:cs="Tahoma"/>
          <w:i/>
        </w:rPr>
        <w:t>Predisposing Characteristics of the Population</w:t>
      </w:r>
      <w:r w:rsidRPr="00105FFC">
        <w:rPr>
          <w:rFonts w:asciiTheme="minorHAnsi" w:hAnsiTheme="minorHAnsi" w:cs="Tahoma"/>
        </w:rPr>
        <w:t xml:space="preserve"> – A population’s demographic and health composition are important predisposing factors to accessing health care services, and often drive the need for such services.</w:t>
      </w:r>
    </w:p>
    <w:p w14:paraId="4CE0E424" w14:textId="77777777" w:rsidR="00C8300D" w:rsidRPr="00105FFC" w:rsidRDefault="00C8300D" w:rsidP="00FD7DA5">
      <w:pPr>
        <w:pStyle w:val="ListParagraph"/>
        <w:numPr>
          <w:ilvl w:val="0"/>
          <w:numId w:val="9"/>
        </w:numPr>
        <w:spacing w:after="120" w:line="276" w:lineRule="auto"/>
        <w:ind w:left="360"/>
        <w:rPr>
          <w:rFonts w:asciiTheme="minorHAnsi" w:hAnsiTheme="minorHAnsi" w:cs="Tahoma"/>
        </w:rPr>
      </w:pPr>
      <w:r w:rsidRPr="00105FFC">
        <w:rPr>
          <w:rFonts w:asciiTheme="minorHAnsi" w:hAnsiTheme="minorHAnsi" w:cs="Tahoma"/>
          <w:i/>
        </w:rPr>
        <w:lastRenderedPageBreak/>
        <w:t>Enabling or Impeding Factors</w:t>
      </w:r>
      <w:r w:rsidRPr="00105FFC">
        <w:rPr>
          <w:rFonts w:asciiTheme="minorHAnsi" w:hAnsiTheme="minorHAnsi" w:cs="Tahoma"/>
        </w:rPr>
        <w:t xml:space="preserve"> – Many enabling or impeding factors, including national and state economic and political influences, health system factors, and patient-level barriers, can impact access to FFS Medi-Cal services.</w:t>
      </w:r>
    </w:p>
    <w:p w14:paraId="6A9D1576" w14:textId="77777777" w:rsidR="00455A54" w:rsidRPr="00105FFC" w:rsidRDefault="00C8300D" w:rsidP="002D04DA">
      <w:pPr>
        <w:pStyle w:val="ListParagraph"/>
        <w:numPr>
          <w:ilvl w:val="0"/>
          <w:numId w:val="9"/>
        </w:numPr>
        <w:spacing w:after="120" w:line="276" w:lineRule="auto"/>
        <w:ind w:left="360"/>
        <w:rPr>
          <w:rFonts w:asciiTheme="minorHAnsi" w:hAnsiTheme="minorHAnsi" w:cs="Tahoma"/>
          <w:sz w:val="22"/>
          <w:szCs w:val="22"/>
        </w:rPr>
      </w:pPr>
      <w:r w:rsidRPr="00105FFC">
        <w:rPr>
          <w:rFonts w:asciiTheme="minorHAnsi" w:hAnsiTheme="minorHAnsi" w:cs="Tahoma"/>
          <w:i/>
        </w:rPr>
        <w:t>Realized Access</w:t>
      </w:r>
      <w:r w:rsidRPr="00105FFC">
        <w:rPr>
          <w:rFonts w:asciiTheme="minorHAnsi" w:hAnsiTheme="minorHAnsi" w:cs="Tahoma"/>
        </w:rPr>
        <w:t xml:space="preserve"> – The appropriate and timely use of health care services serves as evidence that health care access was realized.</w:t>
      </w:r>
    </w:p>
    <w:p w14:paraId="274D4EA6" w14:textId="77777777" w:rsidR="00C8300D" w:rsidRPr="00105FFC" w:rsidRDefault="00C8300D" w:rsidP="002D04DA">
      <w:pPr>
        <w:pStyle w:val="Heading3"/>
        <w:spacing w:before="0" w:after="120" w:line="276" w:lineRule="auto"/>
        <w:rPr>
          <w:color w:val="auto"/>
        </w:rPr>
      </w:pPr>
      <w:bookmarkStart w:id="145" w:name="_Toc305586793"/>
      <w:bookmarkStart w:id="146" w:name="_Toc459287730"/>
      <w:r w:rsidRPr="00105FFC">
        <w:rPr>
          <w:color w:val="auto"/>
        </w:rPr>
        <w:t>Predisposing Characteristics of the Population</w:t>
      </w:r>
      <w:bookmarkEnd w:id="145"/>
      <w:bookmarkEnd w:id="146"/>
    </w:p>
    <w:p w14:paraId="5BCEF6AB" w14:textId="77777777" w:rsidR="00BA5239" w:rsidRPr="00105FFC" w:rsidRDefault="00C8300D" w:rsidP="002D04DA">
      <w:pPr>
        <w:spacing w:after="120" w:line="276" w:lineRule="auto"/>
        <w:rPr>
          <w:rFonts w:asciiTheme="minorHAnsi" w:hAnsiTheme="minorHAnsi" w:cs="Tahoma"/>
        </w:rPr>
      </w:pPr>
      <w:r w:rsidRPr="00105FFC">
        <w:rPr>
          <w:rFonts w:asciiTheme="minorHAnsi" w:hAnsiTheme="minorHAnsi" w:cs="Tahoma"/>
        </w:rPr>
        <w:t>The MACPAC framework considers the unique characteristics of the Medicaid and CHIP populations, including their cultural and linguistic diversity, geographic location, and complex health care needs. In our framework, predisposing characteristics are the basic demographic composition of the population. They include age, gender, race/ethnicity, primary language</w:t>
      </w:r>
      <w:r w:rsidR="00FD7DA5" w:rsidRPr="00105FFC">
        <w:rPr>
          <w:rFonts w:asciiTheme="minorHAnsi" w:hAnsiTheme="minorHAnsi" w:cs="Tahoma"/>
        </w:rPr>
        <w:t xml:space="preserve"> spoken, </w:t>
      </w:r>
      <w:r w:rsidR="00E352ED" w:rsidRPr="00105FFC">
        <w:rPr>
          <w:rFonts w:asciiTheme="minorHAnsi" w:hAnsiTheme="minorHAnsi" w:cs="Tahoma"/>
        </w:rPr>
        <w:t xml:space="preserve">geographic region, </w:t>
      </w:r>
      <w:r w:rsidR="00FD7DA5" w:rsidRPr="00105FFC">
        <w:rPr>
          <w:rFonts w:asciiTheme="minorHAnsi" w:hAnsiTheme="minorHAnsi" w:cs="Tahoma"/>
        </w:rPr>
        <w:t>and disability status.</w:t>
      </w:r>
    </w:p>
    <w:p w14:paraId="2DD9D916" w14:textId="77777777" w:rsidR="00BA5239" w:rsidRPr="00105FFC" w:rsidRDefault="00C8300D" w:rsidP="002D04DA">
      <w:pPr>
        <w:spacing w:after="120" w:line="276" w:lineRule="auto"/>
        <w:rPr>
          <w:rFonts w:asciiTheme="minorHAnsi" w:hAnsiTheme="minorHAnsi" w:cs="Tahoma"/>
        </w:rPr>
      </w:pPr>
      <w:r w:rsidRPr="00105FFC">
        <w:rPr>
          <w:rFonts w:asciiTheme="minorHAnsi" w:hAnsiTheme="minorHAnsi" w:cs="Tahoma"/>
        </w:rPr>
        <w:t>Population characteristics often drive the need for health care services. For example, a population comprised of women of reproductive age places demand on obstetric and gynecological services, while a population of primarily older adults places demand on a different set of services such as thos</w:t>
      </w:r>
      <w:r w:rsidR="00FD7DA5" w:rsidRPr="00105FFC">
        <w:rPr>
          <w:rFonts w:asciiTheme="minorHAnsi" w:hAnsiTheme="minorHAnsi" w:cs="Tahoma"/>
        </w:rPr>
        <w:t>e to manage chronic conditions.</w:t>
      </w:r>
    </w:p>
    <w:p w14:paraId="1969E81A" w14:textId="77777777" w:rsidR="00BA5239" w:rsidRPr="00105FFC" w:rsidRDefault="00C8300D" w:rsidP="002D04DA">
      <w:pPr>
        <w:spacing w:after="120" w:line="276" w:lineRule="auto"/>
        <w:rPr>
          <w:rFonts w:asciiTheme="minorHAnsi" w:hAnsiTheme="minorHAnsi" w:cs="Tahoma"/>
        </w:rPr>
      </w:pPr>
      <w:r w:rsidRPr="00105FFC">
        <w:rPr>
          <w:rFonts w:asciiTheme="minorHAnsi" w:hAnsiTheme="minorHAnsi" w:cs="Tahoma"/>
        </w:rPr>
        <w:t>Additionally</w:t>
      </w:r>
      <w:r w:rsidR="00D85A0B" w:rsidRPr="00105FFC">
        <w:rPr>
          <w:rFonts w:asciiTheme="minorHAnsi" w:hAnsiTheme="minorHAnsi" w:cs="Tahoma"/>
        </w:rPr>
        <w:t>,</w:t>
      </w:r>
      <w:r w:rsidRPr="00105FFC">
        <w:rPr>
          <w:rFonts w:asciiTheme="minorHAnsi" w:hAnsiTheme="minorHAnsi" w:cs="Tahoma"/>
        </w:rPr>
        <w:t xml:space="preserve"> important is the geographic distribution of the population in relation to health care service locations. In the FFS Medi-Cal delivery system, roughly 78% of the population is located in urban areas, while 22% are located in areas classified as rural or frontier (one with a population density equal to or less than 11 persons </w:t>
      </w:r>
      <w:r w:rsidR="00FD7DA5" w:rsidRPr="00105FFC">
        <w:rPr>
          <w:rFonts w:asciiTheme="minorHAnsi" w:hAnsiTheme="minorHAnsi" w:cs="Tahoma"/>
        </w:rPr>
        <w:t>per square mile).</w:t>
      </w:r>
    </w:p>
    <w:p w14:paraId="0EF9EF63" w14:textId="77777777" w:rsidR="00BA5239" w:rsidRPr="00105FFC" w:rsidRDefault="00C8300D" w:rsidP="00FD7DA5">
      <w:pPr>
        <w:pStyle w:val="Heading3"/>
        <w:spacing w:before="0" w:after="120" w:line="276" w:lineRule="auto"/>
        <w:rPr>
          <w:color w:val="auto"/>
        </w:rPr>
      </w:pPr>
      <w:bookmarkStart w:id="147" w:name="_Toc305586794"/>
      <w:bookmarkStart w:id="148" w:name="_Toc459287731"/>
      <w:r w:rsidRPr="00105FFC">
        <w:rPr>
          <w:color w:val="auto"/>
        </w:rPr>
        <w:t>Enabling or Impeding Factors</w:t>
      </w:r>
      <w:bookmarkEnd w:id="147"/>
      <w:bookmarkEnd w:id="148"/>
    </w:p>
    <w:p w14:paraId="25615673" w14:textId="77777777" w:rsidR="00BA5239"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There </w:t>
      </w:r>
      <w:r w:rsidR="00D85A0B" w:rsidRPr="00105FFC">
        <w:rPr>
          <w:rFonts w:asciiTheme="minorHAnsi" w:hAnsiTheme="minorHAnsi" w:cs="Tahoma"/>
        </w:rPr>
        <w:t>is</w:t>
      </w:r>
      <w:r w:rsidRPr="00105FFC">
        <w:rPr>
          <w:rFonts w:asciiTheme="minorHAnsi" w:hAnsiTheme="minorHAnsi" w:cs="Tahoma"/>
        </w:rPr>
        <w:t xml:space="preserve"> a myriad of factors that can potentially enable or impede access to health care services. National and state economic environments – including unemployment rates, rates of uninsured in the general population, state budget crises, and other economic influences – have a substantial impact on a population’s ability </w:t>
      </w:r>
      <w:r w:rsidR="00FD7DA5" w:rsidRPr="00105FFC">
        <w:rPr>
          <w:rFonts w:asciiTheme="minorHAnsi" w:hAnsiTheme="minorHAnsi" w:cs="Tahoma"/>
        </w:rPr>
        <w:t>to access health care services</w:t>
      </w:r>
    </w:p>
    <w:p w14:paraId="223E3712" w14:textId="77777777" w:rsidR="00BA5239" w:rsidRPr="00105FFC" w:rsidRDefault="00C8300D" w:rsidP="002D04DA">
      <w:pPr>
        <w:spacing w:after="120" w:line="276" w:lineRule="auto"/>
        <w:rPr>
          <w:rFonts w:asciiTheme="minorHAnsi" w:hAnsiTheme="minorHAnsi" w:cs="Tahoma"/>
        </w:rPr>
      </w:pPr>
      <w:r w:rsidRPr="00105FFC">
        <w:rPr>
          <w:rFonts w:asciiTheme="minorHAnsi" w:hAnsiTheme="minorHAnsi" w:cs="Tahoma"/>
        </w:rPr>
        <w:t xml:space="preserve">For example, when unemployment rates increase, many people lose employer-based health insurance and their ability to access health care. Increased unemployment in a population places greater demand on publicly funded health care programs, and may lead to impediments in health care access via the diminished availability of vital program services. </w:t>
      </w:r>
    </w:p>
    <w:p w14:paraId="47D37758" w14:textId="77777777" w:rsidR="00C8300D" w:rsidRPr="00105FFC" w:rsidRDefault="00C8300D" w:rsidP="002D04DA">
      <w:pPr>
        <w:spacing w:after="120" w:line="276" w:lineRule="auto"/>
        <w:rPr>
          <w:rFonts w:asciiTheme="minorHAnsi" w:hAnsiTheme="minorHAnsi" w:cs="Tahoma"/>
        </w:rPr>
      </w:pPr>
      <w:r w:rsidRPr="00105FFC">
        <w:rPr>
          <w:rFonts w:asciiTheme="minorHAnsi" w:hAnsiTheme="minorHAnsi" w:cs="Tahoma"/>
        </w:rPr>
        <w:lastRenderedPageBreak/>
        <w:t>Characteristics of a community’s health care delivery systems, including the penetration rates of managed care, health care workforce distribution, and the availability of physicians and medical specialists, as well as the willingness of providers to participate in publicly funded health care programs, all contribute to health care access in one form or another.</w:t>
      </w:r>
    </w:p>
    <w:p w14:paraId="16964197" w14:textId="77777777" w:rsidR="00FD7DA5" w:rsidRPr="00105FFC" w:rsidRDefault="00C8300D" w:rsidP="002D04DA">
      <w:pPr>
        <w:spacing w:after="120" w:line="276" w:lineRule="auto"/>
        <w:rPr>
          <w:rFonts w:asciiTheme="minorHAnsi" w:hAnsiTheme="minorHAnsi" w:cs="Tahoma"/>
        </w:rPr>
      </w:pPr>
      <w:r w:rsidRPr="00105FFC">
        <w:rPr>
          <w:rFonts w:asciiTheme="minorHAnsi" w:hAnsiTheme="minorHAnsi" w:cs="Tahoma"/>
        </w:rPr>
        <w:t>Provider availability, particularly in rural and low-income areas of the country, and the proximity of available health care services in relation to the populations they serve, are all considered important factors in accessing health care and have been incorporated into the access model. The model further recognizes that federal and state policies may influence, both positively and negatively, the supply of providers that deliver services in publicly funded programs, and ultimately enable or hinder access to health care for Medi-Cal and CHIP populations.</w:t>
      </w:r>
    </w:p>
    <w:p w14:paraId="1D5EF06F" w14:textId="77777777" w:rsidR="00BA5239" w:rsidRPr="00105FFC" w:rsidRDefault="00C8300D" w:rsidP="002D04DA">
      <w:pPr>
        <w:spacing w:after="120" w:line="276" w:lineRule="auto"/>
        <w:rPr>
          <w:rFonts w:asciiTheme="minorHAnsi" w:hAnsiTheme="minorHAnsi" w:cs="Tahoma"/>
        </w:rPr>
      </w:pPr>
      <w:r w:rsidRPr="00105FFC">
        <w:rPr>
          <w:rFonts w:asciiTheme="minorHAnsi" w:hAnsiTheme="minorHAnsi" w:cs="Tahoma"/>
        </w:rPr>
        <w:t>Many of the enabling/impeding factors described above have been recognized by the MACPAC Commission as important elements to consider in regards to access monitoring. The enabling/impeding factors we list have all been documented by health services researchers as long-standing and important influences to accessing health care, but are in no way intended to be an exhaustive li</w:t>
      </w:r>
      <w:r w:rsidR="00FD7DA5" w:rsidRPr="00105FFC">
        <w:rPr>
          <w:rFonts w:asciiTheme="minorHAnsi" w:hAnsiTheme="minorHAnsi" w:cs="Tahoma"/>
        </w:rPr>
        <w:t>st of factors affecting access.</w:t>
      </w:r>
    </w:p>
    <w:p w14:paraId="5E3A9D1A" w14:textId="77777777" w:rsidR="00BA5239" w:rsidRPr="00105FFC" w:rsidRDefault="00C8300D" w:rsidP="00FD7DA5">
      <w:pPr>
        <w:pStyle w:val="Heading3"/>
        <w:spacing w:before="0" w:after="120" w:line="276" w:lineRule="auto"/>
      </w:pPr>
      <w:bookmarkStart w:id="149" w:name="_Toc305586795"/>
      <w:bookmarkStart w:id="150" w:name="_Toc459287732"/>
      <w:r w:rsidRPr="00105FFC">
        <w:rPr>
          <w:color w:val="auto"/>
        </w:rPr>
        <w:t>Realized Access</w:t>
      </w:r>
      <w:bookmarkEnd w:id="149"/>
      <w:bookmarkEnd w:id="150"/>
    </w:p>
    <w:p w14:paraId="09A9D2EE" w14:textId="77777777" w:rsidR="00BA5239" w:rsidRPr="00105FFC" w:rsidRDefault="00C8300D" w:rsidP="002D04DA">
      <w:pPr>
        <w:spacing w:after="120" w:line="276" w:lineRule="auto"/>
        <w:rPr>
          <w:rFonts w:asciiTheme="minorHAnsi" w:hAnsiTheme="minorHAnsi" w:cs="Tahoma"/>
        </w:rPr>
      </w:pPr>
      <w:r w:rsidRPr="00105FFC">
        <w:rPr>
          <w:rFonts w:asciiTheme="minorHAnsi" w:hAnsiTheme="minorHAnsi" w:cs="Tahoma"/>
        </w:rPr>
        <w:t>DHCS’ access monitoring model utilizes the appropriate and timely use of health care services as evidence that health care access was realized. In this model, evidence of realized access is obtained through numerous information sources. For instance, Medi-Cal administrative claims submitted for services paid under a FFS arrangement enables the State to analyze realized access for its Medicaid beneficiaries over time and for specific subgroups. Examples of realized access identified through administrative data include claims reflecting doctor visits, dental visits, and other health care services.</w:t>
      </w:r>
      <w:r w:rsidR="00FD7DA5" w:rsidRPr="00105FFC">
        <w:rPr>
          <w:rFonts w:asciiTheme="minorHAnsi" w:hAnsiTheme="minorHAnsi" w:cs="Tahoma"/>
        </w:rPr>
        <w:t xml:space="preserve">  </w:t>
      </w:r>
    </w:p>
    <w:p w14:paraId="530D97D4" w14:textId="77777777" w:rsidR="00BA5239" w:rsidRPr="00105FFC" w:rsidRDefault="00C8300D" w:rsidP="002D04DA">
      <w:pPr>
        <w:spacing w:after="120" w:line="276" w:lineRule="auto"/>
        <w:rPr>
          <w:rFonts w:asciiTheme="minorHAnsi" w:hAnsiTheme="minorHAnsi" w:cs="Tahoma"/>
        </w:rPr>
      </w:pPr>
      <w:r w:rsidRPr="00105FFC">
        <w:rPr>
          <w:rFonts w:asciiTheme="minorHAnsi" w:hAnsiTheme="minorHAnsi" w:cs="Tahoma"/>
        </w:rPr>
        <w:t>Administrative data alone doesn’t provide information regarding beneficiaries who are unable to access services, or the reasons for these access difficulties. The reasons for beneficiaries not accessing services can be identified through information sources such as a hotline for beneficiaries to directly express their experiences with the Medi-Cal program. DHCS’ model incorporates a measure that tracks beneficiaries’ experiences with the FFS delivery system through their interaction</w:t>
      </w:r>
      <w:r w:rsidR="00EB6683" w:rsidRPr="00105FFC">
        <w:rPr>
          <w:rFonts w:asciiTheme="minorHAnsi" w:hAnsiTheme="minorHAnsi" w:cs="Tahoma"/>
        </w:rPr>
        <w:t xml:space="preserve"> with the DHCS help line</w:t>
      </w:r>
      <w:r w:rsidR="00FD7DA5" w:rsidRPr="00105FFC">
        <w:rPr>
          <w:rFonts w:asciiTheme="minorHAnsi" w:hAnsiTheme="minorHAnsi" w:cs="Tahoma"/>
        </w:rPr>
        <w:t>.</w:t>
      </w:r>
    </w:p>
    <w:p w14:paraId="4B866FAA" w14:textId="77777777" w:rsidR="00FD7DA5" w:rsidRPr="00105FFC" w:rsidRDefault="00C8300D" w:rsidP="00FD7DA5">
      <w:pPr>
        <w:spacing w:after="120" w:line="276" w:lineRule="auto"/>
        <w:rPr>
          <w:rFonts w:asciiTheme="minorHAnsi" w:hAnsiTheme="minorHAnsi" w:cs="Tahoma"/>
        </w:rPr>
      </w:pPr>
      <w:r w:rsidRPr="00105FFC">
        <w:rPr>
          <w:rFonts w:asciiTheme="minorHAnsi" w:hAnsiTheme="minorHAnsi" w:cs="Tahoma"/>
        </w:rPr>
        <w:lastRenderedPageBreak/>
        <w:t xml:space="preserve">As conveyed in the available literature, the study of beneficiary access to health care services </w:t>
      </w:r>
      <w:r w:rsidR="00326234" w:rsidRPr="00105FFC">
        <w:rPr>
          <w:rFonts w:asciiTheme="minorHAnsi" w:hAnsiTheme="minorHAnsi" w:cs="Tahoma"/>
        </w:rPr>
        <w:t xml:space="preserve">includes </w:t>
      </w:r>
      <w:r w:rsidRPr="00105FFC">
        <w:rPr>
          <w:rFonts w:asciiTheme="minorHAnsi" w:hAnsiTheme="minorHAnsi" w:cs="Tahoma"/>
        </w:rPr>
        <w:t xml:space="preserve">far more than </w:t>
      </w:r>
      <w:r w:rsidR="00326234" w:rsidRPr="00105FFC">
        <w:rPr>
          <w:rFonts w:asciiTheme="minorHAnsi" w:hAnsiTheme="minorHAnsi" w:cs="Tahoma"/>
        </w:rPr>
        <w:t xml:space="preserve">the </w:t>
      </w:r>
      <w:r w:rsidRPr="00105FFC">
        <w:rPr>
          <w:rFonts w:asciiTheme="minorHAnsi" w:hAnsiTheme="minorHAnsi" w:cs="Tahoma"/>
        </w:rPr>
        <w:t xml:space="preserve">key foundational concepts like insurance coverage and provider supply. </w:t>
      </w:r>
    </w:p>
    <w:p w14:paraId="7F76A9D1" w14:textId="77777777" w:rsidR="00391EFC" w:rsidRPr="00105FFC" w:rsidRDefault="00FD7DA5" w:rsidP="00FD7DA5">
      <w:pPr>
        <w:pStyle w:val="Heading1"/>
        <w:spacing w:before="0" w:after="120" w:line="276" w:lineRule="auto"/>
        <w:rPr>
          <w:rFonts w:eastAsia="Times New Roman" w:cs="Tahoma"/>
        </w:rPr>
      </w:pPr>
      <w:bookmarkStart w:id="151" w:name="_Toc459287733"/>
      <w:r w:rsidRPr="00105FFC">
        <w:rPr>
          <w:rFonts w:eastAsiaTheme="minorHAnsi"/>
        </w:rPr>
        <w:t>Identif</w:t>
      </w:r>
      <w:r w:rsidR="00391EFC" w:rsidRPr="00105FFC">
        <w:rPr>
          <w:rFonts w:eastAsiaTheme="minorHAnsi"/>
        </w:rPr>
        <w:t xml:space="preserve">ied Access </w:t>
      </w:r>
      <w:r w:rsidR="00984063" w:rsidRPr="00105FFC">
        <w:t>Domains</w:t>
      </w:r>
      <w:bookmarkEnd w:id="151"/>
    </w:p>
    <w:p w14:paraId="065DA7B2" w14:textId="77777777" w:rsidR="00984063" w:rsidRPr="00105FFC" w:rsidRDefault="00984063" w:rsidP="00984063">
      <w:pPr>
        <w:spacing w:after="120" w:line="276" w:lineRule="auto"/>
        <w:rPr>
          <w:rFonts w:asciiTheme="minorHAnsi" w:hAnsiTheme="minorHAnsi" w:cs="Arial"/>
        </w:rPr>
      </w:pPr>
      <w:r w:rsidRPr="00105FFC">
        <w:rPr>
          <w:rFonts w:asciiTheme="minorHAnsi" w:hAnsiTheme="minorHAnsi" w:cs="Arial"/>
        </w:rPr>
        <w:t xml:space="preserve">Several healthcare access domains were identified using the research and frameworks described above.  The primary goal was to select a limited number of measures for each of three key areas recommended by MACPAC that are known to influence healthcare access, and that would provide useful data on access among Medi-Cal beneficiaries for state policymakers.  DHCS further considered the availability of data used to evaluate access to care, the ability to compare calculated measures by geographic regions, and the comparability of measures to national surveys or nationally recognized clinical best practices. </w:t>
      </w:r>
    </w:p>
    <w:p w14:paraId="51F71960" w14:textId="77777777" w:rsidR="00CD4302" w:rsidRPr="00105FFC" w:rsidRDefault="00CD4302" w:rsidP="00FD7DA5">
      <w:pPr>
        <w:pStyle w:val="Heading2"/>
        <w:spacing w:before="0" w:after="120" w:line="276" w:lineRule="auto"/>
        <w:rPr>
          <w:rFonts w:asciiTheme="minorHAnsi" w:hAnsiTheme="minorHAnsi"/>
          <w:color w:val="auto"/>
        </w:rPr>
      </w:pPr>
      <w:bookmarkStart w:id="152" w:name="_Toc459287734"/>
      <w:r w:rsidRPr="00105FFC">
        <w:rPr>
          <w:rFonts w:asciiTheme="minorHAnsi" w:hAnsiTheme="minorHAnsi"/>
          <w:color w:val="auto"/>
        </w:rPr>
        <w:t>M</w:t>
      </w:r>
      <w:r w:rsidR="00B913C7" w:rsidRPr="00105FFC">
        <w:rPr>
          <w:rFonts w:asciiTheme="minorHAnsi" w:hAnsiTheme="minorHAnsi"/>
          <w:color w:val="auto"/>
        </w:rPr>
        <w:t>ethodology</w:t>
      </w:r>
      <w:bookmarkEnd w:id="152"/>
    </w:p>
    <w:p w14:paraId="0F955D2E" w14:textId="77777777" w:rsidR="003440B4" w:rsidRPr="00105FFC" w:rsidRDefault="003440B4" w:rsidP="003440B4">
      <w:pPr>
        <w:pStyle w:val="Heading3"/>
        <w:spacing w:before="0" w:after="120" w:line="276" w:lineRule="auto"/>
        <w:rPr>
          <w:rFonts w:eastAsiaTheme="minorHAnsi"/>
        </w:rPr>
      </w:pPr>
      <w:bookmarkStart w:id="153" w:name="_Toc459287735"/>
      <w:r w:rsidRPr="00105FFC">
        <w:rPr>
          <w:rFonts w:eastAsiaTheme="minorHAnsi"/>
          <w:color w:val="auto"/>
        </w:rPr>
        <w:t>Study Population</w:t>
      </w:r>
      <w:bookmarkEnd w:id="153"/>
    </w:p>
    <w:p w14:paraId="7024775D" w14:textId="77777777" w:rsidR="003440B4" w:rsidRDefault="003440B4" w:rsidP="00085BCA">
      <w:pPr>
        <w:rPr>
          <w:rFonts w:asciiTheme="minorHAnsi" w:eastAsiaTheme="minorHAnsi" w:hAnsiTheme="minorHAnsi"/>
        </w:rPr>
      </w:pPr>
      <w:bookmarkStart w:id="154" w:name="_Toc457924218"/>
      <w:bookmarkStart w:id="155" w:name="_Toc457924499"/>
      <w:bookmarkStart w:id="156" w:name="_Toc457999576"/>
      <w:bookmarkStart w:id="157" w:name="_Toc458518954"/>
      <w:bookmarkStart w:id="158" w:name="_Toc458526532"/>
      <w:bookmarkStart w:id="159" w:name="_Toc458526666"/>
      <w:bookmarkStart w:id="160" w:name="_Toc458782850"/>
      <w:r w:rsidRPr="00085BCA">
        <w:rPr>
          <w:rFonts w:asciiTheme="minorHAnsi" w:eastAsiaTheme="minorHAnsi" w:hAnsiTheme="minorHAnsi"/>
        </w:rPr>
        <w:t xml:space="preserve">As previously discussed, many Medi-Cal beneficiaries in FFS are part of groups with administrative characteristics that prevent consistent </w:t>
      </w:r>
      <w:r w:rsidR="00AB77BC" w:rsidRPr="00085BCA">
        <w:rPr>
          <w:rFonts w:asciiTheme="minorHAnsi" w:eastAsiaTheme="minorHAnsi" w:hAnsiTheme="minorHAnsi"/>
        </w:rPr>
        <w:t>participation in Medi-Cal’s FFS delivery system</w:t>
      </w:r>
      <w:r w:rsidRPr="00085BCA">
        <w:rPr>
          <w:rFonts w:asciiTheme="minorHAnsi" w:eastAsiaTheme="minorHAnsi" w:hAnsiTheme="minorHAnsi"/>
        </w:rPr>
        <w:t>. This becomes problematic for meaningful access analysis.  In order to evaluate only those Medi-Cal beneficiaries with consistent exposure to the FFS delivery system</w:t>
      </w:r>
      <w:r w:rsidR="00AB77BC" w:rsidRPr="00085BCA">
        <w:rPr>
          <w:rFonts w:asciiTheme="minorHAnsi" w:eastAsiaTheme="minorHAnsi" w:hAnsiTheme="minorHAnsi"/>
        </w:rPr>
        <w:t>,</w:t>
      </w:r>
      <w:r w:rsidRPr="00085BCA">
        <w:rPr>
          <w:rFonts w:asciiTheme="minorHAnsi" w:eastAsiaTheme="minorHAnsi" w:hAnsiTheme="minorHAnsi"/>
        </w:rPr>
        <w:t xml:space="preserve"> the study population </w:t>
      </w:r>
      <w:r w:rsidR="00B24A61" w:rsidRPr="00085BCA">
        <w:rPr>
          <w:rFonts w:asciiTheme="minorHAnsi" w:eastAsiaTheme="minorHAnsi" w:hAnsiTheme="minorHAnsi"/>
        </w:rPr>
        <w:t xml:space="preserve">for the evaluation domains of beneficiary participation and service utilization </w:t>
      </w:r>
      <w:r w:rsidRPr="00085BCA">
        <w:rPr>
          <w:rFonts w:asciiTheme="minorHAnsi" w:eastAsiaTheme="minorHAnsi" w:hAnsiTheme="minorHAnsi"/>
        </w:rPr>
        <w:t>will only include Medi-Cal certified eligibles that were enrolled for at least 11 months in a given fiscal year.  In terms of the baseline data included with this monitoring plan, it means that for state fiscal year</w:t>
      </w:r>
      <w:r w:rsidR="00BC78F7" w:rsidRPr="00085BCA">
        <w:rPr>
          <w:rFonts w:asciiTheme="minorHAnsi" w:eastAsiaTheme="minorHAnsi" w:hAnsiTheme="minorHAnsi"/>
        </w:rPr>
        <w:t>s</w:t>
      </w:r>
      <w:r w:rsidRPr="00085BCA">
        <w:rPr>
          <w:rFonts w:asciiTheme="minorHAnsi" w:eastAsiaTheme="minorHAnsi" w:hAnsiTheme="minorHAnsi"/>
        </w:rPr>
        <w:t xml:space="preserve"> </w:t>
      </w:r>
      <w:r w:rsidR="00BC78F7" w:rsidRPr="00085BCA">
        <w:rPr>
          <w:rFonts w:asciiTheme="minorHAnsi" w:eastAsiaTheme="minorHAnsi" w:hAnsiTheme="minorHAnsi"/>
        </w:rPr>
        <w:t xml:space="preserve">2012-13 and </w:t>
      </w:r>
      <w:r w:rsidRPr="00085BCA">
        <w:rPr>
          <w:rFonts w:asciiTheme="minorHAnsi" w:eastAsiaTheme="minorHAnsi" w:hAnsiTheme="minorHAnsi"/>
        </w:rPr>
        <w:t xml:space="preserve">2013-14, DHCS analyzed information for those beneficiaries with at least 11 months of enrollment in that fiscal year. The same process is repeated for </w:t>
      </w:r>
      <w:r w:rsidR="00F87472" w:rsidRPr="00085BCA">
        <w:rPr>
          <w:rFonts w:asciiTheme="minorHAnsi" w:eastAsiaTheme="minorHAnsi" w:hAnsiTheme="minorHAnsi"/>
        </w:rPr>
        <w:t xml:space="preserve">state </w:t>
      </w:r>
      <w:r w:rsidRPr="00085BCA">
        <w:rPr>
          <w:rFonts w:asciiTheme="minorHAnsi" w:eastAsiaTheme="minorHAnsi" w:hAnsiTheme="minorHAnsi"/>
        </w:rPr>
        <w:t>fiscal year 2014-15.  This methodology approxi</w:t>
      </w:r>
      <w:r w:rsidR="00421B5C" w:rsidRPr="00085BCA">
        <w:rPr>
          <w:rFonts w:asciiTheme="minorHAnsi" w:eastAsiaTheme="minorHAnsi" w:hAnsiTheme="minorHAnsi"/>
        </w:rPr>
        <w:t>mates that used for analysis of</w:t>
      </w:r>
      <w:r w:rsidRPr="00085BCA">
        <w:rPr>
          <w:rFonts w:asciiTheme="minorHAnsi" w:eastAsiaTheme="minorHAnsi" w:hAnsiTheme="minorHAnsi"/>
        </w:rPr>
        <w:t xml:space="preserve"> Healthcare Effectiveness Data and Information Set </w:t>
      </w:r>
      <w:r w:rsidR="00302B8D" w:rsidRPr="00085BCA">
        <w:rPr>
          <w:rFonts w:asciiTheme="minorHAnsi" w:eastAsiaTheme="minorHAnsi" w:hAnsiTheme="minorHAnsi"/>
        </w:rPr>
        <w:t xml:space="preserve">(HEDIS) </w:t>
      </w:r>
      <w:r w:rsidRPr="00085BCA">
        <w:rPr>
          <w:rFonts w:asciiTheme="minorHAnsi" w:eastAsiaTheme="minorHAnsi" w:hAnsiTheme="minorHAnsi"/>
        </w:rPr>
        <w:t>measures in Medi-Cal managed care quality reporting</w:t>
      </w:r>
      <w:bookmarkEnd w:id="154"/>
      <w:bookmarkEnd w:id="155"/>
      <w:bookmarkEnd w:id="156"/>
      <w:r w:rsidR="00B24A61" w:rsidRPr="00085BCA">
        <w:rPr>
          <w:rFonts w:asciiTheme="minorHAnsi" w:eastAsiaTheme="minorHAnsi" w:hAnsiTheme="minorHAnsi"/>
        </w:rPr>
        <w:t xml:space="preserve">. </w:t>
      </w:r>
      <w:r w:rsidR="00932399" w:rsidRPr="00085BCA">
        <w:rPr>
          <w:rFonts w:asciiTheme="minorHAnsi" w:hAnsiTheme="minorHAnsi" w:cs="Arial"/>
        </w:rPr>
        <w:t xml:space="preserve">HEDIS® measures are based in part on the supposition that the delivery system is accountable for providing specific services to enrolled members, and the minimum period of enrollment is designed to give the system reasonable opportunity to fulfill that responsibility prior to measurement.  </w:t>
      </w:r>
      <w:r w:rsidR="00B24A61" w:rsidRPr="00085BCA">
        <w:rPr>
          <w:rFonts w:asciiTheme="minorHAnsi" w:eastAsiaTheme="minorHAnsi" w:hAnsiTheme="minorHAnsi"/>
        </w:rPr>
        <w:t>This does not affect evaluation domains relating to provider participation or feedback.</w:t>
      </w:r>
      <w:bookmarkEnd w:id="157"/>
      <w:bookmarkEnd w:id="158"/>
      <w:bookmarkEnd w:id="159"/>
      <w:bookmarkEnd w:id="160"/>
      <w:r w:rsidRPr="00085BCA">
        <w:rPr>
          <w:rFonts w:asciiTheme="minorHAnsi" w:eastAsiaTheme="minorHAnsi" w:hAnsiTheme="minorHAnsi"/>
        </w:rPr>
        <w:t xml:space="preserve"> </w:t>
      </w:r>
    </w:p>
    <w:p w14:paraId="420419D4" w14:textId="77777777" w:rsidR="00974B0E" w:rsidRPr="00085BCA" w:rsidRDefault="00974B0E" w:rsidP="00085BCA">
      <w:pPr>
        <w:rPr>
          <w:rFonts w:asciiTheme="minorHAnsi" w:eastAsiaTheme="minorHAnsi" w:hAnsiTheme="minorHAnsi"/>
        </w:rPr>
      </w:pPr>
    </w:p>
    <w:p w14:paraId="325FBB59" w14:textId="77777777" w:rsidR="007D0743" w:rsidRPr="00105FFC" w:rsidRDefault="00984063" w:rsidP="003440B4">
      <w:pPr>
        <w:pStyle w:val="Heading3"/>
        <w:spacing w:before="0" w:after="120" w:line="276" w:lineRule="auto"/>
        <w:rPr>
          <w:rFonts w:eastAsiaTheme="minorHAnsi"/>
          <w:color w:val="auto"/>
        </w:rPr>
      </w:pPr>
      <w:bookmarkStart w:id="161" w:name="_Toc459287736"/>
      <w:r w:rsidRPr="00105FFC">
        <w:rPr>
          <w:rFonts w:eastAsiaTheme="minorHAnsi"/>
          <w:color w:val="auto"/>
        </w:rPr>
        <w:lastRenderedPageBreak/>
        <w:t>Baseline Study Periods</w:t>
      </w:r>
      <w:bookmarkEnd w:id="161"/>
      <w:r w:rsidRPr="00105FFC">
        <w:rPr>
          <w:rFonts w:eastAsiaTheme="minorHAnsi"/>
          <w:color w:val="auto"/>
        </w:rPr>
        <w:t xml:space="preserve"> </w:t>
      </w:r>
    </w:p>
    <w:p w14:paraId="1DA31D4D" w14:textId="77777777" w:rsidR="007D0743" w:rsidRPr="00105FFC" w:rsidRDefault="007D0743" w:rsidP="002D04DA">
      <w:pPr>
        <w:autoSpaceDE w:val="0"/>
        <w:autoSpaceDN w:val="0"/>
        <w:adjustRightInd w:val="0"/>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baseline</w:t>
      </w:r>
      <w:r w:rsidR="00421B5C" w:rsidRPr="00105FFC">
        <w:rPr>
          <w:rFonts w:asciiTheme="minorHAnsi" w:eastAsiaTheme="minorHAnsi" w:hAnsiTheme="minorHAnsi" w:cstheme="minorBidi"/>
        </w:rPr>
        <w:t xml:space="preserve">, included as </w:t>
      </w:r>
      <w:hyperlink w:anchor="_Appendix_A:_Baseline" w:history="1">
        <w:r w:rsidR="00421B5C" w:rsidRPr="00105FFC">
          <w:rPr>
            <w:rStyle w:val="Hyperlink"/>
            <w:rFonts w:asciiTheme="minorHAnsi" w:eastAsiaTheme="minorHAnsi" w:hAnsiTheme="minorHAnsi" w:cstheme="minorBidi"/>
          </w:rPr>
          <w:t xml:space="preserve">Appendix </w:t>
        </w:r>
        <w:r w:rsidR="00F52AA3" w:rsidRPr="00105FFC">
          <w:rPr>
            <w:rStyle w:val="Hyperlink"/>
            <w:rFonts w:asciiTheme="minorHAnsi" w:eastAsiaTheme="minorHAnsi" w:hAnsiTheme="minorHAnsi" w:cstheme="minorBidi"/>
          </w:rPr>
          <w:t>A</w:t>
        </w:r>
      </w:hyperlink>
      <w:r w:rsidR="00421B5C" w:rsidRPr="00105FFC">
        <w:rPr>
          <w:rFonts w:asciiTheme="minorHAnsi" w:eastAsiaTheme="minorHAnsi" w:hAnsiTheme="minorHAnsi" w:cstheme="minorBidi"/>
        </w:rPr>
        <w:t xml:space="preserve"> in this monitoring plan,</w:t>
      </w:r>
      <w:r w:rsidRPr="00105FFC">
        <w:rPr>
          <w:rFonts w:asciiTheme="minorHAnsi" w:eastAsiaTheme="minorHAnsi" w:hAnsiTheme="minorHAnsi" w:cstheme="minorBidi"/>
        </w:rPr>
        <w:t xml:space="preserve"> will include </w:t>
      </w:r>
      <w:r w:rsidR="00421B5C" w:rsidRPr="00105FFC">
        <w:rPr>
          <w:rFonts w:asciiTheme="minorHAnsi" w:eastAsiaTheme="minorHAnsi" w:hAnsiTheme="minorHAnsi" w:cstheme="minorBidi"/>
        </w:rPr>
        <w:t>State Fiscal Year</w:t>
      </w:r>
      <w:r w:rsidR="007B7A80" w:rsidRPr="00105FFC">
        <w:rPr>
          <w:rFonts w:asciiTheme="minorHAnsi" w:eastAsiaTheme="minorHAnsi" w:hAnsiTheme="minorHAnsi" w:cstheme="minorBidi"/>
        </w:rPr>
        <w:t>s</w:t>
      </w:r>
      <w:r w:rsidR="00421B5C" w:rsidRPr="00105FFC">
        <w:rPr>
          <w:rFonts w:asciiTheme="minorHAnsi" w:eastAsiaTheme="minorHAnsi" w:hAnsiTheme="minorHAnsi" w:cstheme="minorBidi"/>
        </w:rPr>
        <w:t xml:space="preserve"> (SFY) </w:t>
      </w:r>
      <w:r w:rsidR="00BC78F7" w:rsidRPr="00105FFC">
        <w:rPr>
          <w:rFonts w:asciiTheme="minorHAnsi" w:eastAsiaTheme="minorHAnsi" w:hAnsiTheme="minorHAnsi" w:cstheme="minorBidi"/>
        </w:rPr>
        <w:t xml:space="preserve">2012-13, </w:t>
      </w:r>
      <w:r w:rsidR="00421B5C" w:rsidRPr="00105FFC">
        <w:rPr>
          <w:rFonts w:asciiTheme="minorHAnsi" w:eastAsiaTheme="minorHAnsi" w:hAnsiTheme="minorHAnsi" w:cstheme="minorBidi"/>
        </w:rPr>
        <w:t>2013-</w:t>
      </w:r>
      <w:r w:rsidRPr="00105FFC">
        <w:rPr>
          <w:rFonts w:asciiTheme="minorHAnsi" w:eastAsiaTheme="minorHAnsi" w:hAnsiTheme="minorHAnsi" w:cstheme="minorBidi"/>
        </w:rPr>
        <w:t>14</w:t>
      </w:r>
      <w:r w:rsidR="00BC78F7" w:rsidRPr="00105FFC">
        <w:rPr>
          <w:rFonts w:asciiTheme="minorHAnsi" w:eastAsiaTheme="minorHAnsi" w:hAnsiTheme="minorHAnsi" w:cstheme="minorBidi"/>
        </w:rPr>
        <w:t>,</w:t>
      </w:r>
      <w:r w:rsidRPr="00105FFC">
        <w:rPr>
          <w:rFonts w:asciiTheme="minorHAnsi" w:eastAsiaTheme="minorHAnsi" w:hAnsiTheme="minorHAnsi" w:cstheme="minorBidi"/>
        </w:rPr>
        <w:t xml:space="preserve"> and </w:t>
      </w:r>
      <w:r w:rsidR="00421B5C" w:rsidRPr="00105FFC">
        <w:rPr>
          <w:rFonts w:asciiTheme="minorHAnsi" w:eastAsiaTheme="minorHAnsi" w:hAnsiTheme="minorHAnsi" w:cstheme="minorBidi"/>
        </w:rPr>
        <w:t>2014-</w:t>
      </w:r>
      <w:r w:rsidRPr="00105FFC">
        <w:rPr>
          <w:rFonts w:asciiTheme="minorHAnsi" w:eastAsiaTheme="minorHAnsi" w:hAnsiTheme="minorHAnsi" w:cstheme="minorBidi"/>
        </w:rPr>
        <w:t>15 data, with the first analysis</w:t>
      </w:r>
      <w:r w:rsidR="00825F5D" w:rsidRPr="00105FFC">
        <w:rPr>
          <w:rFonts w:asciiTheme="minorHAnsi" w:eastAsiaTheme="minorHAnsi" w:hAnsiTheme="minorHAnsi" w:cstheme="minorBidi"/>
        </w:rPr>
        <w:t xml:space="preserve"> of access</w:t>
      </w:r>
      <w:r w:rsidRPr="00105FFC">
        <w:rPr>
          <w:rFonts w:asciiTheme="minorHAnsi" w:eastAsiaTheme="minorHAnsi" w:hAnsiTheme="minorHAnsi" w:cstheme="minorBidi"/>
        </w:rPr>
        <w:t xml:space="preserve"> </w:t>
      </w:r>
      <w:r w:rsidR="00421B5C" w:rsidRPr="00105FFC">
        <w:rPr>
          <w:rFonts w:asciiTheme="minorHAnsi" w:eastAsiaTheme="minorHAnsi" w:hAnsiTheme="minorHAnsi" w:cstheme="minorBidi"/>
        </w:rPr>
        <w:t xml:space="preserve">covering </w:t>
      </w:r>
      <w:r w:rsidR="00825F5D" w:rsidRPr="00105FFC">
        <w:rPr>
          <w:rFonts w:asciiTheme="minorHAnsi" w:eastAsiaTheme="minorHAnsi" w:hAnsiTheme="minorHAnsi" w:cstheme="minorBidi"/>
        </w:rPr>
        <w:t xml:space="preserve">future </w:t>
      </w:r>
      <w:r w:rsidR="00421B5C" w:rsidRPr="00105FFC">
        <w:rPr>
          <w:rFonts w:asciiTheme="minorHAnsi" w:eastAsiaTheme="minorHAnsi" w:hAnsiTheme="minorHAnsi" w:cstheme="minorBidi"/>
        </w:rPr>
        <w:t>SFY</w:t>
      </w:r>
      <w:r w:rsidR="00825F5D" w:rsidRPr="00105FFC">
        <w:rPr>
          <w:rFonts w:asciiTheme="minorHAnsi" w:eastAsiaTheme="minorHAnsi" w:hAnsiTheme="minorHAnsi" w:cstheme="minorBidi"/>
        </w:rPr>
        <w:t>s</w:t>
      </w:r>
      <w:r w:rsidR="00421B5C" w:rsidRPr="00105FFC">
        <w:rPr>
          <w:rFonts w:asciiTheme="minorHAnsi" w:eastAsiaTheme="minorHAnsi" w:hAnsiTheme="minorHAnsi" w:cstheme="minorBidi"/>
        </w:rPr>
        <w:t xml:space="preserve"> 2015-16 and 2016-17</w:t>
      </w:r>
      <w:r w:rsidRPr="00105FFC">
        <w:rPr>
          <w:rFonts w:asciiTheme="minorHAnsi" w:eastAsiaTheme="minorHAnsi" w:hAnsiTheme="minorHAnsi" w:cstheme="minorBidi"/>
        </w:rPr>
        <w:t xml:space="preserve"> data</w:t>
      </w:r>
      <w:r w:rsidR="00421B5C" w:rsidRPr="00105FFC">
        <w:rPr>
          <w:rFonts w:asciiTheme="minorHAnsi" w:eastAsiaTheme="minorHAnsi" w:hAnsiTheme="minorHAnsi" w:cstheme="minorBidi"/>
        </w:rPr>
        <w:t xml:space="preserve">.  </w:t>
      </w:r>
      <w:r w:rsidR="00FD7DA5" w:rsidRPr="00105FFC">
        <w:rPr>
          <w:rFonts w:asciiTheme="minorHAnsi" w:eastAsiaTheme="minorHAnsi" w:hAnsiTheme="minorHAnsi" w:cstheme="minorBidi"/>
        </w:rPr>
        <w:t xml:space="preserve">  </w:t>
      </w:r>
    </w:p>
    <w:p w14:paraId="15A7CFE4" w14:textId="77777777" w:rsidR="00901F1D" w:rsidRPr="00105FFC" w:rsidRDefault="00901F1D" w:rsidP="00FD7DA5">
      <w:pPr>
        <w:pStyle w:val="Heading3"/>
        <w:spacing w:before="0" w:after="120" w:line="276" w:lineRule="auto"/>
        <w:rPr>
          <w:color w:val="auto"/>
        </w:rPr>
      </w:pPr>
      <w:bookmarkStart w:id="162" w:name="_Toc459287737"/>
      <w:r w:rsidRPr="00105FFC">
        <w:rPr>
          <w:color w:val="auto"/>
        </w:rPr>
        <w:t>Data Availability</w:t>
      </w:r>
      <w:bookmarkEnd w:id="162"/>
      <w:r w:rsidRPr="00105FFC">
        <w:rPr>
          <w:color w:val="auto"/>
        </w:rPr>
        <w:t xml:space="preserve"> </w:t>
      </w:r>
    </w:p>
    <w:p w14:paraId="61DF2B27" w14:textId="77777777" w:rsidR="00817778" w:rsidRPr="00105FFC" w:rsidRDefault="00E10BBE" w:rsidP="002D04DA">
      <w:pPr>
        <w:spacing w:after="120" w:line="276" w:lineRule="auto"/>
        <w:rPr>
          <w:rFonts w:asciiTheme="minorHAnsi" w:hAnsiTheme="minorHAnsi"/>
        </w:rPr>
      </w:pPr>
      <w:r w:rsidRPr="00105FFC">
        <w:rPr>
          <w:rFonts w:asciiTheme="minorHAnsi" w:hAnsiTheme="minorHAnsi"/>
        </w:rPr>
        <w:t>In identifying measures to assess access to Medi-Cal FFS administered services, a</w:t>
      </w:r>
      <w:r w:rsidR="00901F1D" w:rsidRPr="00105FFC">
        <w:rPr>
          <w:rFonts w:asciiTheme="minorHAnsi" w:hAnsiTheme="minorHAnsi"/>
        </w:rPr>
        <w:t>ttention was given to the</w:t>
      </w:r>
      <w:r w:rsidR="002F7077" w:rsidRPr="00105FFC">
        <w:rPr>
          <w:rFonts w:asciiTheme="minorHAnsi" w:hAnsiTheme="minorHAnsi"/>
        </w:rPr>
        <w:t xml:space="preserve"> availability of data that </w:t>
      </w:r>
      <w:r w:rsidR="00F152B4" w:rsidRPr="00105FFC">
        <w:rPr>
          <w:rFonts w:asciiTheme="minorHAnsi" w:hAnsiTheme="minorHAnsi"/>
        </w:rPr>
        <w:t>could be used to evaluate key access to care areas</w:t>
      </w:r>
      <w:r w:rsidR="00901F1D" w:rsidRPr="00105FFC">
        <w:rPr>
          <w:rFonts w:asciiTheme="minorHAnsi" w:hAnsiTheme="minorHAnsi"/>
        </w:rPr>
        <w:t xml:space="preserve">.  </w:t>
      </w:r>
      <w:r w:rsidRPr="00105FFC">
        <w:rPr>
          <w:rFonts w:asciiTheme="minorHAnsi" w:hAnsiTheme="minorHAnsi"/>
        </w:rPr>
        <w:t xml:space="preserve">DHCS </w:t>
      </w:r>
      <w:r w:rsidR="00901F1D" w:rsidRPr="00105FFC">
        <w:rPr>
          <w:rFonts w:asciiTheme="minorHAnsi" w:hAnsiTheme="minorHAnsi"/>
        </w:rPr>
        <w:t xml:space="preserve">focused heavily on administrative program data that were readily available and would </w:t>
      </w:r>
      <w:r w:rsidR="001006AC" w:rsidRPr="00105FFC">
        <w:rPr>
          <w:rFonts w:asciiTheme="minorHAnsi" w:hAnsiTheme="minorHAnsi"/>
        </w:rPr>
        <w:t xml:space="preserve">allow for the </w:t>
      </w:r>
      <w:r w:rsidR="00901F1D" w:rsidRPr="00105FFC">
        <w:rPr>
          <w:rFonts w:asciiTheme="minorHAnsi" w:hAnsiTheme="minorHAnsi"/>
        </w:rPr>
        <w:t>monitor</w:t>
      </w:r>
      <w:r w:rsidR="001006AC" w:rsidRPr="00105FFC">
        <w:rPr>
          <w:rFonts w:asciiTheme="minorHAnsi" w:hAnsiTheme="minorHAnsi"/>
        </w:rPr>
        <w:t>ing of</w:t>
      </w:r>
      <w:r w:rsidR="00901F1D" w:rsidRPr="00105FFC">
        <w:rPr>
          <w:rFonts w:asciiTheme="minorHAnsi" w:hAnsiTheme="minorHAnsi"/>
        </w:rPr>
        <w:t xml:space="preserve"> trends in enrollment by specific sub-populations, provider availability by geographic distribution and provider type, and healthcare utilization.  These data include Medi-Cal </w:t>
      </w:r>
      <w:r w:rsidR="00C209D6" w:rsidRPr="00105FFC">
        <w:rPr>
          <w:rFonts w:asciiTheme="minorHAnsi" w:hAnsiTheme="minorHAnsi"/>
        </w:rPr>
        <w:t xml:space="preserve">paid </w:t>
      </w:r>
      <w:r w:rsidR="00901F1D" w:rsidRPr="00105FFC">
        <w:rPr>
          <w:rFonts w:asciiTheme="minorHAnsi" w:hAnsiTheme="minorHAnsi"/>
        </w:rPr>
        <w:t>claims data</w:t>
      </w:r>
      <w:r w:rsidR="00C209D6" w:rsidRPr="00105FFC">
        <w:rPr>
          <w:rFonts w:asciiTheme="minorHAnsi" w:hAnsiTheme="minorHAnsi"/>
        </w:rPr>
        <w:t>, Medi-Cal eligibility data, and</w:t>
      </w:r>
      <w:r w:rsidR="00901F1D" w:rsidRPr="00105FFC">
        <w:rPr>
          <w:rFonts w:asciiTheme="minorHAnsi" w:hAnsiTheme="minorHAnsi"/>
        </w:rPr>
        <w:t xml:space="preserve"> </w:t>
      </w:r>
      <w:r w:rsidR="00421B5C" w:rsidRPr="00105FFC">
        <w:rPr>
          <w:rFonts w:asciiTheme="minorHAnsi" w:hAnsiTheme="minorHAnsi"/>
        </w:rPr>
        <w:t>California Vital Statistics</w:t>
      </w:r>
      <w:r w:rsidR="00C209D6" w:rsidRPr="00105FFC">
        <w:rPr>
          <w:rFonts w:asciiTheme="minorHAnsi" w:hAnsiTheme="minorHAnsi"/>
        </w:rPr>
        <w:t xml:space="preserve"> data</w:t>
      </w:r>
      <w:r w:rsidR="00901F1D" w:rsidRPr="00105FFC">
        <w:rPr>
          <w:rFonts w:asciiTheme="minorHAnsi" w:hAnsiTheme="minorHAnsi"/>
        </w:rPr>
        <w:t>.</w:t>
      </w:r>
      <w:r w:rsidR="008A64CE" w:rsidRPr="00105FFC">
        <w:rPr>
          <w:rFonts w:asciiTheme="minorHAnsi" w:hAnsiTheme="minorHAnsi"/>
        </w:rPr>
        <w:t xml:space="preserve">  A detailed </w:t>
      </w:r>
      <w:r w:rsidR="004A7AD3" w:rsidRPr="00105FFC">
        <w:rPr>
          <w:rFonts w:asciiTheme="minorHAnsi" w:hAnsiTheme="minorHAnsi"/>
        </w:rPr>
        <w:t xml:space="preserve">description of each administrative data source is presented in </w:t>
      </w:r>
      <w:r w:rsidR="008A64CE" w:rsidRPr="00105FFC">
        <w:rPr>
          <w:rFonts w:asciiTheme="minorHAnsi" w:hAnsiTheme="minorHAnsi"/>
        </w:rPr>
        <w:t>Appendix B</w:t>
      </w:r>
      <w:r w:rsidR="004A7AD3" w:rsidRPr="00105FFC">
        <w:rPr>
          <w:rFonts w:asciiTheme="minorHAnsi" w:hAnsiTheme="minorHAnsi"/>
        </w:rPr>
        <w:t>.</w:t>
      </w:r>
    </w:p>
    <w:p w14:paraId="49876264" w14:textId="77777777" w:rsidR="00817778" w:rsidRPr="00105FFC" w:rsidRDefault="00817778" w:rsidP="002D04DA">
      <w:pPr>
        <w:spacing w:after="120" w:line="276" w:lineRule="auto"/>
        <w:rPr>
          <w:rFonts w:asciiTheme="minorHAnsi" w:hAnsiTheme="minorHAnsi"/>
        </w:rPr>
      </w:pPr>
      <w:r w:rsidRPr="00105FFC">
        <w:rPr>
          <w:rFonts w:asciiTheme="minorHAnsi" w:hAnsiTheme="minorHAnsi"/>
        </w:rPr>
        <w:t xml:space="preserve">The administrative data sources identified for use in calculating some of the proposed healthcare access measures are not considered complete for 12-months following the end of the reporting period.  Reporting of these measures is only feasible when complete data sets can be compiled.  </w:t>
      </w:r>
      <w:r w:rsidR="00015604" w:rsidRPr="00105FFC">
        <w:rPr>
          <w:rFonts w:asciiTheme="minorHAnsi" w:hAnsiTheme="minorHAnsi"/>
        </w:rPr>
        <w:t>In addition, considerable</w:t>
      </w:r>
      <w:r w:rsidRPr="00105FFC">
        <w:rPr>
          <w:rFonts w:asciiTheme="minorHAnsi" w:hAnsiTheme="minorHAnsi"/>
        </w:rPr>
        <w:t xml:space="preserve"> data manipulation is necessary prior to undertaking any analysis.</w:t>
      </w:r>
      <w:r w:rsidR="00FD7DA5" w:rsidRPr="00105FFC">
        <w:rPr>
          <w:rFonts w:asciiTheme="minorHAnsi" w:hAnsiTheme="minorHAnsi"/>
        </w:rPr>
        <w:t xml:space="preserve">  </w:t>
      </w:r>
    </w:p>
    <w:p w14:paraId="69D66D64" w14:textId="77777777" w:rsidR="00901F1D" w:rsidRPr="00105FFC" w:rsidRDefault="00901F1D" w:rsidP="00FD411A">
      <w:pPr>
        <w:spacing w:line="276" w:lineRule="auto"/>
        <w:rPr>
          <w:rFonts w:asciiTheme="minorHAnsi" w:hAnsiTheme="minorHAnsi"/>
        </w:rPr>
      </w:pPr>
      <w:r w:rsidRPr="00105FFC">
        <w:rPr>
          <w:rFonts w:asciiTheme="minorHAnsi" w:hAnsiTheme="minorHAnsi"/>
        </w:rPr>
        <w:t xml:space="preserve">Each of these administrative data sources offer valuable information for access monitoring on a timely basis.  For example, </w:t>
      </w:r>
      <w:r w:rsidR="001B7879" w:rsidRPr="00105FFC">
        <w:rPr>
          <w:rFonts w:asciiTheme="minorHAnsi" w:hAnsiTheme="minorHAnsi"/>
        </w:rPr>
        <w:t>Medi-Cal’s eligibility data</w:t>
      </w:r>
      <w:r w:rsidRPr="00105FFC">
        <w:rPr>
          <w:rFonts w:asciiTheme="minorHAnsi" w:hAnsiTheme="minorHAnsi"/>
        </w:rPr>
        <w:t xml:space="preserve"> provides detailed</w:t>
      </w:r>
      <w:r w:rsidR="00AE13A8" w:rsidRPr="00105FFC">
        <w:rPr>
          <w:rFonts w:asciiTheme="minorHAnsi" w:hAnsiTheme="minorHAnsi"/>
        </w:rPr>
        <w:t xml:space="preserve"> information on a beneficiary’s</w:t>
      </w:r>
      <w:r w:rsidRPr="00105FFC">
        <w:rPr>
          <w:rFonts w:asciiTheme="minorHAnsi" w:hAnsiTheme="minorHAnsi"/>
        </w:rPr>
        <w:t xml:space="preserve"> length of enrollment, aid category under which they are eligible for services, age, race/ethnicity, and primary language spoken.  Though offering timely resources for access monitoring, these administrative data sources are not without limitations.  For example, although </w:t>
      </w:r>
      <w:r w:rsidR="001B7879" w:rsidRPr="00105FFC">
        <w:rPr>
          <w:rFonts w:asciiTheme="minorHAnsi" w:hAnsiTheme="minorHAnsi"/>
        </w:rPr>
        <w:t>Medi-Cal’s eligibility</w:t>
      </w:r>
      <w:r w:rsidRPr="00105FFC">
        <w:rPr>
          <w:rFonts w:asciiTheme="minorHAnsi" w:hAnsiTheme="minorHAnsi"/>
        </w:rPr>
        <w:t xml:space="preserve"> data contain information on the primary language spoken by a beneficiary, </w:t>
      </w:r>
      <w:r w:rsidR="009076DC" w:rsidRPr="00105FFC">
        <w:rPr>
          <w:rFonts w:asciiTheme="minorHAnsi" w:hAnsiTheme="minorHAnsi"/>
        </w:rPr>
        <w:t xml:space="preserve">Provider Master File </w:t>
      </w:r>
      <w:r w:rsidRPr="00105FFC">
        <w:rPr>
          <w:rFonts w:asciiTheme="minorHAnsi" w:hAnsiTheme="minorHAnsi"/>
        </w:rPr>
        <w:t xml:space="preserve">data on provider languages spoken and the availability of interpretive services are lacking.  Such limitations hinder </w:t>
      </w:r>
      <w:r w:rsidR="007C3E93" w:rsidRPr="00105FFC">
        <w:rPr>
          <w:rFonts w:asciiTheme="minorHAnsi" w:hAnsiTheme="minorHAnsi"/>
        </w:rPr>
        <w:t>DHCS’</w:t>
      </w:r>
      <w:r w:rsidRPr="00105FFC">
        <w:rPr>
          <w:rFonts w:asciiTheme="minorHAnsi" w:hAnsiTheme="minorHAnsi"/>
        </w:rPr>
        <w:t xml:space="preserve"> ability to assess provider availability for non-English speaking beneficiaries.  And, although </w:t>
      </w:r>
      <w:r w:rsidR="007C3E93" w:rsidRPr="00105FFC">
        <w:rPr>
          <w:rFonts w:asciiTheme="minorHAnsi" w:hAnsiTheme="minorHAnsi"/>
        </w:rPr>
        <w:t>it can be</w:t>
      </w:r>
      <w:r w:rsidRPr="00105FFC">
        <w:rPr>
          <w:rFonts w:asciiTheme="minorHAnsi" w:hAnsiTheme="minorHAnsi"/>
        </w:rPr>
        <w:t xml:space="preserve"> identif</w:t>
      </w:r>
      <w:r w:rsidR="007C3E93" w:rsidRPr="00105FFC">
        <w:rPr>
          <w:rFonts w:asciiTheme="minorHAnsi" w:hAnsiTheme="minorHAnsi"/>
        </w:rPr>
        <w:t>ied</w:t>
      </w:r>
      <w:r w:rsidRPr="00105FFC">
        <w:rPr>
          <w:rFonts w:asciiTheme="minorHAnsi" w:hAnsiTheme="minorHAnsi"/>
        </w:rPr>
        <w:t xml:space="preserve"> whether a beneficiary had at least one physician visit during the year using </w:t>
      </w:r>
      <w:r w:rsidR="009076DC" w:rsidRPr="00105FFC">
        <w:rPr>
          <w:rFonts w:asciiTheme="minorHAnsi" w:hAnsiTheme="minorHAnsi"/>
        </w:rPr>
        <w:t xml:space="preserve">paid </w:t>
      </w:r>
      <w:r w:rsidRPr="00105FFC">
        <w:rPr>
          <w:rFonts w:asciiTheme="minorHAnsi" w:hAnsiTheme="minorHAnsi"/>
        </w:rPr>
        <w:t xml:space="preserve">claims data, </w:t>
      </w:r>
      <w:r w:rsidR="007C3E93" w:rsidRPr="00105FFC">
        <w:rPr>
          <w:rFonts w:asciiTheme="minorHAnsi" w:hAnsiTheme="minorHAnsi"/>
        </w:rPr>
        <w:t>t</w:t>
      </w:r>
      <w:r w:rsidRPr="00105FFC">
        <w:rPr>
          <w:rFonts w:asciiTheme="minorHAnsi" w:hAnsiTheme="minorHAnsi"/>
        </w:rPr>
        <w:t>he reasons for those not receiving care when using these same administrative data sources</w:t>
      </w:r>
      <w:r w:rsidR="007C3E93" w:rsidRPr="00105FFC">
        <w:rPr>
          <w:rFonts w:asciiTheme="minorHAnsi" w:hAnsiTheme="minorHAnsi"/>
        </w:rPr>
        <w:t xml:space="preserve"> cannot be </w:t>
      </w:r>
      <w:r w:rsidR="009076DC" w:rsidRPr="00105FFC">
        <w:rPr>
          <w:rFonts w:asciiTheme="minorHAnsi" w:hAnsiTheme="minorHAnsi"/>
        </w:rPr>
        <w:t>evaluated</w:t>
      </w:r>
      <w:r w:rsidRPr="00105FFC">
        <w:rPr>
          <w:rFonts w:asciiTheme="minorHAnsi" w:hAnsiTheme="minorHAnsi"/>
        </w:rPr>
        <w:t>.</w:t>
      </w:r>
      <w:r w:rsidR="00FD7DA5" w:rsidRPr="00105FFC">
        <w:rPr>
          <w:rFonts w:asciiTheme="minorHAnsi" w:hAnsiTheme="minorHAnsi"/>
        </w:rPr>
        <w:t xml:space="preserve">  </w:t>
      </w:r>
    </w:p>
    <w:p w14:paraId="622F9814" w14:textId="77777777" w:rsidR="00FD411A" w:rsidRPr="00105FFC" w:rsidRDefault="00FD411A" w:rsidP="00FD411A">
      <w:pPr>
        <w:pStyle w:val="Heading3"/>
        <w:spacing w:before="0" w:line="276" w:lineRule="auto"/>
        <w:rPr>
          <w:color w:val="auto"/>
        </w:rPr>
      </w:pPr>
    </w:p>
    <w:p w14:paraId="56EA0FAE" w14:textId="77777777" w:rsidR="008A3C76" w:rsidRPr="00105FFC" w:rsidRDefault="009239E8" w:rsidP="00082395">
      <w:pPr>
        <w:pStyle w:val="Heading3"/>
        <w:spacing w:before="0" w:after="120" w:line="276" w:lineRule="auto"/>
        <w:rPr>
          <w:color w:val="auto"/>
        </w:rPr>
      </w:pPr>
      <w:bookmarkStart w:id="163" w:name="_Toc459287738"/>
      <w:r w:rsidRPr="00105FFC">
        <w:rPr>
          <w:color w:val="auto"/>
        </w:rPr>
        <w:t xml:space="preserve">Access </w:t>
      </w:r>
      <w:r w:rsidR="003D1831" w:rsidRPr="00105FFC">
        <w:rPr>
          <w:color w:val="auto"/>
        </w:rPr>
        <w:t>Evaluation Domains</w:t>
      </w:r>
      <w:bookmarkEnd w:id="163"/>
      <w:r w:rsidR="003D1831" w:rsidRPr="00105FFC">
        <w:rPr>
          <w:color w:val="auto"/>
        </w:rPr>
        <w:t xml:space="preserve"> </w:t>
      </w:r>
    </w:p>
    <w:p w14:paraId="6C686CEF" w14:textId="77777777" w:rsidR="00421B5C" w:rsidRPr="00105FFC" w:rsidRDefault="00901F1D" w:rsidP="002D04DA">
      <w:pPr>
        <w:spacing w:after="120" w:line="276" w:lineRule="auto"/>
        <w:rPr>
          <w:rFonts w:asciiTheme="minorHAnsi" w:hAnsiTheme="minorHAnsi" w:cs="Arial"/>
        </w:rPr>
      </w:pPr>
      <w:r w:rsidRPr="00105FFC">
        <w:rPr>
          <w:rFonts w:asciiTheme="minorHAnsi" w:hAnsiTheme="minorHAnsi" w:cs="Arial"/>
        </w:rPr>
        <w:t xml:space="preserve">DHCS’ </w:t>
      </w:r>
      <w:r w:rsidR="008A3C76" w:rsidRPr="00105FFC">
        <w:rPr>
          <w:rFonts w:asciiTheme="minorHAnsi" w:hAnsiTheme="minorHAnsi" w:cs="Arial"/>
        </w:rPr>
        <w:t>access</w:t>
      </w:r>
      <w:r w:rsidR="00421B5C" w:rsidRPr="00105FFC">
        <w:rPr>
          <w:rFonts w:asciiTheme="minorHAnsi" w:hAnsiTheme="minorHAnsi" w:cs="Arial"/>
        </w:rPr>
        <w:t xml:space="preserve"> ana</w:t>
      </w:r>
      <w:r w:rsidR="00CC11C5" w:rsidRPr="00105FFC">
        <w:rPr>
          <w:rFonts w:asciiTheme="minorHAnsi" w:hAnsiTheme="minorHAnsi" w:cs="Arial"/>
        </w:rPr>
        <w:t>lysis will be divided into seven</w:t>
      </w:r>
      <w:r w:rsidR="00421B5C" w:rsidRPr="00105FFC">
        <w:rPr>
          <w:rFonts w:asciiTheme="minorHAnsi" w:hAnsiTheme="minorHAnsi" w:cs="Arial"/>
        </w:rPr>
        <w:t xml:space="preserve"> </w:t>
      </w:r>
      <w:r w:rsidR="005F625D" w:rsidRPr="00105FFC">
        <w:rPr>
          <w:rFonts w:asciiTheme="minorHAnsi" w:hAnsiTheme="minorHAnsi" w:cs="Arial"/>
        </w:rPr>
        <w:t>domains</w:t>
      </w:r>
      <w:r w:rsidR="00421B5C" w:rsidRPr="00105FFC">
        <w:rPr>
          <w:rFonts w:asciiTheme="minorHAnsi" w:hAnsiTheme="minorHAnsi" w:cs="Arial"/>
        </w:rPr>
        <w:t>:</w:t>
      </w:r>
    </w:p>
    <w:p w14:paraId="7D280E26" w14:textId="77777777" w:rsidR="00421B5C" w:rsidRPr="00105FFC" w:rsidRDefault="00421B5C" w:rsidP="00212433">
      <w:pPr>
        <w:pStyle w:val="ListParagraph"/>
        <w:numPr>
          <w:ilvl w:val="0"/>
          <w:numId w:val="40"/>
        </w:numPr>
        <w:spacing w:after="120" w:line="276" w:lineRule="auto"/>
        <w:contextualSpacing/>
        <w:rPr>
          <w:rFonts w:asciiTheme="minorHAnsi" w:hAnsiTheme="minorHAnsi"/>
        </w:rPr>
      </w:pPr>
      <w:r w:rsidRPr="00105FFC">
        <w:rPr>
          <w:rFonts w:asciiTheme="minorHAnsi" w:hAnsiTheme="minorHAnsi"/>
        </w:rPr>
        <w:t>Beneficiary Participation,</w:t>
      </w:r>
    </w:p>
    <w:p w14:paraId="04B3B56E" w14:textId="77777777" w:rsidR="00421B5C" w:rsidRPr="00105FFC" w:rsidRDefault="00421B5C" w:rsidP="00212433">
      <w:pPr>
        <w:pStyle w:val="ListParagraph"/>
        <w:numPr>
          <w:ilvl w:val="0"/>
          <w:numId w:val="40"/>
        </w:numPr>
        <w:spacing w:after="120" w:line="276" w:lineRule="auto"/>
        <w:contextualSpacing/>
        <w:rPr>
          <w:rFonts w:asciiTheme="minorHAnsi" w:hAnsiTheme="minorHAnsi"/>
        </w:rPr>
      </w:pPr>
      <w:r w:rsidRPr="00105FFC">
        <w:rPr>
          <w:rFonts w:asciiTheme="minorHAnsi" w:hAnsiTheme="minorHAnsi"/>
        </w:rPr>
        <w:t>Provider Participation,</w:t>
      </w:r>
    </w:p>
    <w:p w14:paraId="7D43E68B" w14:textId="77777777" w:rsidR="00421B5C" w:rsidRPr="00105FFC" w:rsidRDefault="00FD411A" w:rsidP="00212433">
      <w:pPr>
        <w:pStyle w:val="ListParagraph"/>
        <w:numPr>
          <w:ilvl w:val="0"/>
          <w:numId w:val="40"/>
        </w:numPr>
        <w:spacing w:after="120" w:line="276" w:lineRule="auto"/>
        <w:contextualSpacing/>
        <w:rPr>
          <w:rFonts w:asciiTheme="minorHAnsi" w:hAnsiTheme="minorHAnsi"/>
        </w:rPr>
      </w:pPr>
      <w:r w:rsidRPr="00105FFC">
        <w:rPr>
          <w:rFonts w:asciiTheme="minorHAnsi" w:hAnsiTheme="minorHAnsi"/>
        </w:rPr>
        <w:t>Realized Access (Service Utilization),</w:t>
      </w:r>
    </w:p>
    <w:p w14:paraId="30F05B6E" w14:textId="77777777" w:rsidR="00421B5C" w:rsidRPr="00105FFC" w:rsidRDefault="00C12CF0" w:rsidP="00212433">
      <w:pPr>
        <w:pStyle w:val="ListParagraph"/>
        <w:numPr>
          <w:ilvl w:val="0"/>
          <w:numId w:val="40"/>
        </w:numPr>
        <w:spacing w:after="120" w:line="276" w:lineRule="auto"/>
        <w:contextualSpacing/>
        <w:rPr>
          <w:rFonts w:asciiTheme="minorHAnsi" w:hAnsiTheme="minorHAnsi"/>
        </w:rPr>
      </w:pPr>
      <w:r w:rsidRPr="00105FFC">
        <w:rPr>
          <w:rFonts w:asciiTheme="minorHAnsi" w:hAnsiTheme="minorHAnsi"/>
        </w:rPr>
        <w:t>Obstetric Services and Births Outcomes</w:t>
      </w:r>
      <w:r w:rsidR="00421B5C" w:rsidRPr="00105FFC">
        <w:rPr>
          <w:rFonts w:asciiTheme="minorHAnsi" w:hAnsiTheme="minorHAnsi"/>
        </w:rPr>
        <w:t>,</w:t>
      </w:r>
    </w:p>
    <w:p w14:paraId="0FF06B66" w14:textId="77777777" w:rsidR="00421B5C" w:rsidRPr="00105FFC" w:rsidRDefault="00421B5C" w:rsidP="00212433">
      <w:pPr>
        <w:pStyle w:val="ListParagraph"/>
        <w:numPr>
          <w:ilvl w:val="0"/>
          <w:numId w:val="40"/>
        </w:numPr>
        <w:spacing w:after="120" w:line="276" w:lineRule="auto"/>
        <w:contextualSpacing/>
        <w:rPr>
          <w:rFonts w:asciiTheme="minorHAnsi" w:hAnsiTheme="minorHAnsi"/>
        </w:rPr>
      </w:pPr>
      <w:r w:rsidRPr="00105FFC">
        <w:rPr>
          <w:rFonts w:asciiTheme="minorHAnsi" w:hAnsiTheme="minorHAnsi"/>
        </w:rPr>
        <w:t>Feedback,</w:t>
      </w:r>
    </w:p>
    <w:p w14:paraId="1554D2C4" w14:textId="77777777" w:rsidR="00421B5C" w:rsidRPr="00105FFC" w:rsidRDefault="00421B5C" w:rsidP="00212433">
      <w:pPr>
        <w:pStyle w:val="ListParagraph"/>
        <w:numPr>
          <w:ilvl w:val="0"/>
          <w:numId w:val="40"/>
        </w:numPr>
        <w:spacing w:after="120" w:line="276" w:lineRule="auto"/>
        <w:contextualSpacing/>
        <w:rPr>
          <w:rFonts w:asciiTheme="minorHAnsi" w:hAnsiTheme="minorHAnsi"/>
        </w:rPr>
      </w:pPr>
      <w:r w:rsidRPr="00105FFC">
        <w:rPr>
          <w:rFonts w:asciiTheme="minorHAnsi" w:hAnsiTheme="minorHAnsi"/>
        </w:rPr>
        <w:t>D</w:t>
      </w:r>
      <w:r w:rsidR="006B10DC" w:rsidRPr="00105FFC">
        <w:rPr>
          <w:rFonts w:asciiTheme="minorHAnsi" w:hAnsiTheme="minorHAnsi"/>
        </w:rPr>
        <w:t xml:space="preserve">ental, </w:t>
      </w:r>
      <w:r w:rsidRPr="00105FFC">
        <w:rPr>
          <w:rFonts w:asciiTheme="minorHAnsi" w:hAnsiTheme="minorHAnsi"/>
        </w:rPr>
        <w:t>and</w:t>
      </w:r>
    </w:p>
    <w:p w14:paraId="72267135" w14:textId="77777777" w:rsidR="009239E8" w:rsidRPr="00105FFC" w:rsidRDefault="00421B5C" w:rsidP="00212433">
      <w:pPr>
        <w:pStyle w:val="ListParagraph"/>
        <w:numPr>
          <w:ilvl w:val="0"/>
          <w:numId w:val="40"/>
        </w:numPr>
        <w:spacing w:after="120" w:line="276" w:lineRule="auto"/>
        <w:contextualSpacing/>
        <w:rPr>
          <w:rFonts w:asciiTheme="minorHAnsi" w:hAnsiTheme="minorHAnsi"/>
        </w:rPr>
      </w:pPr>
      <w:r w:rsidRPr="00105FFC">
        <w:rPr>
          <w:rFonts w:asciiTheme="minorHAnsi" w:hAnsiTheme="minorHAnsi"/>
        </w:rPr>
        <w:t>P</w:t>
      </w:r>
      <w:r w:rsidR="008A3C76" w:rsidRPr="00105FFC">
        <w:rPr>
          <w:rFonts w:asciiTheme="minorHAnsi" w:hAnsiTheme="minorHAnsi"/>
        </w:rPr>
        <w:t>rovi</w:t>
      </w:r>
      <w:r w:rsidRPr="00105FFC">
        <w:rPr>
          <w:rFonts w:asciiTheme="minorHAnsi" w:hAnsiTheme="minorHAnsi"/>
        </w:rPr>
        <w:t>der Reimbursement R</w:t>
      </w:r>
      <w:r w:rsidR="008A3C76" w:rsidRPr="00105FFC">
        <w:rPr>
          <w:rFonts w:asciiTheme="minorHAnsi" w:hAnsiTheme="minorHAnsi"/>
        </w:rPr>
        <w:t>ates.</w:t>
      </w:r>
    </w:p>
    <w:p w14:paraId="47D1ED73" w14:textId="77777777" w:rsidR="008A3C76" w:rsidRPr="00105FFC" w:rsidRDefault="00926057" w:rsidP="002D04DA">
      <w:pPr>
        <w:spacing w:after="120" w:line="276" w:lineRule="auto"/>
        <w:rPr>
          <w:rFonts w:asciiTheme="minorHAnsi" w:hAnsiTheme="minorHAnsi" w:cs="Arial"/>
        </w:rPr>
      </w:pPr>
      <w:r w:rsidRPr="00105FFC">
        <w:rPr>
          <w:rFonts w:asciiTheme="minorHAnsi" w:hAnsiTheme="minorHAnsi" w:cs="Arial"/>
        </w:rPr>
        <w:br w:type="page"/>
      </w:r>
    </w:p>
    <w:p w14:paraId="5B8F1D88" w14:textId="77777777" w:rsidR="002374C0" w:rsidRPr="00105FFC" w:rsidRDefault="00F16AA0" w:rsidP="002374C0">
      <w:pPr>
        <w:pStyle w:val="Heading3"/>
        <w:spacing w:before="0" w:after="120" w:line="276" w:lineRule="auto"/>
        <w:rPr>
          <w:color w:val="auto"/>
        </w:rPr>
      </w:pPr>
      <w:bookmarkStart w:id="164" w:name="_Toc459287739"/>
      <w:r w:rsidRPr="00105FFC">
        <w:lastRenderedPageBreak/>
        <w:t>Evaluation Domain</w:t>
      </w:r>
      <w:r w:rsidR="00F6287E" w:rsidRPr="00105FFC">
        <w:rPr>
          <w:color w:val="auto"/>
        </w:rPr>
        <w:t xml:space="preserve">:  </w:t>
      </w:r>
      <w:r w:rsidR="002374C0" w:rsidRPr="00105FFC">
        <w:rPr>
          <w:color w:val="auto"/>
        </w:rPr>
        <w:t>Beneficiary Participation</w:t>
      </w:r>
      <w:bookmarkEnd w:id="164"/>
    </w:p>
    <w:p w14:paraId="1C6CD28F" w14:textId="77777777" w:rsidR="00BD44D4" w:rsidRPr="00105FFC" w:rsidRDefault="002374C0" w:rsidP="002374C0">
      <w:pPr>
        <w:spacing w:after="120" w:line="276" w:lineRule="auto"/>
        <w:rPr>
          <w:rFonts w:asciiTheme="minorHAnsi" w:hAnsiTheme="minorHAnsi"/>
        </w:rPr>
      </w:pPr>
      <w:r w:rsidRPr="00105FFC">
        <w:rPr>
          <w:rFonts w:asciiTheme="minorHAnsi" w:hAnsiTheme="minorHAnsi"/>
          <w:b/>
          <w:i/>
        </w:rPr>
        <w:t>Rationale:</w:t>
      </w:r>
      <w:r w:rsidRPr="00105FFC">
        <w:rPr>
          <w:rFonts w:asciiTheme="minorHAnsi" w:hAnsiTheme="minorHAnsi"/>
        </w:rPr>
        <w:t xml:space="preserve">  Changes in FFS Medi-Cal program participation may have an impact on demand for program services.  This </w:t>
      </w:r>
      <w:r w:rsidR="00957E1E" w:rsidRPr="00105FFC">
        <w:rPr>
          <w:rFonts w:asciiTheme="minorHAnsi" w:hAnsiTheme="minorHAnsi"/>
        </w:rPr>
        <w:t>evaluation domain</w:t>
      </w:r>
      <w:r w:rsidRPr="00105FFC">
        <w:rPr>
          <w:rFonts w:asciiTheme="minorHAnsi" w:hAnsiTheme="minorHAnsi"/>
        </w:rPr>
        <w:t xml:space="preserve"> will allow DHCS to monitor the changing demand for program services by enrollee demographic characteristics, eligibility category</w:t>
      </w:r>
      <w:r w:rsidR="009076DC" w:rsidRPr="00105FFC">
        <w:rPr>
          <w:rFonts w:asciiTheme="minorHAnsi" w:hAnsiTheme="minorHAnsi"/>
        </w:rPr>
        <w:t>,</w:t>
      </w:r>
      <w:r w:rsidRPr="00105FFC">
        <w:rPr>
          <w:rFonts w:asciiTheme="minorHAnsi" w:hAnsiTheme="minorHAnsi"/>
        </w:rPr>
        <w:t xml:space="preserve"> and </w:t>
      </w:r>
      <w:r w:rsidR="009076DC" w:rsidRPr="00105FFC">
        <w:rPr>
          <w:rFonts w:asciiTheme="minorHAnsi" w:hAnsiTheme="minorHAnsi"/>
        </w:rPr>
        <w:t xml:space="preserve">geographic </w:t>
      </w:r>
      <w:r w:rsidRPr="00105FFC">
        <w:rPr>
          <w:rFonts w:asciiTheme="minorHAnsi" w:hAnsiTheme="minorHAnsi"/>
        </w:rPr>
        <w:t xml:space="preserve">location.  </w:t>
      </w:r>
    </w:p>
    <w:p w14:paraId="15D67DDC" w14:textId="77777777" w:rsidR="006A29FF" w:rsidRPr="00105FFC" w:rsidRDefault="002374C0" w:rsidP="002374C0">
      <w:pPr>
        <w:spacing w:after="120" w:line="276" w:lineRule="auto"/>
        <w:rPr>
          <w:rFonts w:asciiTheme="minorHAnsi" w:hAnsiTheme="minorHAnsi"/>
        </w:rPr>
      </w:pPr>
      <w:r w:rsidRPr="00105FFC">
        <w:rPr>
          <w:rFonts w:asciiTheme="minorHAnsi" w:hAnsiTheme="minorHAnsi"/>
        </w:rPr>
        <w:t>The California HealthCare Foundation has proposed population-specific measures that include pregnant women, children, seniors, and people with disabilities as part of its recommendations for measuring Medicaid program performance</w:t>
      </w:r>
      <w:r w:rsidRPr="00105FFC">
        <w:rPr>
          <w:rStyle w:val="EndnoteReference"/>
          <w:rFonts w:asciiTheme="minorHAnsi" w:hAnsiTheme="minorHAnsi"/>
        </w:rPr>
        <w:endnoteReference w:id="74"/>
      </w:r>
      <w:r w:rsidRPr="00105FFC">
        <w:rPr>
          <w:rFonts w:asciiTheme="minorHAnsi" w:hAnsiTheme="minorHAnsi"/>
        </w:rPr>
        <w:t>.  Measures such as this have also been recommended by the AHRQ as one of many tools to monitor access in safety net healthcare systems.  Data can be compared to identify trends in FFS Medi-Cal enrollment to anticipate need for program services.  Administrative data is readily available for this measure through the Medi-Cal program.</w:t>
      </w:r>
    </w:p>
    <w:p w14:paraId="077B1F90" w14:textId="77777777" w:rsidR="006A29FF" w:rsidRPr="00105FFC" w:rsidRDefault="006A29FF" w:rsidP="006A29FF">
      <w:pPr>
        <w:spacing w:after="120" w:line="276" w:lineRule="auto"/>
        <w:rPr>
          <w:rFonts w:asciiTheme="minorHAnsi" w:eastAsiaTheme="minorHAnsi" w:hAnsiTheme="minorHAnsi" w:cstheme="minorBidi"/>
        </w:rPr>
      </w:pPr>
      <w:r w:rsidRPr="00105FFC">
        <w:rPr>
          <w:rFonts w:asciiTheme="minorHAnsi" w:hAnsiTheme="minorHAnsi"/>
          <w:b/>
        </w:rPr>
        <w:t>Analysis Performed and Measures Evaluated:</w:t>
      </w:r>
      <w:r w:rsidR="008659D4" w:rsidRPr="00105FFC">
        <w:rPr>
          <w:rFonts w:asciiTheme="minorHAnsi" w:hAnsiTheme="minorHAnsi"/>
          <w:b/>
        </w:rPr>
        <w:t xml:space="preserve"> </w:t>
      </w:r>
      <w:r w:rsidR="00F6287E" w:rsidRPr="00105FFC">
        <w:rPr>
          <w:rFonts w:asciiTheme="minorHAnsi" w:eastAsiaTheme="minorHAnsi" w:hAnsiTheme="minorHAnsi" w:cstheme="minorBidi"/>
        </w:rPr>
        <w:t>The beneficiary participation entails evaluating</w:t>
      </w:r>
      <w:r w:rsidRPr="00105FFC">
        <w:rPr>
          <w:rFonts w:asciiTheme="minorHAnsi" w:eastAsiaTheme="minorHAnsi" w:hAnsiTheme="minorHAnsi" w:cstheme="minorBidi"/>
        </w:rPr>
        <w:t xml:space="preserve"> Medi-Cal’s FFS population along several dimensions.  These include: </w:t>
      </w:r>
    </w:p>
    <w:p w14:paraId="19768E9D" w14:textId="77777777" w:rsidR="006A29FF" w:rsidRPr="00085BCA" w:rsidRDefault="006A29FF" w:rsidP="00085BCA">
      <w:pPr>
        <w:pStyle w:val="ListParagraph"/>
        <w:numPr>
          <w:ilvl w:val="0"/>
          <w:numId w:val="43"/>
        </w:numPr>
        <w:rPr>
          <w:rFonts w:asciiTheme="minorHAnsi" w:hAnsiTheme="minorHAnsi"/>
        </w:rPr>
      </w:pPr>
      <w:bookmarkStart w:id="165" w:name="_Toc458518959"/>
      <w:bookmarkStart w:id="166" w:name="_Toc458526537"/>
      <w:bookmarkStart w:id="167" w:name="_Toc458526671"/>
      <w:bookmarkStart w:id="168" w:name="_Toc458782855"/>
      <w:r w:rsidRPr="00085BCA">
        <w:rPr>
          <w:rFonts w:asciiTheme="minorHAnsi" w:hAnsiTheme="minorHAnsi"/>
        </w:rPr>
        <w:t>the trend in FFS Medi-Cal participation,</w:t>
      </w:r>
      <w:bookmarkEnd w:id="165"/>
      <w:bookmarkEnd w:id="166"/>
      <w:bookmarkEnd w:id="167"/>
      <w:bookmarkEnd w:id="168"/>
    </w:p>
    <w:p w14:paraId="7449D275" w14:textId="77777777" w:rsidR="006A29FF" w:rsidRPr="00085BCA" w:rsidRDefault="006A29FF" w:rsidP="00085BCA">
      <w:pPr>
        <w:pStyle w:val="ListParagraph"/>
        <w:numPr>
          <w:ilvl w:val="0"/>
          <w:numId w:val="43"/>
        </w:numPr>
        <w:rPr>
          <w:rFonts w:asciiTheme="minorHAnsi" w:hAnsiTheme="minorHAnsi"/>
        </w:rPr>
      </w:pPr>
      <w:bookmarkStart w:id="169" w:name="_Toc458518960"/>
      <w:bookmarkStart w:id="170" w:name="_Toc458526538"/>
      <w:bookmarkStart w:id="171" w:name="_Toc458526672"/>
      <w:bookmarkStart w:id="172" w:name="_Toc458782856"/>
      <w:r w:rsidRPr="00085BCA">
        <w:rPr>
          <w:rFonts w:asciiTheme="minorHAnsi" w:hAnsiTheme="minorHAnsi"/>
        </w:rPr>
        <w:t>the distribution of FFS Medi-Cal beneficiaries by length of enrollment,</w:t>
      </w:r>
      <w:bookmarkEnd w:id="169"/>
      <w:bookmarkEnd w:id="170"/>
      <w:bookmarkEnd w:id="171"/>
      <w:bookmarkEnd w:id="172"/>
    </w:p>
    <w:p w14:paraId="4F1BBFE6" w14:textId="77777777" w:rsidR="001E1ACA" w:rsidRPr="00085BCA" w:rsidRDefault="001E1ACA" w:rsidP="00085BCA">
      <w:pPr>
        <w:pStyle w:val="ListParagraph"/>
        <w:numPr>
          <w:ilvl w:val="0"/>
          <w:numId w:val="43"/>
        </w:numPr>
        <w:rPr>
          <w:rFonts w:asciiTheme="minorHAnsi" w:hAnsiTheme="minorHAnsi"/>
        </w:rPr>
      </w:pPr>
      <w:bookmarkStart w:id="173" w:name="_Toc458518961"/>
      <w:bookmarkStart w:id="174" w:name="_Toc458526539"/>
      <w:bookmarkStart w:id="175" w:name="_Toc458526673"/>
      <w:bookmarkStart w:id="176" w:name="_Toc458782857"/>
      <w:r w:rsidRPr="00085BCA">
        <w:rPr>
          <w:rFonts w:asciiTheme="minorHAnsi" w:hAnsiTheme="minorHAnsi"/>
        </w:rPr>
        <w:t>the distribution of FFS Medi-Cal beneficiaries by</w:t>
      </w:r>
      <w:r w:rsidR="00EA10ED" w:rsidRPr="00085BCA">
        <w:rPr>
          <w:rFonts w:asciiTheme="minorHAnsi" w:hAnsiTheme="minorHAnsi"/>
        </w:rPr>
        <w:t xml:space="preserve"> age group</w:t>
      </w:r>
      <w:r w:rsidRPr="00085BCA">
        <w:rPr>
          <w:rFonts w:asciiTheme="minorHAnsi" w:hAnsiTheme="minorHAnsi"/>
        </w:rPr>
        <w:t>,</w:t>
      </w:r>
      <w:bookmarkEnd w:id="173"/>
      <w:bookmarkEnd w:id="174"/>
      <w:bookmarkEnd w:id="175"/>
      <w:bookmarkEnd w:id="176"/>
    </w:p>
    <w:p w14:paraId="769DBBE2" w14:textId="77777777" w:rsidR="006A29FF" w:rsidRPr="00085BCA" w:rsidRDefault="006A29FF" w:rsidP="00085BCA">
      <w:pPr>
        <w:pStyle w:val="ListParagraph"/>
        <w:numPr>
          <w:ilvl w:val="0"/>
          <w:numId w:val="43"/>
        </w:numPr>
        <w:rPr>
          <w:rFonts w:asciiTheme="minorHAnsi" w:hAnsiTheme="minorHAnsi"/>
        </w:rPr>
      </w:pPr>
      <w:bookmarkStart w:id="177" w:name="_Toc458518962"/>
      <w:bookmarkStart w:id="178" w:name="_Toc458526540"/>
      <w:bookmarkStart w:id="179" w:name="_Toc458526674"/>
      <w:bookmarkStart w:id="180" w:name="_Toc458782858"/>
      <w:r w:rsidRPr="00085BCA">
        <w:rPr>
          <w:rFonts w:asciiTheme="minorHAnsi" w:hAnsiTheme="minorHAnsi"/>
        </w:rPr>
        <w:t xml:space="preserve">the distribution of FFS Medi-Cal beneficiaries by </w:t>
      </w:r>
      <w:r w:rsidR="00EA10ED" w:rsidRPr="00085BCA">
        <w:rPr>
          <w:rFonts w:asciiTheme="minorHAnsi" w:hAnsiTheme="minorHAnsi"/>
        </w:rPr>
        <w:t>aid category</w:t>
      </w:r>
      <w:r w:rsidRPr="00085BCA">
        <w:rPr>
          <w:rFonts w:asciiTheme="minorHAnsi" w:hAnsiTheme="minorHAnsi"/>
        </w:rPr>
        <w:t>,</w:t>
      </w:r>
      <w:bookmarkEnd w:id="177"/>
      <w:bookmarkEnd w:id="178"/>
      <w:bookmarkEnd w:id="179"/>
      <w:bookmarkEnd w:id="180"/>
    </w:p>
    <w:p w14:paraId="1C3DCB6F" w14:textId="77777777" w:rsidR="006A29FF" w:rsidRPr="00085BCA" w:rsidRDefault="006A29FF" w:rsidP="00085BCA">
      <w:pPr>
        <w:pStyle w:val="ListParagraph"/>
        <w:numPr>
          <w:ilvl w:val="0"/>
          <w:numId w:val="43"/>
        </w:numPr>
        <w:rPr>
          <w:rFonts w:asciiTheme="minorHAnsi" w:hAnsiTheme="minorHAnsi"/>
        </w:rPr>
      </w:pPr>
      <w:bookmarkStart w:id="181" w:name="_Toc458518963"/>
      <w:bookmarkStart w:id="182" w:name="_Toc458526541"/>
      <w:bookmarkStart w:id="183" w:name="_Toc458526675"/>
      <w:bookmarkStart w:id="184" w:name="_Toc458782859"/>
      <w:r w:rsidRPr="00085BCA">
        <w:rPr>
          <w:rFonts w:asciiTheme="minorHAnsi" w:hAnsiTheme="minorHAnsi"/>
        </w:rPr>
        <w:t>the distribution of FFS Medi-Cal beneficiaries by gender,</w:t>
      </w:r>
      <w:bookmarkEnd w:id="181"/>
      <w:bookmarkEnd w:id="182"/>
      <w:bookmarkEnd w:id="183"/>
      <w:bookmarkEnd w:id="184"/>
    </w:p>
    <w:p w14:paraId="09B21E65" w14:textId="77777777" w:rsidR="001E1ACA" w:rsidRPr="00085BCA" w:rsidRDefault="001E1ACA" w:rsidP="00085BCA">
      <w:pPr>
        <w:pStyle w:val="ListParagraph"/>
        <w:numPr>
          <w:ilvl w:val="0"/>
          <w:numId w:val="43"/>
        </w:numPr>
        <w:rPr>
          <w:rFonts w:asciiTheme="minorHAnsi" w:hAnsiTheme="minorHAnsi"/>
        </w:rPr>
      </w:pPr>
      <w:bookmarkStart w:id="185" w:name="_Toc458518964"/>
      <w:bookmarkStart w:id="186" w:name="_Toc458526542"/>
      <w:bookmarkStart w:id="187" w:name="_Toc458526676"/>
      <w:bookmarkStart w:id="188" w:name="_Toc458782860"/>
      <w:r w:rsidRPr="00085BCA">
        <w:rPr>
          <w:rFonts w:asciiTheme="minorHAnsi" w:hAnsiTheme="minorHAnsi"/>
        </w:rPr>
        <w:t>the distribution of FFS Medi-Cal women ages 15-44 by aid category,</w:t>
      </w:r>
      <w:bookmarkEnd w:id="185"/>
      <w:bookmarkEnd w:id="186"/>
      <w:bookmarkEnd w:id="187"/>
      <w:bookmarkEnd w:id="188"/>
    </w:p>
    <w:p w14:paraId="1144BD98" w14:textId="77777777" w:rsidR="006A29FF" w:rsidRPr="00085BCA" w:rsidRDefault="006A29FF" w:rsidP="00085BCA">
      <w:pPr>
        <w:pStyle w:val="ListParagraph"/>
        <w:numPr>
          <w:ilvl w:val="0"/>
          <w:numId w:val="43"/>
        </w:numPr>
        <w:rPr>
          <w:rFonts w:asciiTheme="minorHAnsi" w:hAnsiTheme="minorHAnsi"/>
        </w:rPr>
      </w:pPr>
      <w:bookmarkStart w:id="189" w:name="_Toc458518965"/>
      <w:bookmarkStart w:id="190" w:name="_Toc458526543"/>
      <w:bookmarkStart w:id="191" w:name="_Toc458526677"/>
      <w:bookmarkStart w:id="192" w:name="_Toc458782861"/>
      <w:r w:rsidRPr="00085BCA">
        <w:rPr>
          <w:rFonts w:asciiTheme="minorHAnsi" w:hAnsiTheme="minorHAnsi"/>
        </w:rPr>
        <w:t>the distribution of FFS Medi-Cal beneficiaries by geographic region,</w:t>
      </w:r>
      <w:bookmarkEnd w:id="189"/>
      <w:bookmarkEnd w:id="190"/>
      <w:bookmarkEnd w:id="191"/>
      <w:bookmarkEnd w:id="192"/>
    </w:p>
    <w:p w14:paraId="152A2CD7" w14:textId="77777777" w:rsidR="006A29FF" w:rsidRPr="00085BCA" w:rsidRDefault="006A29FF" w:rsidP="00085BCA">
      <w:pPr>
        <w:pStyle w:val="ListParagraph"/>
        <w:numPr>
          <w:ilvl w:val="0"/>
          <w:numId w:val="43"/>
        </w:numPr>
        <w:rPr>
          <w:rFonts w:asciiTheme="minorHAnsi" w:hAnsiTheme="minorHAnsi"/>
        </w:rPr>
      </w:pPr>
      <w:bookmarkStart w:id="193" w:name="_Toc458518966"/>
      <w:bookmarkStart w:id="194" w:name="_Toc458526544"/>
      <w:bookmarkStart w:id="195" w:name="_Toc458526678"/>
      <w:bookmarkStart w:id="196" w:name="_Toc458782862"/>
      <w:r w:rsidRPr="00085BCA">
        <w:rPr>
          <w:rFonts w:asciiTheme="minorHAnsi" w:hAnsiTheme="minorHAnsi"/>
        </w:rPr>
        <w:t>the distribution of FFS Medi-Cal beneficiaries by race-ethnicity,</w:t>
      </w:r>
      <w:bookmarkEnd w:id="193"/>
      <w:bookmarkEnd w:id="194"/>
      <w:bookmarkEnd w:id="195"/>
      <w:bookmarkEnd w:id="196"/>
    </w:p>
    <w:p w14:paraId="0E06E590" w14:textId="77777777" w:rsidR="006A29FF" w:rsidRPr="00085BCA" w:rsidRDefault="006A29FF" w:rsidP="00085BCA">
      <w:pPr>
        <w:pStyle w:val="ListParagraph"/>
        <w:numPr>
          <w:ilvl w:val="0"/>
          <w:numId w:val="43"/>
        </w:numPr>
        <w:rPr>
          <w:rFonts w:asciiTheme="minorHAnsi" w:hAnsiTheme="minorHAnsi"/>
        </w:rPr>
      </w:pPr>
      <w:bookmarkStart w:id="197" w:name="_Toc458518967"/>
      <w:bookmarkStart w:id="198" w:name="_Toc458526545"/>
      <w:bookmarkStart w:id="199" w:name="_Toc458526679"/>
      <w:bookmarkStart w:id="200" w:name="_Toc458782863"/>
      <w:r w:rsidRPr="00085BCA">
        <w:rPr>
          <w:rFonts w:asciiTheme="minorHAnsi" w:hAnsiTheme="minorHAnsi"/>
        </w:rPr>
        <w:t>the distribution of FFS Medi-Cal beneficiaries by primary language spoken.</w:t>
      </w:r>
      <w:bookmarkEnd w:id="197"/>
      <w:bookmarkEnd w:id="198"/>
      <w:bookmarkEnd w:id="199"/>
      <w:bookmarkEnd w:id="200"/>
    </w:p>
    <w:p w14:paraId="39A1744B" w14:textId="77777777" w:rsidR="006A29FF" w:rsidRPr="00105FFC" w:rsidRDefault="006A29FF" w:rsidP="002374C0">
      <w:pPr>
        <w:spacing w:after="120" w:line="276" w:lineRule="auto"/>
        <w:rPr>
          <w:rFonts w:asciiTheme="minorHAnsi" w:hAnsiTheme="minorHAnsi"/>
        </w:rPr>
      </w:pPr>
    </w:p>
    <w:p w14:paraId="01F736D1" w14:textId="77777777" w:rsidR="002374C0" w:rsidRPr="00105FFC" w:rsidRDefault="002374C0" w:rsidP="00BF2A5D">
      <w:pPr>
        <w:spacing w:after="120" w:line="276" w:lineRule="auto"/>
        <w:rPr>
          <w:rFonts w:asciiTheme="minorHAnsi" w:hAnsiTheme="minorHAnsi"/>
        </w:rPr>
      </w:pPr>
      <w:r w:rsidRPr="00105FFC">
        <w:rPr>
          <w:rFonts w:asciiTheme="minorHAnsi" w:hAnsiTheme="minorHAnsi"/>
          <w:b/>
          <w:i/>
        </w:rPr>
        <w:t>Methodology</w:t>
      </w:r>
      <w:r w:rsidRPr="00105FFC">
        <w:rPr>
          <w:rFonts w:asciiTheme="minorHAnsi" w:hAnsiTheme="minorHAnsi"/>
          <w:b/>
        </w:rPr>
        <w:t>:</w:t>
      </w:r>
      <w:r w:rsidRPr="00105FFC">
        <w:rPr>
          <w:rFonts w:asciiTheme="minorHAnsi" w:hAnsiTheme="minorHAnsi"/>
        </w:rPr>
        <w:t xml:space="preserve">  Medi-Cal participation </w:t>
      </w:r>
      <w:r w:rsidR="007821B6" w:rsidRPr="00105FFC">
        <w:rPr>
          <w:rFonts w:asciiTheme="minorHAnsi" w:hAnsiTheme="minorHAnsi"/>
        </w:rPr>
        <w:t xml:space="preserve">by certified eligibles </w:t>
      </w:r>
      <w:r w:rsidRPr="00105FFC">
        <w:rPr>
          <w:rFonts w:asciiTheme="minorHAnsi" w:hAnsiTheme="minorHAnsi"/>
        </w:rPr>
        <w:t xml:space="preserve">in </w:t>
      </w:r>
      <w:r w:rsidR="007821B6" w:rsidRPr="00105FFC">
        <w:rPr>
          <w:rFonts w:asciiTheme="minorHAnsi" w:hAnsiTheme="minorHAnsi"/>
        </w:rPr>
        <w:t xml:space="preserve">Medi-Cal’s </w:t>
      </w:r>
      <w:r w:rsidRPr="00105FFC">
        <w:rPr>
          <w:rFonts w:asciiTheme="minorHAnsi" w:hAnsiTheme="minorHAnsi"/>
        </w:rPr>
        <w:t xml:space="preserve">FFS health care delivery system </w:t>
      </w:r>
      <w:r w:rsidR="0029070E" w:rsidRPr="00105FFC">
        <w:rPr>
          <w:rFonts w:asciiTheme="minorHAnsi" w:hAnsiTheme="minorHAnsi"/>
        </w:rPr>
        <w:t xml:space="preserve">will </w:t>
      </w:r>
      <w:r w:rsidR="00957E1E" w:rsidRPr="00105FFC">
        <w:rPr>
          <w:rFonts w:asciiTheme="minorHAnsi" w:hAnsiTheme="minorHAnsi"/>
        </w:rPr>
        <w:t xml:space="preserve">be </w:t>
      </w:r>
      <w:r w:rsidR="003D2020" w:rsidRPr="00105FFC">
        <w:rPr>
          <w:rFonts w:asciiTheme="minorHAnsi" w:hAnsiTheme="minorHAnsi"/>
        </w:rPr>
        <w:t>evaluated</w:t>
      </w:r>
      <w:r w:rsidR="00957E1E" w:rsidRPr="00105FFC">
        <w:rPr>
          <w:rFonts w:asciiTheme="minorHAnsi" w:hAnsiTheme="minorHAnsi"/>
        </w:rPr>
        <w:t xml:space="preserve"> using Medi-Cal eligibility data</w:t>
      </w:r>
      <w:r w:rsidRPr="00105FFC">
        <w:rPr>
          <w:rFonts w:asciiTheme="minorHAnsi" w:hAnsiTheme="minorHAnsi"/>
        </w:rPr>
        <w:t xml:space="preserve">. </w:t>
      </w:r>
      <w:r w:rsidR="007821B6" w:rsidRPr="00105FFC">
        <w:rPr>
          <w:rFonts w:asciiTheme="minorHAnsi" w:hAnsiTheme="minorHAnsi"/>
        </w:rPr>
        <w:t xml:space="preserve"> </w:t>
      </w:r>
      <w:r w:rsidR="006167B5" w:rsidRPr="00105FFC">
        <w:rPr>
          <w:rFonts w:asciiTheme="minorHAnsi" w:hAnsiTheme="minorHAnsi"/>
        </w:rPr>
        <w:t xml:space="preserve">Individuals who experienced 11 months of </w:t>
      </w:r>
      <w:r w:rsidR="00BF2A5D" w:rsidRPr="00105FFC">
        <w:rPr>
          <w:rFonts w:asciiTheme="minorHAnsi" w:hAnsiTheme="minorHAnsi"/>
        </w:rPr>
        <w:t>eligibility</w:t>
      </w:r>
      <w:r w:rsidR="006167B5" w:rsidRPr="00105FFC">
        <w:rPr>
          <w:rFonts w:asciiTheme="minorHAnsi" w:hAnsiTheme="minorHAnsi"/>
        </w:rPr>
        <w:t xml:space="preserve"> during the evaluation period will constitute the study population for this access </w:t>
      </w:r>
      <w:r w:rsidR="00BF2A5D" w:rsidRPr="00105FFC">
        <w:rPr>
          <w:rFonts w:asciiTheme="minorHAnsi" w:hAnsiTheme="minorHAnsi"/>
        </w:rPr>
        <w:t>analysis</w:t>
      </w:r>
      <w:r w:rsidR="006167B5" w:rsidRPr="00105FFC">
        <w:rPr>
          <w:rFonts w:asciiTheme="minorHAnsi" w:hAnsiTheme="minorHAnsi"/>
        </w:rPr>
        <w:t>.</w:t>
      </w:r>
    </w:p>
    <w:p w14:paraId="03FEB40A" w14:textId="77777777" w:rsidR="007821B6" w:rsidRPr="00105FFC" w:rsidRDefault="007821B6" w:rsidP="00366B73">
      <w:pPr>
        <w:spacing w:line="276" w:lineRule="auto"/>
        <w:rPr>
          <w:rFonts w:asciiTheme="minorHAnsi" w:hAnsiTheme="minorHAnsi"/>
          <w:b/>
          <w:i/>
        </w:rPr>
      </w:pPr>
    </w:p>
    <w:p w14:paraId="5D4D9B61" w14:textId="77777777" w:rsidR="00926057" w:rsidRPr="00105FFC" w:rsidRDefault="002374C0" w:rsidP="002D04DA">
      <w:pPr>
        <w:spacing w:after="120" w:line="276" w:lineRule="auto"/>
        <w:rPr>
          <w:rFonts w:asciiTheme="minorHAnsi" w:hAnsiTheme="minorHAnsi"/>
        </w:rPr>
      </w:pPr>
      <w:r w:rsidRPr="00105FFC">
        <w:rPr>
          <w:rFonts w:asciiTheme="minorHAnsi" w:hAnsiTheme="minorHAnsi"/>
          <w:b/>
          <w:i/>
        </w:rPr>
        <w:lastRenderedPageBreak/>
        <w:t>Data</w:t>
      </w:r>
      <w:r w:rsidR="008659D4" w:rsidRPr="00105FFC">
        <w:rPr>
          <w:rFonts w:asciiTheme="minorHAnsi" w:hAnsiTheme="minorHAnsi"/>
          <w:b/>
          <w:i/>
        </w:rPr>
        <w:t xml:space="preserve"> Source</w:t>
      </w:r>
      <w:r w:rsidRPr="00105FFC">
        <w:rPr>
          <w:rFonts w:asciiTheme="minorHAnsi" w:hAnsiTheme="minorHAnsi"/>
          <w:b/>
          <w:i/>
        </w:rPr>
        <w:t>:</w:t>
      </w:r>
      <w:r w:rsidRPr="00105FFC">
        <w:rPr>
          <w:rFonts w:asciiTheme="minorHAnsi" w:hAnsiTheme="minorHAnsi"/>
          <w:i/>
        </w:rPr>
        <w:t xml:space="preserve"> </w:t>
      </w:r>
      <w:r w:rsidRPr="00105FFC">
        <w:rPr>
          <w:rFonts w:asciiTheme="minorHAnsi" w:hAnsiTheme="minorHAnsi"/>
        </w:rPr>
        <w:t xml:space="preserve"> </w:t>
      </w:r>
      <w:r w:rsidR="0029070E" w:rsidRPr="00105FFC">
        <w:rPr>
          <w:rFonts w:asciiTheme="minorHAnsi" w:hAnsiTheme="minorHAnsi"/>
        </w:rPr>
        <w:t>Medi-Cal eligibility data</w:t>
      </w:r>
      <w:r w:rsidRPr="00105FFC">
        <w:rPr>
          <w:rFonts w:asciiTheme="minorHAnsi" w:hAnsiTheme="minorHAnsi"/>
        </w:rPr>
        <w:t xml:space="preserve"> </w:t>
      </w:r>
    </w:p>
    <w:p w14:paraId="054ECE78" w14:textId="77777777" w:rsidR="00085BCA" w:rsidRDefault="00085BCA">
      <w:pPr>
        <w:spacing w:after="200" w:line="276" w:lineRule="auto"/>
        <w:rPr>
          <w:rFonts w:asciiTheme="minorHAnsi" w:eastAsiaTheme="majorEastAsia" w:hAnsiTheme="minorHAnsi" w:cstheme="majorBidi"/>
          <w:b/>
          <w:bCs/>
          <w:sz w:val="28"/>
        </w:rPr>
      </w:pPr>
      <w:r>
        <w:rPr>
          <w:rFonts w:asciiTheme="minorHAnsi" w:eastAsiaTheme="majorEastAsia" w:hAnsiTheme="minorHAnsi" w:cstheme="majorBidi"/>
          <w:b/>
          <w:bCs/>
          <w:sz w:val="28"/>
        </w:rPr>
        <w:br w:type="page"/>
      </w:r>
    </w:p>
    <w:p w14:paraId="3B538DE9" w14:textId="77777777" w:rsidR="00944564" w:rsidRPr="00105FFC" w:rsidRDefault="00F16AA0" w:rsidP="00944564">
      <w:pPr>
        <w:keepNext/>
        <w:keepLines/>
        <w:spacing w:after="120" w:line="276" w:lineRule="auto"/>
        <w:outlineLvl w:val="2"/>
        <w:rPr>
          <w:rFonts w:asciiTheme="minorHAnsi" w:eastAsiaTheme="majorEastAsia" w:hAnsiTheme="minorHAnsi" w:cstheme="majorBidi"/>
          <w:b/>
          <w:bCs/>
          <w:sz w:val="28"/>
        </w:rPr>
      </w:pPr>
      <w:bookmarkStart w:id="201" w:name="_Toc459287740"/>
      <w:r w:rsidRPr="00105FFC">
        <w:rPr>
          <w:rFonts w:asciiTheme="minorHAnsi" w:eastAsiaTheme="majorEastAsia" w:hAnsiTheme="minorHAnsi" w:cstheme="majorBidi"/>
          <w:b/>
          <w:bCs/>
          <w:sz w:val="28"/>
        </w:rPr>
        <w:lastRenderedPageBreak/>
        <w:t>Evaluation</w:t>
      </w:r>
      <w:r w:rsidRPr="00105FFC">
        <w:rPr>
          <w:rFonts w:asciiTheme="minorHAnsi" w:hAnsiTheme="minorHAnsi"/>
        </w:rPr>
        <w:t xml:space="preserve"> </w:t>
      </w:r>
      <w:r w:rsidRPr="00105FFC">
        <w:rPr>
          <w:rFonts w:asciiTheme="minorHAnsi" w:hAnsiTheme="minorHAnsi"/>
          <w:b/>
        </w:rPr>
        <w:t>Domain</w:t>
      </w:r>
      <w:r w:rsidR="00944564" w:rsidRPr="00105FFC">
        <w:rPr>
          <w:rFonts w:asciiTheme="minorHAnsi" w:eastAsiaTheme="majorEastAsia" w:hAnsiTheme="minorHAnsi" w:cstheme="majorBidi"/>
          <w:b/>
          <w:bCs/>
          <w:sz w:val="28"/>
        </w:rPr>
        <w:t>:  Provider Participation</w:t>
      </w:r>
      <w:bookmarkEnd w:id="201"/>
    </w:p>
    <w:p w14:paraId="0F7805F4" w14:textId="77777777" w:rsidR="00944564" w:rsidRPr="00105FFC" w:rsidRDefault="00944564" w:rsidP="00944564">
      <w:pPr>
        <w:spacing w:after="120" w:line="276" w:lineRule="auto"/>
        <w:rPr>
          <w:rFonts w:asciiTheme="minorHAnsi" w:hAnsiTheme="minorHAnsi"/>
        </w:rPr>
      </w:pPr>
      <w:r w:rsidRPr="00105FFC">
        <w:rPr>
          <w:rFonts w:asciiTheme="minorHAnsi" w:hAnsiTheme="minorHAnsi"/>
          <w:b/>
          <w:i/>
        </w:rPr>
        <w:t>Rationale:</w:t>
      </w:r>
      <w:r w:rsidRPr="00105FFC">
        <w:rPr>
          <w:rFonts w:asciiTheme="minorHAnsi" w:hAnsiTheme="minorHAnsi"/>
        </w:rPr>
        <w:t xml:space="preserve">  Provider participation is an important first step in accessing health care, increasing the likelihood that patients receive preventive services and timely referral to needed care.  Studies have reported that a higher supply of primary care physicians is associated with lower mortality rates, longer life expectancy, and better birth outcomes.  </w:t>
      </w:r>
    </w:p>
    <w:p w14:paraId="0A89211C" w14:textId="77777777" w:rsidR="00944564" w:rsidRPr="00105FFC" w:rsidRDefault="00944564" w:rsidP="00944564">
      <w:pPr>
        <w:spacing w:after="120" w:line="276" w:lineRule="auto"/>
        <w:rPr>
          <w:rFonts w:asciiTheme="minorHAnsi" w:hAnsiTheme="minorHAnsi"/>
        </w:rPr>
      </w:pPr>
      <w:r w:rsidRPr="00105FFC">
        <w:rPr>
          <w:rFonts w:asciiTheme="minorHAnsi" w:hAnsiTheme="minorHAnsi"/>
        </w:rPr>
        <w:t>The analysis and findings associated with evaluating provider participation are designed to alert DHCS policymakers of any negative trends in Medi-Cal’s enrolled FFS providers.  The findings will allow DHCS to monitor trends in FFS provider participation by provider type and service setting.  Decreases in provider participation rates will serve as a trigger for DHCS to further investigate whether the FFS Medi-Cal provider network is sufficient to meet enrollees’ needs and consider options for reversing such trends.  Measures such as this have been recommended by MACPAC as one of many tools to consider for monitoring access to health care services among Medicaid populations.  Data can be utilized to identify trends in provider participation using administrative data readily available through the Medi-Cal program.</w:t>
      </w:r>
    </w:p>
    <w:p w14:paraId="49C7DCE1" w14:textId="77777777" w:rsidR="00A36A3B" w:rsidRPr="00105FFC" w:rsidRDefault="006A29FF" w:rsidP="00A36A3B">
      <w:pPr>
        <w:spacing w:after="120" w:line="276" w:lineRule="auto"/>
        <w:rPr>
          <w:rFonts w:asciiTheme="minorHAnsi" w:eastAsiaTheme="minorHAnsi" w:hAnsiTheme="minorHAnsi" w:cstheme="minorBidi"/>
        </w:rPr>
      </w:pPr>
      <w:r w:rsidRPr="00105FFC">
        <w:rPr>
          <w:rFonts w:asciiTheme="minorHAnsi" w:hAnsiTheme="minorHAnsi"/>
          <w:b/>
        </w:rPr>
        <w:t>Analysis Performed and Measures Evaluated:</w:t>
      </w:r>
      <w:r w:rsidR="008659D4" w:rsidRPr="00105FFC">
        <w:rPr>
          <w:rFonts w:asciiTheme="minorHAnsi" w:hAnsiTheme="minorHAnsi"/>
          <w:b/>
        </w:rPr>
        <w:t xml:space="preserve"> </w:t>
      </w:r>
      <w:r w:rsidR="00A36A3B" w:rsidRPr="00105FFC">
        <w:rPr>
          <w:rFonts w:asciiTheme="minorHAnsi" w:eastAsiaTheme="minorHAnsi" w:hAnsiTheme="minorHAnsi" w:cstheme="minorBidi"/>
        </w:rPr>
        <w:t xml:space="preserve">In this section, several measures will be presented and evaluated.  These include: </w:t>
      </w:r>
    </w:p>
    <w:p w14:paraId="137175F0" w14:textId="77777777" w:rsidR="00A36A3B" w:rsidRPr="00105FFC" w:rsidRDefault="00A36A3B" w:rsidP="00A36A3B">
      <w:pPr>
        <w:pStyle w:val="ListParagraph"/>
        <w:numPr>
          <w:ilvl w:val="0"/>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Primary care providers</w:t>
      </w:r>
    </w:p>
    <w:p w14:paraId="02C635A2" w14:textId="77777777" w:rsidR="00A36A3B" w:rsidRPr="00105FFC" w:rsidRDefault="006A7AEE"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w:t>
      </w:r>
      <w:r w:rsidR="00A36A3B" w:rsidRPr="00105FFC">
        <w:rPr>
          <w:rFonts w:asciiTheme="minorHAnsi" w:eastAsiaTheme="minorHAnsi" w:hAnsiTheme="minorHAnsi" w:cstheme="minorBidi"/>
        </w:rPr>
        <w:t>he number of primary care providers who rendered at least one service to FFS participating individuals by geographic region,</w:t>
      </w:r>
    </w:p>
    <w:p w14:paraId="0904393C" w14:textId="77777777" w:rsidR="00A36A3B" w:rsidRPr="00105FFC" w:rsidRDefault="006A7AEE"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w:t>
      </w:r>
      <w:r w:rsidR="00A36A3B" w:rsidRPr="00105FFC">
        <w:rPr>
          <w:rFonts w:asciiTheme="minorHAnsi" w:eastAsiaTheme="minorHAnsi" w:hAnsiTheme="minorHAnsi" w:cstheme="minorBidi"/>
        </w:rPr>
        <w:t>he FFS participants ever enrolled who were certified eligible for at least 11 months during the study period to participating primary care provider ratio by geographic region,</w:t>
      </w:r>
    </w:p>
    <w:p w14:paraId="02145AD1" w14:textId="77777777" w:rsidR="00A36A3B" w:rsidRPr="00105FFC" w:rsidRDefault="00A36A3B"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distribution of primary care providers by service setting and geographic region.</w:t>
      </w:r>
    </w:p>
    <w:p w14:paraId="61ECA7E1" w14:textId="77777777" w:rsidR="00A36A3B" w:rsidRPr="00105FFC" w:rsidRDefault="00A36A3B"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proportion of FFS Medi-Cal beneficiaries certified eligible for at least 11 months during the study period who resided outside of a primary care service area by geographic region,</w:t>
      </w:r>
    </w:p>
    <w:p w14:paraId="4EF15AE1" w14:textId="77777777" w:rsidR="00A36A3B" w:rsidRPr="00105FFC" w:rsidRDefault="00A36A3B"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average total of FFS Medi-Cal beneficiaries residing within a primary care provider’s medical service area by geographic region,</w:t>
      </w:r>
    </w:p>
    <w:p w14:paraId="1C384228" w14:textId="77777777" w:rsidR="00A36A3B" w:rsidRPr="00105FFC" w:rsidRDefault="00A36A3B" w:rsidP="00A36A3B">
      <w:pPr>
        <w:pStyle w:val="ListParagraph"/>
        <w:numPr>
          <w:ilvl w:val="1"/>
          <w:numId w:val="26"/>
        </w:numPr>
        <w:spacing w:line="276" w:lineRule="auto"/>
        <w:rPr>
          <w:rFonts w:asciiTheme="minorHAnsi" w:eastAsiaTheme="minorHAnsi" w:hAnsiTheme="minorHAnsi" w:cstheme="minorBidi"/>
        </w:rPr>
      </w:pPr>
      <w:r w:rsidRPr="00105FFC">
        <w:rPr>
          <w:rFonts w:asciiTheme="minorHAnsi" w:eastAsiaTheme="minorHAnsi" w:hAnsiTheme="minorHAnsi" w:cstheme="minorBidi"/>
        </w:rPr>
        <w:lastRenderedPageBreak/>
        <w:t>the average driving time to reach a primary care appointment among FFS participating Medi-Cal beneficiaries certified eligible for at Least 11 Months in the study period who resided inside/outside of a primary care service area, by geographic region, and</w:t>
      </w:r>
    </w:p>
    <w:p w14:paraId="354EB8E5" w14:textId="77777777" w:rsidR="00A36A3B" w:rsidRPr="00105FFC" w:rsidRDefault="00A36A3B" w:rsidP="00A36A3B">
      <w:pPr>
        <w:pStyle w:val="ListParagraph"/>
        <w:numPr>
          <w:ilvl w:val="1"/>
          <w:numId w:val="26"/>
        </w:numPr>
        <w:spacing w:after="240" w:line="276" w:lineRule="auto"/>
        <w:rPr>
          <w:rFonts w:asciiTheme="minorHAnsi" w:eastAsiaTheme="minorHAnsi" w:hAnsiTheme="minorHAnsi" w:cstheme="minorBidi"/>
        </w:rPr>
      </w:pPr>
      <w:r w:rsidRPr="00105FFC">
        <w:rPr>
          <w:rFonts w:asciiTheme="minorHAnsi" w:eastAsiaTheme="minorHAnsi" w:hAnsiTheme="minorHAnsi" w:cstheme="minorBidi"/>
        </w:rPr>
        <w:t>the average driving distance to reach a primary care appointment among FFS participating Medi-Cal beneficiaries certified eligible for at Least 11 Months in the study period who resided inside/outside of a primary care service area, by geographic region.</w:t>
      </w:r>
    </w:p>
    <w:p w14:paraId="28180428" w14:textId="77777777" w:rsidR="00A36A3B" w:rsidRPr="00105FFC" w:rsidRDefault="00A36A3B" w:rsidP="00A36A3B">
      <w:pPr>
        <w:pStyle w:val="ListParagraph"/>
        <w:numPr>
          <w:ilvl w:val="0"/>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Specialists</w:t>
      </w:r>
    </w:p>
    <w:p w14:paraId="3C6439A4" w14:textId="77777777" w:rsidR="00A36A3B" w:rsidRPr="00105FFC" w:rsidRDefault="00A36A3B"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number of specialist providers who rendered at least one service to FFS participating individuals by geographic region, and</w:t>
      </w:r>
    </w:p>
    <w:p w14:paraId="6C040A83" w14:textId="77777777" w:rsidR="00A36A3B" w:rsidRPr="00105FFC" w:rsidRDefault="00A36A3B"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distribution of specialist providers by service setting and geographic region.</w:t>
      </w:r>
    </w:p>
    <w:p w14:paraId="72143DCC" w14:textId="77777777" w:rsidR="00A36A3B" w:rsidRPr="00105FFC" w:rsidRDefault="00A36A3B" w:rsidP="00A36A3B">
      <w:pPr>
        <w:pStyle w:val="ListParagraph"/>
        <w:numPr>
          <w:ilvl w:val="0"/>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Behavioral Health providers</w:t>
      </w:r>
    </w:p>
    <w:p w14:paraId="0D939ED8" w14:textId="77777777" w:rsidR="00A36A3B" w:rsidRPr="00105FFC" w:rsidRDefault="00A36A3B"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number of Behavioral health providers who rendered at least one service to FFS participating individuals by geographic region, and</w:t>
      </w:r>
    </w:p>
    <w:p w14:paraId="73416EF3" w14:textId="77777777" w:rsidR="00A36A3B" w:rsidRPr="00105FFC" w:rsidRDefault="00A36A3B"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distribution of Behavioral health providers by service setting and geographic region.</w:t>
      </w:r>
    </w:p>
    <w:p w14:paraId="304A601B" w14:textId="77777777" w:rsidR="00A36A3B" w:rsidRPr="00105FFC" w:rsidRDefault="00A36A3B" w:rsidP="00A36A3B">
      <w:pPr>
        <w:pStyle w:val="ListParagraph"/>
        <w:numPr>
          <w:ilvl w:val="0"/>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Pre- and Post-Natal Obstetric providers</w:t>
      </w:r>
    </w:p>
    <w:p w14:paraId="3055C127" w14:textId="77777777" w:rsidR="00A36A3B" w:rsidRPr="00105FFC" w:rsidRDefault="00A36A3B"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The number of Pre- and Post-Natal Obstetric providers who rendered at least one service to FFS participating individuals by geographic region, and </w:t>
      </w:r>
    </w:p>
    <w:p w14:paraId="64DFCABC" w14:textId="77777777" w:rsidR="00A36A3B" w:rsidRPr="00105FFC" w:rsidRDefault="00A36A3B"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distribution of Pre- and Post-Natal Obstetric providers by service setting and geographic region.</w:t>
      </w:r>
    </w:p>
    <w:p w14:paraId="787178C4" w14:textId="77777777" w:rsidR="00A36A3B" w:rsidRPr="00105FFC" w:rsidRDefault="00A36A3B" w:rsidP="00A36A3B">
      <w:pPr>
        <w:pStyle w:val="ListParagraph"/>
        <w:numPr>
          <w:ilvl w:val="0"/>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Home Health providers</w:t>
      </w:r>
    </w:p>
    <w:p w14:paraId="3432FBAD" w14:textId="77777777" w:rsidR="00A36A3B" w:rsidRPr="00105FFC" w:rsidRDefault="00A36A3B" w:rsidP="00A36A3B">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number of Home Health providers who rendered at least one service to FFS participating individuals by geographic region, and</w:t>
      </w:r>
    </w:p>
    <w:p w14:paraId="22EDFB15" w14:textId="77777777" w:rsidR="00A36A3B" w:rsidRPr="00105FFC" w:rsidRDefault="00A36A3B" w:rsidP="00A36A3B">
      <w:pPr>
        <w:pStyle w:val="ListParagraph"/>
        <w:numPr>
          <w:ilvl w:val="1"/>
          <w:numId w:val="26"/>
        </w:numPr>
        <w:spacing w:line="276" w:lineRule="auto"/>
        <w:rPr>
          <w:rFonts w:asciiTheme="minorHAnsi" w:eastAsiaTheme="minorHAnsi" w:hAnsiTheme="minorHAnsi" w:cstheme="minorBidi"/>
        </w:rPr>
      </w:pPr>
      <w:r w:rsidRPr="00105FFC">
        <w:rPr>
          <w:rFonts w:asciiTheme="minorHAnsi" w:eastAsiaTheme="minorHAnsi" w:hAnsiTheme="minorHAnsi" w:cstheme="minorBidi"/>
        </w:rPr>
        <w:t>the distribution of Home Health providers by service setting and geographic region.</w:t>
      </w:r>
    </w:p>
    <w:p w14:paraId="1EC6294D" w14:textId="77777777" w:rsidR="00944564" w:rsidRPr="00105FFC" w:rsidRDefault="00944564" w:rsidP="00944564">
      <w:pPr>
        <w:ind w:left="360"/>
        <w:rPr>
          <w:rFonts w:asciiTheme="minorHAnsi" w:eastAsiaTheme="minorHAnsi" w:hAnsiTheme="minorHAnsi" w:cstheme="minorBidi"/>
          <w:b/>
        </w:rPr>
      </w:pPr>
    </w:p>
    <w:p w14:paraId="332B2C31" w14:textId="77777777" w:rsidR="00944564" w:rsidRPr="00105FFC" w:rsidRDefault="00944564" w:rsidP="00944564">
      <w:pPr>
        <w:spacing w:after="120" w:line="276" w:lineRule="auto"/>
        <w:rPr>
          <w:rFonts w:asciiTheme="minorHAnsi" w:hAnsiTheme="minorHAnsi"/>
        </w:rPr>
      </w:pPr>
      <w:r w:rsidRPr="00105FFC">
        <w:rPr>
          <w:rFonts w:asciiTheme="minorHAnsi" w:hAnsiTheme="minorHAnsi"/>
          <w:b/>
          <w:i/>
        </w:rPr>
        <w:t>Methodology:</w:t>
      </w:r>
      <w:r w:rsidRPr="00105FFC">
        <w:rPr>
          <w:rFonts w:asciiTheme="minorHAnsi" w:hAnsiTheme="minorHAnsi"/>
          <w:i/>
        </w:rPr>
        <w:t xml:space="preserve"> </w:t>
      </w:r>
      <w:r w:rsidRPr="00105FFC">
        <w:rPr>
          <w:rFonts w:asciiTheme="minorHAnsi" w:hAnsiTheme="minorHAnsi"/>
        </w:rPr>
        <w:t xml:space="preserve"> For the purpose of evaluating provider participation, the focus will be on providers who have rendered services to Medi-Cal enrollees (i.e. participating providers) during the state fiscal year.  The count of providers for each group evaluated will be based on paid claims.  An encounter — also referred to as a distinct visit — is defined as a contact between a provider and a Medi-Cal FFS beneficiary in which a Medi-Cal claim record(s) for reimbursement is generated and submitted for payment. A distinct visit represents a single encounter and is defined by the unique combination of the provider county, beneficiary’s Client Identification Number, provider’s NPI, and the date-of-service. Both billing and rendering providers are captured from claims data for these analyses. Evaluation of the following provider types will be performed by geographic region and service setting: </w:t>
      </w:r>
    </w:p>
    <w:p w14:paraId="1A4B16A4" w14:textId="77777777" w:rsidR="00944564" w:rsidRPr="00105FFC" w:rsidRDefault="00944564" w:rsidP="00944564">
      <w:pPr>
        <w:numPr>
          <w:ilvl w:val="0"/>
          <w:numId w:val="14"/>
        </w:numPr>
        <w:spacing w:after="120" w:line="276" w:lineRule="auto"/>
        <w:rPr>
          <w:rFonts w:asciiTheme="minorHAnsi" w:hAnsiTheme="minorHAnsi"/>
        </w:rPr>
      </w:pPr>
      <w:r w:rsidRPr="00105FFC">
        <w:rPr>
          <w:rFonts w:asciiTheme="minorHAnsi" w:hAnsiTheme="minorHAnsi"/>
        </w:rPr>
        <w:t>Primary Care Physicians</w:t>
      </w:r>
    </w:p>
    <w:p w14:paraId="4DB045F4" w14:textId="77777777" w:rsidR="00944564" w:rsidRPr="00105FFC" w:rsidRDefault="00944564" w:rsidP="00944564">
      <w:pPr>
        <w:numPr>
          <w:ilvl w:val="0"/>
          <w:numId w:val="14"/>
        </w:numPr>
        <w:spacing w:after="120" w:line="276" w:lineRule="auto"/>
        <w:rPr>
          <w:rFonts w:asciiTheme="minorHAnsi" w:hAnsiTheme="minorHAnsi"/>
        </w:rPr>
      </w:pPr>
      <w:r w:rsidRPr="00105FFC">
        <w:rPr>
          <w:rFonts w:asciiTheme="minorHAnsi" w:hAnsiTheme="minorHAnsi"/>
        </w:rPr>
        <w:t>Behavioral Health</w:t>
      </w:r>
    </w:p>
    <w:p w14:paraId="7E787A34" w14:textId="77777777" w:rsidR="00944564" w:rsidRPr="00105FFC" w:rsidRDefault="00944564" w:rsidP="00944564">
      <w:pPr>
        <w:numPr>
          <w:ilvl w:val="0"/>
          <w:numId w:val="14"/>
        </w:numPr>
        <w:spacing w:after="120" w:line="276" w:lineRule="auto"/>
        <w:rPr>
          <w:rFonts w:asciiTheme="minorHAnsi" w:hAnsiTheme="minorHAnsi"/>
        </w:rPr>
      </w:pPr>
      <w:r w:rsidRPr="00105FFC">
        <w:rPr>
          <w:rFonts w:asciiTheme="minorHAnsi" w:hAnsiTheme="minorHAnsi"/>
        </w:rPr>
        <w:t>Home Health</w:t>
      </w:r>
    </w:p>
    <w:p w14:paraId="6EF5118D" w14:textId="77777777" w:rsidR="00944564" w:rsidRPr="00105FFC" w:rsidRDefault="00944564" w:rsidP="00944564">
      <w:pPr>
        <w:numPr>
          <w:ilvl w:val="0"/>
          <w:numId w:val="14"/>
        </w:numPr>
        <w:spacing w:after="120" w:line="276" w:lineRule="auto"/>
        <w:rPr>
          <w:rFonts w:asciiTheme="minorHAnsi" w:hAnsiTheme="minorHAnsi"/>
        </w:rPr>
      </w:pPr>
      <w:r w:rsidRPr="00105FFC">
        <w:rPr>
          <w:rFonts w:asciiTheme="minorHAnsi" w:hAnsiTheme="minorHAnsi"/>
        </w:rPr>
        <w:t>Pre- and Post-Natal Obstetrics</w:t>
      </w:r>
    </w:p>
    <w:p w14:paraId="4AAF4762" w14:textId="77777777" w:rsidR="00944564" w:rsidRPr="00105FFC" w:rsidRDefault="00944564" w:rsidP="00944564">
      <w:pPr>
        <w:numPr>
          <w:ilvl w:val="0"/>
          <w:numId w:val="14"/>
        </w:numPr>
        <w:spacing w:after="120" w:line="276" w:lineRule="auto"/>
        <w:rPr>
          <w:rFonts w:asciiTheme="minorHAnsi" w:hAnsiTheme="minorHAnsi"/>
        </w:rPr>
      </w:pPr>
      <w:r w:rsidRPr="00105FFC">
        <w:rPr>
          <w:rFonts w:asciiTheme="minorHAnsi" w:hAnsiTheme="minorHAnsi"/>
        </w:rPr>
        <w:t>Physician Specialists</w:t>
      </w:r>
    </w:p>
    <w:p w14:paraId="41524980" w14:textId="77777777" w:rsidR="00944564" w:rsidRPr="00105FFC" w:rsidRDefault="00944564" w:rsidP="00944564">
      <w:pPr>
        <w:spacing w:after="120" w:line="276" w:lineRule="auto"/>
        <w:rPr>
          <w:rFonts w:asciiTheme="minorHAnsi" w:hAnsiTheme="minorHAnsi"/>
        </w:rPr>
      </w:pPr>
      <w:r w:rsidRPr="00105FFC">
        <w:rPr>
          <w:rFonts w:asciiTheme="minorHAnsi" w:hAnsiTheme="minorHAnsi"/>
        </w:rPr>
        <w:t>Additionally, participation counts for each provider type will be group</w:t>
      </w:r>
      <w:r w:rsidR="006A7AEE" w:rsidRPr="00105FFC">
        <w:rPr>
          <w:rFonts w:asciiTheme="minorHAnsi" w:hAnsiTheme="minorHAnsi"/>
        </w:rPr>
        <w:t>ed</w:t>
      </w:r>
      <w:r w:rsidRPr="00105FFC">
        <w:rPr>
          <w:rFonts w:asciiTheme="minorHAnsi" w:hAnsiTheme="minorHAnsi"/>
        </w:rPr>
        <w:t xml:space="preserve"> by:</w:t>
      </w:r>
    </w:p>
    <w:p w14:paraId="0CDA979C" w14:textId="77777777" w:rsidR="00944564" w:rsidRPr="00105FFC" w:rsidRDefault="00944564" w:rsidP="00944564">
      <w:pPr>
        <w:numPr>
          <w:ilvl w:val="0"/>
          <w:numId w:val="21"/>
        </w:numPr>
        <w:spacing w:after="120" w:line="276" w:lineRule="auto"/>
        <w:rPr>
          <w:rFonts w:asciiTheme="minorHAnsi" w:hAnsiTheme="minorHAnsi"/>
        </w:rPr>
      </w:pPr>
      <w:r w:rsidRPr="00105FFC">
        <w:rPr>
          <w:rFonts w:asciiTheme="minorHAnsi" w:hAnsiTheme="minorHAnsi"/>
        </w:rPr>
        <w:t xml:space="preserve">Geographic region </w:t>
      </w:r>
      <w:r w:rsidRPr="00105FFC">
        <w:rPr>
          <w:rFonts w:asciiTheme="minorHAnsi" w:eastAsiaTheme="minorHAnsi" w:hAnsiTheme="minorHAnsi" w:cstheme="minorBidi"/>
        </w:rPr>
        <w:t>(Refer to Appendix E for county groupings)</w:t>
      </w:r>
    </w:p>
    <w:p w14:paraId="38F6E28F" w14:textId="77777777" w:rsidR="00944564" w:rsidRPr="00105FFC" w:rsidRDefault="00B43BB5" w:rsidP="00944564">
      <w:pPr>
        <w:numPr>
          <w:ilvl w:val="0"/>
          <w:numId w:val="21"/>
        </w:numPr>
        <w:spacing w:after="120" w:line="276" w:lineRule="auto"/>
        <w:rPr>
          <w:rFonts w:asciiTheme="minorHAnsi" w:hAnsiTheme="minorHAnsi"/>
        </w:rPr>
      </w:pPr>
      <w:r>
        <w:rPr>
          <w:rFonts w:asciiTheme="minorHAnsi" w:hAnsiTheme="minorHAnsi"/>
        </w:rPr>
        <w:t xml:space="preserve">Service setting </w:t>
      </w:r>
    </w:p>
    <w:p w14:paraId="725E6C33" w14:textId="77777777" w:rsidR="00944564" w:rsidRPr="00105FFC" w:rsidRDefault="00944564" w:rsidP="00944564">
      <w:pPr>
        <w:spacing w:after="120" w:line="276" w:lineRule="auto"/>
        <w:rPr>
          <w:rFonts w:asciiTheme="minorHAnsi" w:hAnsiTheme="minorHAnsi"/>
        </w:rPr>
      </w:pPr>
      <w:r w:rsidRPr="00105FFC">
        <w:rPr>
          <w:rFonts w:asciiTheme="minorHAnsi" w:hAnsiTheme="minorHAnsi"/>
          <w:b/>
          <w:i/>
        </w:rPr>
        <w:t>Limitations:</w:t>
      </w:r>
      <w:r w:rsidRPr="00105FFC">
        <w:rPr>
          <w:rFonts w:asciiTheme="minorHAnsi" w:hAnsiTheme="minorHAnsi"/>
          <w:b/>
        </w:rPr>
        <w:t xml:space="preserve"> </w:t>
      </w:r>
      <w:r w:rsidRPr="00105FFC">
        <w:rPr>
          <w:rFonts w:asciiTheme="minorHAnsi" w:hAnsiTheme="minorHAnsi"/>
        </w:rPr>
        <w:t>This analysis is inherently limited by the availability of data relating to physician participation. Administrative data do not denote the percentage of a given provider’s hours or capacity that are devoted to treating FFS Medi-Cal beneficiaries compared with other types of health insurance for which the provider renders services (e.g., Medi-Cal managed care).</w:t>
      </w:r>
    </w:p>
    <w:p w14:paraId="2B69E214" w14:textId="77777777" w:rsidR="00944564" w:rsidRPr="00105FFC" w:rsidRDefault="00944564" w:rsidP="00944564">
      <w:pPr>
        <w:spacing w:after="200" w:line="276" w:lineRule="auto"/>
        <w:rPr>
          <w:rFonts w:asciiTheme="minorHAnsi" w:eastAsiaTheme="minorHAnsi" w:hAnsiTheme="minorHAnsi" w:cstheme="minorBidi"/>
          <w:sz w:val="22"/>
          <w:szCs w:val="22"/>
        </w:rPr>
      </w:pPr>
      <w:r w:rsidRPr="00105FFC">
        <w:rPr>
          <w:rFonts w:asciiTheme="minorHAnsi" w:hAnsiTheme="minorHAnsi"/>
          <w:b/>
          <w:i/>
        </w:rPr>
        <w:t>Data</w:t>
      </w:r>
      <w:r w:rsidR="008659D4" w:rsidRPr="00105FFC">
        <w:rPr>
          <w:rFonts w:asciiTheme="minorHAnsi" w:hAnsiTheme="minorHAnsi"/>
          <w:b/>
          <w:i/>
        </w:rPr>
        <w:t xml:space="preserve"> </w:t>
      </w:r>
      <w:r w:rsidR="00E0287B" w:rsidRPr="00105FFC">
        <w:rPr>
          <w:rFonts w:asciiTheme="minorHAnsi" w:hAnsiTheme="minorHAnsi"/>
          <w:b/>
          <w:i/>
        </w:rPr>
        <w:t>Source:</w:t>
      </w:r>
      <w:r w:rsidRPr="00105FFC">
        <w:rPr>
          <w:rFonts w:asciiTheme="minorHAnsi" w:hAnsiTheme="minorHAnsi"/>
        </w:rPr>
        <w:t xml:space="preserve">  Medi-Cal Paid Claims Data, Medi-Cal Eligibility data, and Provider Master File</w:t>
      </w:r>
    </w:p>
    <w:p w14:paraId="1812F55B" w14:textId="77777777" w:rsidR="00421B5C" w:rsidRPr="00105FFC" w:rsidRDefault="00421B5C" w:rsidP="00421B5C">
      <w:pPr>
        <w:spacing w:after="120" w:line="276" w:lineRule="auto"/>
        <w:rPr>
          <w:rFonts w:asciiTheme="minorHAnsi" w:hAnsiTheme="minorHAnsi"/>
        </w:rPr>
      </w:pPr>
      <w:r w:rsidRPr="00105FFC">
        <w:rPr>
          <w:rFonts w:asciiTheme="minorHAnsi" w:hAnsiTheme="minorHAnsi"/>
        </w:rPr>
        <w:lastRenderedPageBreak/>
        <w:br w:type="page"/>
      </w:r>
    </w:p>
    <w:p w14:paraId="2A5B609A" w14:textId="77777777" w:rsidR="007C0399" w:rsidRPr="00105FFC" w:rsidRDefault="003D1831" w:rsidP="007C0399">
      <w:pPr>
        <w:pStyle w:val="Heading3"/>
        <w:spacing w:before="0" w:after="120" w:line="276" w:lineRule="auto"/>
        <w:rPr>
          <w:color w:val="auto"/>
        </w:rPr>
      </w:pPr>
      <w:bookmarkStart w:id="202" w:name="_Toc459287741"/>
      <w:r w:rsidRPr="00105FFC">
        <w:lastRenderedPageBreak/>
        <w:t>Evaluation</w:t>
      </w:r>
      <w:r w:rsidR="00F16AA0" w:rsidRPr="00105FFC">
        <w:t xml:space="preserve"> Domain</w:t>
      </w:r>
      <w:r w:rsidRPr="00105FFC">
        <w:t xml:space="preserve">: </w:t>
      </w:r>
      <w:r w:rsidR="00792727" w:rsidRPr="00105FFC">
        <w:t>Realized Access</w:t>
      </w:r>
      <w:bookmarkEnd w:id="202"/>
      <w:r w:rsidR="00792727" w:rsidRPr="00105FFC">
        <w:t xml:space="preserve"> </w:t>
      </w:r>
    </w:p>
    <w:p w14:paraId="0E95C4CC" w14:textId="77777777" w:rsidR="007C0399" w:rsidRPr="00105FFC" w:rsidRDefault="007C0399" w:rsidP="00D07A07">
      <w:pPr>
        <w:autoSpaceDE w:val="0"/>
        <w:autoSpaceDN w:val="0"/>
        <w:adjustRightInd w:val="0"/>
        <w:spacing w:line="276" w:lineRule="auto"/>
        <w:rPr>
          <w:rFonts w:asciiTheme="minorHAnsi" w:hAnsiTheme="minorHAnsi"/>
        </w:rPr>
      </w:pPr>
      <w:r w:rsidRPr="00105FFC">
        <w:rPr>
          <w:rFonts w:asciiTheme="minorHAnsi" w:hAnsiTheme="minorHAnsi"/>
          <w:b/>
          <w:i/>
        </w:rPr>
        <w:t>Rationale:</w:t>
      </w:r>
      <w:r w:rsidRPr="00105FFC">
        <w:rPr>
          <w:rFonts w:asciiTheme="minorHAnsi" w:hAnsiTheme="minorHAnsi"/>
        </w:rPr>
        <w:t xml:space="preserve">  </w:t>
      </w:r>
      <w:r w:rsidR="00AA0AA8" w:rsidRPr="00105FFC">
        <w:rPr>
          <w:rFonts w:asciiTheme="minorHAnsi" w:hAnsiTheme="minorHAnsi"/>
        </w:rPr>
        <w:t>Realized access refers to how individuals enrolled in FFS Medi-Cal are actually using healthcare services. Appropriate use of health care services is the end result of effective health care access. This measure is designed to analyze changes in health care utilization associated with individuals participating in Medi-Cal’s FFS delivery system.</w:t>
      </w:r>
    </w:p>
    <w:p w14:paraId="22AB7936" w14:textId="77777777" w:rsidR="00E37A08" w:rsidRPr="00105FFC" w:rsidRDefault="00E37A08" w:rsidP="00D07A07">
      <w:pPr>
        <w:autoSpaceDE w:val="0"/>
        <w:autoSpaceDN w:val="0"/>
        <w:adjustRightInd w:val="0"/>
        <w:spacing w:line="276" w:lineRule="auto"/>
        <w:rPr>
          <w:rFonts w:asciiTheme="minorHAnsi" w:hAnsiTheme="minorHAnsi"/>
          <w:b/>
          <w:i/>
        </w:rPr>
      </w:pPr>
    </w:p>
    <w:p w14:paraId="2755E1D0" w14:textId="77777777" w:rsidR="00AA0AA8" w:rsidRPr="00105FFC" w:rsidRDefault="00AA0AA8" w:rsidP="00AA0AA8">
      <w:pPr>
        <w:spacing w:after="200" w:line="276" w:lineRule="auto"/>
        <w:rPr>
          <w:rFonts w:asciiTheme="minorHAnsi" w:eastAsiaTheme="minorHAnsi" w:hAnsiTheme="minorHAnsi" w:cstheme="minorBidi"/>
        </w:rPr>
      </w:pPr>
      <w:r w:rsidRPr="00105FFC">
        <w:rPr>
          <w:rFonts w:asciiTheme="minorHAnsi" w:eastAsiaTheme="minorHAnsi" w:hAnsiTheme="minorHAnsi" w:cstheme="minorBidi"/>
          <w:b/>
          <w:i/>
        </w:rPr>
        <w:t>Methodology:</w:t>
      </w:r>
      <w:r w:rsidRPr="00105FFC">
        <w:rPr>
          <w:rFonts w:asciiTheme="minorHAnsi" w:eastAsiaTheme="minorHAnsi" w:hAnsiTheme="minorHAnsi" w:cstheme="minorBidi"/>
        </w:rPr>
        <w:t xml:space="preserve"> Realized access focuses on analyzing changes in health care utilization. In order to establish control limits for utilization, the baseline study period selected was SFYs 2012-13, 2013-14 and 2014-15. Service Utilization events reflect only services rendered to beneficiaries in Medi-Cal’s FFS delivery system who were certified eligible for Medi-Cal (meaning that they met eligibility requirements and were enrolled in the program) for at least 11 months in either SFY 2012-13, 2013-14 or 2014-15. The analysis of changes in service utilization were evaluated by service category, geographic region, aid category, age group, gender, and race/ethnicity.</w:t>
      </w:r>
    </w:p>
    <w:p w14:paraId="24C4B032" w14:textId="77777777" w:rsidR="00AA0AA8" w:rsidRPr="00105FFC" w:rsidRDefault="00AA0AA8" w:rsidP="00AA0AA8">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The five service categories evaluated include:</w:t>
      </w:r>
    </w:p>
    <w:p w14:paraId="28A83A85" w14:textId="77777777" w:rsidR="00AA0AA8" w:rsidRPr="00105FFC" w:rsidRDefault="00AA0AA8" w:rsidP="00AA0AA8">
      <w:pPr>
        <w:pStyle w:val="ListParagraph"/>
        <w:numPr>
          <w:ilvl w:val="0"/>
          <w:numId w:val="41"/>
        </w:num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Primary Care</w:t>
      </w:r>
    </w:p>
    <w:p w14:paraId="58D9B750" w14:textId="77777777" w:rsidR="00AA0AA8" w:rsidRPr="00105FFC" w:rsidRDefault="00AA0AA8" w:rsidP="00AA0AA8">
      <w:pPr>
        <w:pStyle w:val="ListParagraph"/>
        <w:numPr>
          <w:ilvl w:val="0"/>
          <w:numId w:val="41"/>
        </w:num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Specialist</w:t>
      </w:r>
    </w:p>
    <w:p w14:paraId="335A5E57" w14:textId="77777777" w:rsidR="00AA0AA8" w:rsidRPr="00105FFC" w:rsidRDefault="00AA0AA8" w:rsidP="00AA0AA8">
      <w:pPr>
        <w:pStyle w:val="ListParagraph"/>
        <w:numPr>
          <w:ilvl w:val="0"/>
          <w:numId w:val="41"/>
        </w:num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Behavioral Health</w:t>
      </w:r>
    </w:p>
    <w:p w14:paraId="2CE20720" w14:textId="77777777" w:rsidR="00AA0AA8" w:rsidRPr="00105FFC" w:rsidRDefault="00AA0AA8" w:rsidP="00AA0AA8">
      <w:pPr>
        <w:pStyle w:val="ListParagraph"/>
        <w:numPr>
          <w:ilvl w:val="0"/>
          <w:numId w:val="41"/>
        </w:num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Pre- and Post-Natal Obstetric</w:t>
      </w:r>
    </w:p>
    <w:p w14:paraId="76381018" w14:textId="77777777" w:rsidR="00AA0AA8" w:rsidRPr="00105FFC" w:rsidRDefault="00AA0AA8" w:rsidP="00AA0AA8">
      <w:pPr>
        <w:pStyle w:val="ListParagraph"/>
        <w:numPr>
          <w:ilvl w:val="0"/>
          <w:numId w:val="41"/>
        </w:num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Home Health</w:t>
      </w:r>
    </w:p>
    <w:p w14:paraId="5FCE4EC5" w14:textId="77777777" w:rsidR="00AA0AA8" w:rsidRPr="00105FFC" w:rsidRDefault="00AA0AA8" w:rsidP="00AA0AA8">
      <w:pPr>
        <w:pStyle w:val="ListParagraph"/>
        <w:spacing w:line="276" w:lineRule="auto"/>
        <w:ind w:left="360"/>
        <w:rPr>
          <w:rFonts w:asciiTheme="minorHAnsi" w:eastAsiaTheme="minorHAnsi" w:hAnsiTheme="minorHAnsi" w:cstheme="minorBidi"/>
        </w:rPr>
      </w:pPr>
      <w:r w:rsidRPr="00105FFC">
        <w:rPr>
          <w:rFonts w:asciiTheme="minorHAnsi" w:eastAsiaTheme="minorHAnsi" w:hAnsiTheme="minorHAnsi" w:cstheme="minorBidi"/>
        </w:rPr>
        <w:t>Primary care was defined by categorizing Medi-Cal’s declared provider specialty from the Provider Master File and clinics into a “primary care” service category.  Table X presents the Medi-Cal provider specialties and the clinics which constitute the primacy care category of service.</w:t>
      </w:r>
    </w:p>
    <w:p w14:paraId="08B0C4B2" w14:textId="77777777" w:rsidR="00AA0AA8" w:rsidRPr="00105FFC" w:rsidRDefault="00AA0AA8" w:rsidP="00174B40">
      <w:pPr>
        <w:spacing w:line="276" w:lineRule="auto"/>
        <w:rPr>
          <w:rFonts w:asciiTheme="minorHAnsi" w:eastAsiaTheme="minorHAnsi" w:hAnsiTheme="minorHAnsi" w:cstheme="minorBidi"/>
        </w:rPr>
      </w:pPr>
    </w:p>
    <w:p w14:paraId="00768E13" w14:textId="77777777" w:rsidR="00AA0AA8" w:rsidRPr="00105FFC" w:rsidRDefault="00AA0AA8" w:rsidP="00AA0AA8">
      <w:pPr>
        <w:pStyle w:val="Caption"/>
        <w:spacing w:after="0"/>
        <w:rPr>
          <w:rFonts w:asciiTheme="minorHAnsi" w:hAnsiTheme="minorHAnsi"/>
          <w:bCs w:val="0"/>
          <w:color w:val="auto"/>
          <w:sz w:val="20"/>
          <w:szCs w:val="20"/>
        </w:rPr>
      </w:pPr>
      <w:bookmarkStart w:id="203" w:name="_Toc458783086"/>
      <w:bookmarkStart w:id="204" w:name="_Toc459285156"/>
      <w:r w:rsidRPr="00105FFC">
        <w:rPr>
          <w:rFonts w:asciiTheme="minorHAnsi" w:hAnsiTheme="minorHAnsi"/>
          <w:color w:val="auto"/>
        </w:rPr>
        <w:t xml:space="preserve">Table </w:t>
      </w:r>
      <w:r w:rsidRPr="00105FFC">
        <w:rPr>
          <w:rFonts w:asciiTheme="minorHAnsi" w:hAnsiTheme="minorHAnsi"/>
          <w:color w:val="auto"/>
        </w:rPr>
        <w:fldChar w:fldCharType="begin"/>
      </w:r>
      <w:r w:rsidRPr="00105FFC">
        <w:rPr>
          <w:rFonts w:asciiTheme="minorHAnsi" w:hAnsiTheme="minorHAnsi"/>
          <w:color w:val="auto"/>
        </w:rPr>
        <w:instrText xml:space="preserve"> SEQ Table \* ARABIC </w:instrText>
      </w:r>
      <w:r w:rsidRPr="00105FFC">
        <w:rPr>
          <w:rFonts w:asciiTheme="minorHAnsi" w:hAnsiTheme="minorHAnsi"/>
          <w:color w:val="auto"/>
        </w:rPr>
        <w:fldChar w:fldCharType="separate"/>
      </w:r>
      <w:r w:rsidR="00B04F0F">
        <w:rPr>
          <w:rFonts w:asciiTheme="minorHAnsi" w:hAnsiTheme="minorHAnsi"/>
          <w:noProof/>
          <w:color w:val="auto"/>
        </w:rPr>
        <w:t>11</w:t>
      </w:r>
      <w:r w:rsidRPr="00105FFC">
        <w:rPr>
          <w:rFonts w:asciiTheme="minorHAnsi" w:hAnsiTheme="minorHAnsi"/>
          <w:color w:val="auto"/>
        </w:rPr>
        <w:fldChar w:fldCharType="end"/>
      </w:r>
      <w:r w:rsidRPr="00105FFC">
        <w:rPr>
          <w:rFonts w:asciiTheme="minorHAnsi" w:hAnsiTheme="minorHAnsi"/>
          <w:bCs w:val="0"/>
          <w:color w:val="auto"/>
          <w:sz w:val="20"/>
          <w:szCs w:val="20"/>
        </w:rPr>
        <w:t xml:space="preserve">: </w:t>
      </w:r>
      <w:r w:rsidRPr="00105FFC">
        <w:rPr>
          <w:rFonts w:asciiTheme="minorHAnsi" w:hAnsiTheme="minorHAnsi"/>
          <w:b w:val="0"/>
          <w:bCs w:val="0"/>
          <w:color w:val="auto"/>
          <w:sz w:val="20"/>
          <w:szCs w:val="20"/>
        </w:rPr>
        <w:t>Primary Care Category of Service Definition</w:t>
      </w:r>
      <w:bookmarkEnd w:id="203"/>
      <w:bookmarkEnd w:id="204"/>
    </w:p>
    <w:tbl>
      <w:tblPr>
        <w:tblStyle w:val="GridTable6Colorful-Accent11"/>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15"/>
        <w:gridCol w:w="5720"/>
      </w:tblGrid>
      <w:tr w:rsidR="00AA0AA8" w:rsidRPr="00105FFC" w14:paraId="3AC0EB58" w14:textId="77777777" w:rsidTr="00174B40">
        <w:trPr>
          <w:cnfStyle w:val="100000000000" w:firstRow="1" w:lastRow="0" w:firstColumn="0" w:lastColumn="0" w:oddVBand="0" w:evenVBand="0" w:oddHBand="0" w:evenHBand="0" w:firstRowFirstColumn="0" w:firstRowLastColumn="0" w:lastRowFirstColumn="0" w:lastRowLastColumn="0"/>
          <w:cantSplit/>
          <w:trHeight w:val="252"/>
          <w:tblHeader/>
        </w:trPr>
        <w:tc>
          <w:tcPr>
            <w:cnfStyle w:val="001000000000" w:firstRow="0" w:lastRow="0" w:firstColumn="1" w:lastColumn="0" w:oddVBand="0" w:evenVBand="0" w:oddHBand="0" w:evenHBand="0" w:firstRowFirstColumn="0" w:firstRowLastColumn="0" w:lastRowFirstColumn="0" w:lastRowLastColumn="0"/>
            <w:tcW w:w="2985" w:type="dxa"/>
            <w:tcBorders>
              <w:bottom w:val="none" w:sz="0" w:space="0" w:color="auto"/>
            </w:tcBorders>
            <w:noWrap/>
            <w:vAlign w:val="center"/>
            <w:hideMark/>
          </w:tcPr>
          <w:p w14:paraId="5F352539" w14:textId="77777777" w:rsidR="00AA0AA8" w:rsidRPr="00105FFC" w:rsidRDefault="00AA0AA8" w:rsidP="00AA0AA8">
            <w:pPr>
              <w:spacing w:line="276" w:lineRule="auto"/>
              <w:jc w:val="center"/>
              <w:rPr>
                <w:rFonts w:asciiTheme="minorHAnsi" w:hAnsiTheme="minorHAnsi"/>
                <w:b w:val="0"/>
                <w:bCs w:val="0"/>
                <w:color w:val="000000"/>
                <w:sz w:val="20"/>
                <w:szCs w:val="20"/>
              </w:rPr>
            </w:pPr>
            <w:r w:rsidRPr="00105FFC">
              <w:rPr>
                <w:rFonts w:asciiTheme="minorHAnsi" w:hAnsiTheme="minorHAnsi"/>
                <w:color w:val="000000"/>
                <w:sz w:val="20"/>
                <w:szCs w:val="20"/>
              </w:rPr>
              <w:lastRenderedPageBreak/>
              <w:t>Primary Care Providers  -  Physicians, Physician Groups, and Clinics</w:t>
            </w:r>
          </w:p>
        </w:tc>
        <w:tc>
          <w:tcPr>
            <w:tcW w:w="5735" w:type="dxa"/>
            <w:gridSpan w:val="2"/>
            <w:tcBorders>
              <w:bottom w:val="none" w:sz="0" w:space="0" w:color="auto"/>
            </w:tcBorders>
            <w:vAlign w:val="center"/>
          </w:tcPr>
          <w:p w14:paraId="14E1F000" w14:textId="77777777" w:rsidR="00AA0AA8" w:rsidRPr="00105FFC" w:rsidRDefault="00AA0AA8" w:rsidP="00AA0AA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0"/>
                <w:szCs w:val="20"/>
              </w:rPr>
            </w:pPr>
            <w:r w:rsidRPr="00105FFC">
              <w:rPr>
                <w:rFonts w:asciiTheme="minorHAnsi" w:hAnsiTheme="minorHAnsi"/>
                <w:color w:val="000000"/>
                <w:sz w:val="20"/>
                <w:szCs w:val="20"/>
              </w:rPr>
              <w:t>Medi-Cal Provider Type</w:t>
            </w:r>
          </w:p>
        </w:tc>
      </w:tr>
      <w:tr w:rsidR="00AA0AA8" w:rsidRPr="00105FFC" w14:paraId="3D83E246"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3000" w:type="dxa"/>
            <w:gridSpan w:val="2"/>
            <w:vMerge w:val="restart"/>
            <w:noWrap/>
            <w:vAlign w:val="center"/>
            <w:hideMark/>
          </w:tcPr>
          <w:p w14:paraId="1611636A" w14:textId="77777777" w:rsidR="00AA0AA8" w:rsidRPr="00105FFC" w:rsidRDefault="00AA0AA8" w:rsidP="00AA0AA8">
            <w:pPr>
              <w:spacing w:line="276" w:lineRule="auto"/>
              <w:jc w:val="center"/>
              <w:rPr>
                <w:rFonts w:asciiTheme="minorHAnsi" w:hAnsiTheme="minorHAnsi"/>
                <w:b w:val="0"/>
                <w:color w:val="000000"/>
                <w:sz w:val="20"/>
                <w:szCs w:val="20"/>
              </w:rPr>
            </w:pPr>
            <w:r w:rsidRPr="00105FFC">
              <w:rPr>
                <w:rFonts w:asciiTheme="minorHAnsi" w:hAnsiTheme="minorHAnsi"/>
                <w:b w:val="0"/>
                <w:color w:val="000000"/>
                <w:sz w:val="20"/>
                <w:szCs w:val="20"/>
              </w:rPr>
              <w:t>Physicians and Physicians Groups</w:t>
            </w:r>
          </w:p>
        </w:tc>
        <w:tc>
          <w:tcPr>
            <w:tcW w:w="5720" w:type="dxa"/>
            <w:noWrap/>
            <w:vAlign w:val="center"/>
            <w:hideMark/>
          </w:tcPr>
          <w:p w14:paraId="341FA82F"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General Practice</w:t>
            </w:r>
          </w:p>
        </w:tc>
      </w:tr>
      <w:tr w:rsidR="00AA0AA8" w:rsidRPr="00105FFC" w14:paraId="03612F62"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078C710C" w14:textId="77777777" w:rsidR="00AA0AA8" w:rsidRPr="00105FFC" w:rsidRDefault="00AA0AA8" w:rsidP="00AA0AA8">
            <w:pPr>
              <w:spacing w:line="256" w:lineRule="auto"/>
              <w:rPr>
                <w:rFonts w:asciiTheme="minorHAnsi" w:hAnsiTheme="minorHAnsi"/>
                <w:b w:val="0"/>
                <w:color w:val="000000"/>
                <w:sz w:val="20"/>
                <w:szCs w:val="20"/>
              </w:rPr>
            </w:pPr>
          </w:p>
        </w:tc>
        <w:tc>
          <w:tcPr>
            <w:tcW w:w="5720" w:type="dxa"/>
            <w:noWrap/>
            <w:vAlign w:val="center"/>
            <w:hideMark/>
          </w:tcPr>
          <w:p w14:paraId="31D99621"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Family Practice</w:t>
            </w:r>
          </w:p>
        </w:tc>
      </w:tr>
      <w:tr w:rsidR="00AA0AA8" w:rsidRPr="00105FFC" w14:paraId="2642B52B"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42636957" w14:textId="77777777" w:rsidR="00AA0AA8" w:rsidRPr="00105FFC" w:rsidRDefault="00AA0AA8" w:rsidP="00AA0AA8">
            <w:pPr>
              <w:spacing w:line="256" w:lineRule="auto"/>
              <w:rPr>
                <w:rFonts w:asciiTheme="minorHAnsi" w:hAnsiTheme="minorHAnsi"/>
                <w:b w:val="0"/>
                <w:color w:val="000000"/>
                <w:sz w:val="20"/>
                <w:szCs w:val="20"/>
              </w:rPr>
            </w:pPr>
          </w:p>
        </w:tc>
        <w:tc>
          <w:tcPr>
            <w:tcW w:w="5720" w:type="dxa"/>
            <w:noWrap/>
            <w:vAlign w:val="center"/>
            <w:hideMark/>
          </w:tcPr>
          <w:p w14:paraId="7ACD04EB"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Gynecology (D.O. only)</w:t>
            </w:r>
          </w:p>
        </w:tc>
      </w:tr>
      <w:tr w:rsidR="00AA0AA8" w:rsidRPr="00105FFC" w14:paraId="0E1CF152"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682CE798" w14:textId="77777777" w:rsidR="00AA0AA8" w:rsidRPr="00105FFC" w:rsidRDefault="00AA0AA8" w:rsidP="00AA0AA8">
            <w:pPr>
              <w:spacing w:line="256" w:lineRule="auto"/>
              <w:rPr>
                <w:rFonts w:asciiTheme="minorHAnsi" w:hAnsiTheme="minorHAnsi"/>
                <w:b w:val="0"/>
                <w:color w:val="000000"/>
                <w:sz w:val="20"/>
                <w:szCs w:val="20"/>
              </w:rPr>
            </w:pPr>
          </w:p>
        </w:tc>
        <w:tc>
          <w:tcPr>
            <w:tcW w:w="5720" w:type="dxa"/>
            <w:noWrap/>
            <w:vAlign w:val="center"/>
            <w:hideMark/>
          </w:tcPr>
          <w:p w14:paraId="1DBD9C2B"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Obstetrics (D.O. only), Endodontist (Dentists Only)</w:t>
            </w:r>
          </w:p>
        </w:tc>
      </w:tr>
      <w:tr w:rsidR="00AA0AA8" w:rsidRPr="00105FFC" w14:paraId="2DE29048"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07628626" w14:textId="77777777" w:rsidR="00AA0AA8" w:rsidRPr="00105FFC" w:rsidRDefault="00AA0AA8" w:rsidP="00AA0AA8">
            <w:pPr>
              <w:spacing w:line="256" w:lineRule="auto"/>
              <w:rPr>
                <w:rFonts w:asciiTheme="minorHAnsi" w:hAnsiTheme="minorHAnsi"/>
                <w:b w:val="0"/>
                <w:color w:val="000000"/>
                <w:sz w:val="20"/>
                <w:szCs w:val="20"/>
              </w:rPr>
            </w:pPr>
          </w:p>
        </w:tc>
        <w:tc>
          <w:tcPr>
            <w:tcW w:w="5720" w:type="dxa"/>
            <w:noWrap/>
            <w:vAlign w:val="center"/>
            <w:hideMark/>
          </w:tcPr>
          <w:p w14:paraId="69C10B7C"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Obstetrics-Gynecology (M.D. Only) Neonatal</w:t>
            </w:r>
          </w:p>
        </w:tc>
      </w:tr>
      <w:tr w:rsidR="00AA0AA8" w:rsidRPr="00105FFC" w14:paraId="415F861B"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67C5D3C6" w14:textId="77777777" w:rsidR="00AA0AA8" w:rsidRPr="00105FFC" w:rsidRDefault="00AA0AA8" w:rsidP="00AA0AA8">
            <w:pPr>
              <w:spacing w:line="256" w:lineRule="auto"/>
              <w:rPr>
                <w:rFonts w:asciiTheme="minorHAnsi" w:hAnsiTheme="minorHAnsi"/>
                <w:b w:val="0"/>
                <w:color w:val="000000"/>
                <w:sz w:val="20"/>
                <w:szCs w:val="20"/>
              </w:rPr>
            </w:pPr>
          </w:p>
        </w:tc>
        <w:tc>
          <w:tcPr>
            <w:tcW w:w="5720" w:type="dxa"/>
            <w:noWrap/>
            <w:vAlign w:val="center"/>
            <w:hideMark/>
          </w:tcPr>
          <w:p w14:paraId="2B5A46EC"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Preventive (M.D. only)</w:t>
            </w:r>
          </w:p>
        </w:tc>
      </w:tr>
      <w:tr w:rsidR="00AA0AA8" w:rsidRPr="00105FFC" w14:paraId="495BBA4F"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08A88065" w14:textId="77777777" w:rsidR="00AA0AA8" w:rsidRPr="00105FFC" w:rsidRDefault="00AA0AA8" w:rsidP="00AA0AA8">
            <w:pPr>
              <w:spacing w:line="256" w:lineRule="auto"/>
              <w:rPr>
                <w:rFonts w:asciiTheme="minorHAnsi" w:hAnsiTheme="minorHAnsi"/>
                <w:b w:val="0"/>
                <w:color w:val="000000"/>
                <w:sz w:val="20"/>
                <w:szCs w:val="20"/>
              </w:rPr>
            </w:pPr>
          </w:p>
        </w:tc>
        <w:tc>
          <w:tcPr>
            <w:tcW w:w="5720" w:type="dxa"/>
            <w:noWrap/>
            <w:vAlign w:val="center"/>
            <w:hideMark/>
          </w:tcPr>
          <w:p w14:paraId="43525A37"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Pediatrics,  Periodontist (Dentists Only)</w:t>
            </w:r>
          </w:p>
        </w:tc>
      </w:tr>
      <w:tr w:rsidR="00AA0AA8" w:rsidRPr="00105FFC" w14:paraId="000562BC"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5F0749BB" w14:textId="77777777" w:rsidR="00AA0AA8" w:rsidRPr="00105FFC" w:rsidRDefault="00AA0AA8" w:rsidP="00AA0AA8">
            <w:pPr>
              <w:spacing w:line="256" w:lineRule="auto"/>
              <w:rPr>
                <w:rFonts w:asciiTheme="minorHAnsi" w:hAnsiTheme="minorHAnsi"/>
                <w:b w:val="0"/>
                <w:color w:val="000000"/>
                <w:sz w:val="20"/>
                <w:szCs w:val="20"/>
              </w:rPr>
            </w:pPr>
          </w:p>
        </w:tc>
        <w:tc>
          <w:tcPr>
            <w:tcW w:w="5720" w:type="dxa"/>
            <w:noWrap/>
            <w:vAlign w:val="center"/>
            <w:hideMark/>
          </w:tcPr>
          <w:p w14:paraId="35A46D64"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Internal Medicine</w:t>
            </w:r>
          </w:p>
        </w:tc>
      </w:tr>
      <w:tr w:rsidR="00AA0AA8" w:rsidRPr="00105FFC" w14:paraId="16170BA5"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3000" w:type="dxa"/>
            <w:gridSpan w:val="2"/>
            <w:vMerge w:val="restart"/>
            <w:noWrap/>
            <w:vAlign w:val="center"/>
            <w:hideMark/>
          </w:tcPr>
          <w:p w14:paraId="69A96BC2" w14:textId="77777777" w:rsidR="00AA0AA8" w:rsidRPr="00105FFC" w:rsidRDefault="00AA0AA8" w:rsidP="00AA0AA8">
            <w:pPr>
              <w:spacing w:line="276" w:lineRule="auto"/>
              <w:jc w:val="center"/>
              <w:rPr>
                <w:rFonts w:asciiTheme="minorHAnsi" w:hAnsiTheme="minorHAnsi"/>
                <w:b w:val="0"/>
                <w:color w:val="000000"/>
                <w:sz w:val="20"/>
                <w:szCs w:val="20"/>
              </w:rPr>
            </w:pPr>
            <w:r w:rsidRPr="00105FFC">
              <w:rPr>
                <w:rFonts w:asciiTheme="minorHAnsi" w:hAnsiTheme="minorHAnsi"/>
                <w:b w:val="0"/>
                <w:color w:val="000000"/>
                <w:sz w:val="20"/>
                <w:szCs w:val="20"/>
              </w:rPr>
              <w:t>Clinics</w:t>
            </w:r>
          </w:p>
        </w:tc>
        <w:tc>
          <w:tcPr>
            <w:tcW w:w="5720" w:type="dxa"/>
            <w:noWrap/>
            <w:vAlign w:val="center"/>
            <w:hideMark/>
          </w:tcPr>
          <w:p w14:paraId="2397EACA"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RURAL HEALTH CLINICS/FEDERALLY QUALIFIED HEALTH CENTER</w:t>
            </w:r>
          </w:p>
        </w:tc>
      </w:tr>
      <w:tr w:rsidR="00AA0AA8" w:rsidRPr="00105FFC" w14:paraId="2EB62F51"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0D267EA1" w14:textId="77777777" w:rsidR="00AA0AA8" w:rsidRPr="00105FFC" w:rsidRDefault="00AA0AA8" w:rsidP="00AA0AA8">
            <w:pPr>
              <w:spacing w:line="256" w:lineRule="auto"/>
              <w:rPr>
                <w:rFonts w:asciiTheme="minorHAnsi" w:hAnsiTheme="minorHAnsi"/>
                <w:color w:val="000000"/>
                <w:sz w:val="20"/>
                <w:szCs w:val="20"/>
              </w:rPr>
            </w:pPr>
          </w:p>
        </w:tc>
        <w:tc>
          <w:tcPr>
            <w:tcW w:w="5720" w:type="dxa"/>
            <w:noWrap/>
            <w:vAlign w:val="center"/>
            <w:hideMark/>
          </w:tcPr>
          <w:p w14:paraId="18D4971F"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FREE CLINIC</w:t>
            </w:r>
          </w:p>
        </w:tc>
      </w:tr>
      <w:tr w:rsidR="00AA0AA8" w:rsidRPr="00105FFC" w14:paraId="56586A54"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1E4212F7" w14:textId="77777777" w:rsidR="00AA0AA8" w:rsidRPr="00105FFC" w:rsidRDefault="00AA0AA8" w:rsidP="00AA0AA8">
            <w:pPr>
              <w:spacing w:line="256" w:lineRule="auto"/>
              <w:rPr>
                <w:rFonts w:asciiTheme="minorHAnsi" w:hAnsiTheme="minorHAnsi"/>
                <w:color w:val="000000"/>
                <w:sz w:val="20"/>
                <w:szCs w:val="20"/>
              </w:rPr>
            </w:pPr>
          </w:p>
        </w:tc>
        <w:tc>
          <w:tcPr>
            <w:tcW w:w="5720" w:type="dxa"/>
            <w:noWrap/>
            <w:vAlign w:val="center"/>
            <w:hideMark/>
          </w:tcPr>
          <w:p w14:paraId="67DE4DB8"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COMMUNITY CLINIC</w:t>
            </w:r>
          </w:p>
        </w:tc>
      </w:tr>
      <w:tr w:rsidR="00AA0AA8" w:rsidRPr="00105FFC" w14:paraId="65105C96"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18F3F43B" w14:textId="77777777" w:rsidR="00AA0AA8" w:rsidRPr="00105FFC" w:rsidRDefault="00AA0AA8" w:rsidP="00AA0AA8">
            <w:pPr>
              <w:spacing w:line="256" w:lineRule="auto"/>
              <w:rPr>
                <w:rFonts w:asciiTheme="minorHAnsi" w:hAnsiTheme="minorHAnsi"/>
                <w:color w:val="000000"/>
                <w:sz w:val="20"/>
                <w:szCs w:val="20"/>
              </w:rPr>
            </w:pPr>
          </w:p>
        </w:tc>
        <w:tc>
          <w:tcPr>
            <w:tcW w:w="5720" w:type="dxa"/>
            <w:noWrap/>
            <w:vAlign w:val="center"/>
            <w:hideMark/>
          </w:tcPr>
          <w:p w14:paraId="61ED3B7F"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Multispecialty Clinic</w:t>
            </w:r>
          </w:p>
        </w:tc>
      </w:tr>
      <w:tr w:rsidR="00AA0AA8" w:rsidRPr="00105FFC" w14:paraId="0404AFEA"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3FBCE472" w14:textId="77777777" w:rsidR="00AA0AA8" w:rsidRPr="00105FFC" w:rsidRDefault="00AA0AA8" w:rsidP="00AA0AA8">
            <w:pPr>
              <w:spacing w:line="256" w:lineRule="auto"/>
              <w:rPr>
                <w:rFonts w:asciiTheme="minorHAnsi" w:hAnsiTheme="minorHAnsi"/>
                <w:color w:val="000000"/>
                <w:sz w:val="20"/>
                <w:szCs w:val="20"/>
              </w:rPr>
            </w:pPr>
          </w:p>
        </w:tc>
        <w:tc>
          <w:tcPr>
            <w:tcW w:w="5720" w:type="dxa"/>
            <w:noWrap/>
            <w:vAlign w:val="center"/>
            <w:hideMark/>
          </w:tcPr>
          <w:p w14:paraId="4C94D037"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CLINIC EXEMP FROM LICENSURE</w:t>
            </w:r>
          </w:p>
        </w:tc>
      </w:tr>
      <w:tr w:rsidR="00AA0AA8" w:rsidRPr="00105FFC" w14:paraId="1BA8689A"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42DD66FE" w14:textId="77777777" w:rsidR="00AA0AA8" w:rsidRPr="00105FFC" w:rsidRDefault="00AA0AA8" w:rsidP="00AA0AA8">
            <w:pPr>
              <w:spacing w:line="256" w:lineRule="auto"/>
              <w:rPr>
                <w:rFonts w:asciiTheme="minorHAnsi" w:hAnsiTheme="minorHAnsi"/>
                <w:color w:val="000000"/>
                <w:sz w:val="20"/>
                <w:szCs w:val="20"/>
              </w:rPr>
            </w:pPr>
          </w:p>
        </w:tc>
        <w:tc>
          <w:tcPr>
            <w:tcW w:w="5720" w:type="dxa"/>
            <w:noWrap/>
            <w:vAlign w:val="center"/>
            <w:hideMark/>
          </w:tcPr>
          <w:p w14:paraId="42C506F3"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COUNTY CLINICS NOT ASSOCIATED WITH HOSPITAL</w:t>
            </w:r>
          </w:p>
        </w:tc>
      </w:tr>
      <w:tr w:rsidR="00AA0AA8" w:rsidRPr="00105FFC" w14:paraId="4D7D1C6F"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26C1AAFF" w14:textId="77777777" w:rsidR="00AA0AA8" w:rsidRPr="00105FFC" w:rsidRDefault="00AA0AA8" w:rsidP="00AA0AA8">
            <w:pPr>
              <w:spacing w:line="256" w:lineRule="auto"/>
              <w:rPr>
                <w:rFonts w:asciiTheme="minorHAnsi" w:hAnsiTheme="minorHAnsi"/>
                <w:color w:val="000000"/>
                <w:sz w:val="20"/>
                <w:szCs w:val="20"/>
              </w:rPr>
            </w:pPr>
          </w:p>
        </w:tc>
        <w:tc>
          <w:tcPr>
            <w:tcW w:w="5720" w:type="dxa"/>
            <w:noWrap/>
            <w:vAlign w:val="center"/>
            <w:hideMark/>
          </w:tcPr>
          <w:p w14:paraId="6EC9C450"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OTHERWISE UNDESIGNATED CLINIC</w:t>
            </w:r>
          </w:p>
        </w:tc>
      </w:tr>
      <w:tr w:rsidR="00AA0AA8" w:rsidRPr="00105FFC" w14:paraId="4C8FA373"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53B8B367" w14:textId="77777777" w:rsidR="00AA0AA8" w:rsidRPr="00105FFC" w:rsidRDefault="00AA0AA8" w:rsidP="00AA0AA8">
            <w:pPr>
              <w:spacing w:line="256" w:lineRule="auto"/>
              <w:rPr>
                <w:rFonts w:asciiTheme="minorHAnsi" w:hAnsiTheme="minorHAnsi"/>
                <w:color w:val="000000"/>
                <w:sz w:val="20"/>
                <w:szCs w:val="20"/>
              </w:rPr>
            </w:pPr>
          </w:p>
        </w:tc>
        <w:tc>
          <w:tcPr>
            <w:tcW w:w="5720" w:type="dxa"/>
            <w:noWrap/>
            <w:vAlign w:val="center"/>
            <w:hideMark/>
          </w:tcPr>
          <w:p w14:paraId="6FC75187"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Tribal Health</w:t>
            </w:r>
          </w:p>
        </w:tc>
      </w:tr>
    </w:tbl>
    <w:p w14:paraId="3D7E52E9" w14:textId="77777777" w:rsidR="00AA0AA8" w:rsidRPr="00105FFC" w:rsidRDefault="00AA0AA8" w:rsidP="00AA0AA8">
      <w:pPr>
        <w:rPr>
          <w:rFonts w:asciiTheme="minorHAnsi" w:hAnsiTheme="minorHAnsi"/>
        </w:rPr>
      </w:pPr>
    </w:p>
    <w:p w14:paraId="323F9035" w14:textId="77777777" w:rsidR="00AA0AA8" w:rsidRPr="00105FFC" w:rsidRDefault="00AA0AA8" w:rsidP="00AA0AA8">
      <w:pPr>
        <w:rPr>
          <w:rFonts w:asciiTheme="minorHAnsi" w:hAnsiTheme="minorHAnsi"/>
        </w:rPr>
      </w:pPr>
      <w:r w:rsidRPr="00105FFC">
        <w:rPr>
          <w:rFonts w:asciiTheme="minorHAnsi" w:hAnsiTheme="minorHAnsi"/>
        </w:rPr>
        <w:t xml:space="preserve">The specialty category for services included 40 different declared specialties as reflect on Medi-Cal’s Provider Master File (Table </w:t>
      </w:r>
      <w:r w:rsidR="00AF2210" w:rsidRPr="00105FFC">
        <w:rPr>
          <w:rFonts w:asciiTheme="minorHAnsi" w:hAnsiTheme="minorHAnsi"/>
        </w:rPr>
        <w:t>12</w:t>
      </w:r>
      <w:r w:rsidRPr="00105FFC">
        <w:rPr>
          <w:rFonts w:asciiTheme="minorHAnsi" w:hAnsiTheme="minorHAnsi"/>
        </w:rPr>
        <w:t>).</w:t>
      </w:r>
    </w:p>
    <w:p w14:paraId="4B8C19BE" w14:textId="77777777" w:rsidR="00AA0AA8" w:rsidRPr="00105FFC" w:rsidRDefault="00AA0AA8" w:rsidP="00AA0AA8">
      <w:pPr>
        <w:rPr>
          <w:rFonts w:asciiTheme="minorHAnsi" w:hAnsiTheme="minorHAnsi"/>
        </w:rPr>
      </w:pPr>
    </w:p>
    <w:p w14:paraId="58C47BB8" w14:textId="77777777" w:rsidR="00AA0AA8" w:rsidRPr="00105FFC" w:rsidRDefault="00AF2210" w:rsidP="00AF2210">
      <w:pPr>
        <w:pStyle w:val="Caption"/>
        <w:spacing w:after="0"/>
        <w:rPr>
          <w:rFonts w:asciiTheme="minorHAnsi" w:hAnsiTheme="minorHAnsi"/>
          <w:sz w:val="20"/>
          <w:szCs w:val="20"/>
        </w:rPr>
      </w:pPr>
      <w:bookmarkStart w:id="205" w:name="_Toc458783087"/>
      <w:bookmarkStart w:id="206" w:name="_Toc459285157"/>
      <w:r w:rsidRPr="00105FFC">
        <w:rPr>
          <w:rFonts w:asciiTheme="minorHAnsi" w:hAnsiTheme="minorHAnsi"/>
          <w:color w:val="auto"/>
        </w:rPr>
        <w:t xml:space="preserve">Table </w:t>
      </w:r>
      <w:r w:rsidRPr="00105FFC">
        <w:rPr>
          <w:rFonts w:asciiTheme="minorHAnsi" w:hAnsiTheme="minorHAnsi"/>
          <w:color w:val="auto"/>
        </w:rPr>
        <w:fldChar w:fldCharType="begin"/>
      </w:r>
      <w:r w:rsidRPr="00105FFC">
        <w:rPr>
          <w:rFonts w:asciiTheme="minorHAnsi" w:hAnsiTheme="minorHAnsi"/>
          <w:color w:val="auto"/>
        </w:rPr>
        <w:instrText xml:space="preserve"> SEQ Table \* ARABIC </w:instrText>
      </w:r>
      <w:r w:rsidRPr="00105FFC">
        <w:rPr>
          <w:rFonts w:asciiTheme="minorHAnsi" w:hAnsiTheme="minorHAnsi"/>
          <w:color w:val="auto"/>
        </w:rPr>
        <w:fldChar w:fldCharType="separate"/>
      </w:r>
      <w:r w:rsidR="00B04F0F">
        <w:rPr>
          <w:rFonts w:asciiTheme="minorHAnsi" w:hAnsiTheme="minorHAnsi"/>
          <w:noProof/>
          <w:color w:val="auto"/>
        </w:rPr>
        <w:t>12</w:t>
      </w:r>
      <w:r w:rsidRPr="00105FFC">
        <w:rPr>
          <w:rFonts w:asciiTheme="minorHAnsi" w:hAnsiTheme="minorHAnsi"/>
          <w:color w:val="auto"/>
        </w:rPr>
        <w:fldChar w:fldCharType="end"/>
      </w:r>
      <w:r w:rsidR="00AA0AA8" w:rsidRPr="00105FFC">
        <w:rPr>
          <w:rFonts w:asciiTheme="minorHAnsi" w:hAnsiTheme="minorHAnsi"/>
          <w:b w:val="0"/>
          <w:color w:val="auto"/>
          <w:sz w:val="20"/>
          <w:szCs w:val="20"/>
        </w:rPr>
        <w:t>:  Specialty Category of Service Definition</w:t>
      </w:r>
      <w:bookmarkEnd w:id="205"/>
      <w:bookmarkEnd w:id="206"/>
    </w:p>
    <w:tbl>
      <w:tblPr>
        <w:tblStyle w:val="GridTable6Colorful-Accent11"/>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5720"/>
      </w:tblGrid>
      <w:tr w:rsidR="00AA0AA8" w:rsidRPr="00105FFC" w14:paraId="644DF0A6" w14:textId="77777777" w:rsidTr="00AF2210">
        <w:trPr>
          <w:cnfStyle w:val="100000000000" w:firstRow="1" w:lastRow="0" w:firstColumn="0" w:lastColumn="0" w:oddVBand="0" w:evenVBand="0" w:oddHBand="0" w:evenHBand="0" w:firstRowFirstColumn="0" w:firstRowLastColumn="0" w:lastRowFirstColumn="0" w:lastRowLastColumn="0"/>
          <w:cantSplit/>
          <w:trHeight w:val="252"/>
          <w:tblHeader/>
        </w:trPr>
        <w:tc>
          <w:tcPr>
            <w:cnfStyle w:val="001000000000" w:firstRow="0" w:lastRow="0" w:firstColumn="1" w:lastColumn="0" w:oddVBand="0" w:evenVBand="0" w:oddHBand="0" w:evenHBand="0" w:firstRowFirstColumn="0" w:firstRowLastColumn="0" w:lastRowFirstColumn="0" w:lastRowLastColumn="0"/>
            <w:tcW w:w="3000" w:type="dxa"/>
            <w:tcBorders>
              <w:bottom w:val="none" w:sz="0" w:space="0" w:color="auto"/>
            </w:tcBorders>
            <w:noWrap/>
            <w:vAlign w:val="center"/>
            <w:hideMark/>
          </w:tcPr>
          <w:p w14:paraId="04CB18B1" w14:textId="77777777" w:rsidR="00AA0AA8" w:rsidRPr="00105FFC" w:rsidRDefault="00AA0AA8" w:rsidP="00AA0AA8">
            <w:pPr>
              <w:spacing w:line="276" w:lineRule="auto"/>
              <w:jc w:val="center"/>
              <w:rPr>
                <w:rFonts w:asciiTheme="minorHAnsi" w:hAnsiTheme="minorHAnsi"/>
                <w:bCs w:val="0"/>
                <w:color w:val="000000"/>
                <w:sz w:val="20"/>
                <w:szCs w:val="20"/>
              </w:rPr>
            </w:pPr>
            <w:r w:rsidRPr="00105FFC">
              <w:rPr>
                <w:rFonts w:asciiTheme="minorHAnsi" w:hAnsiTheme="minorHAnsi"/>
                <w:bCs w:val="0"/>
                <w:color w:val="000000"/>
                <w:sz w:val="20"/>
                <w:szCs w:val="20"/>
              </w:rPr>
              <w:t>Specialist Providers - Physicians and Physician Groups</w:t>
            </w:r>
          </w:p>
        </w:tc>
        <w:tc>
          <w:tcPr>
            <w:tcW w:w="5720" w:type="dxa"/>
            <w:tcBorders>
              <w:bottom w:val="none" w:sz="0" w:space="0" w:color="auto"/>
            </w:tcBorders>
            <w:vAlign w:val="center"/>
          </w:tcPr>
          <w:p w14:paraId="7E7EDF6A" w14:textId="77777777" w:rsidR="00AA0AA8" w:rsidRPr="00105FFC" w:rsidRDefault="00AA0AA8" w:rsidP="00AA0AA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0"/>
                <w:szCs w:val="20"/>
              </w:rPr>
            </w:pPr>
            <w:r w:rsidRPr="00105FFC">
              <w:rPr>
                <w:rFonts w:asciiTheme="minorHAnsi" w:hAnsiTheme="minorHAnsi"/>
                <w:bCs w:val="0"/>
                <w:color w:val="000000"/>
                <w:sz w:val="20"/>
                <w:szCs w:val="20"/>
              </w:rPr>
              <w:t>Medi-Cal Provider Type</w:t>
            </w:r>
          </w:p>
        </w:tc>
      </w:tr>
      <w:tr w:rsidR="00AA0AA8" w:rsidRPr="00105FFC" w14:paraId="53F70FA6"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3000" w:type="dxa"/>
            <w:vMerge w:val="restart"/>
            <w:noWrap/>
            <w:vAlign w:val="center"/>
            <w:hideMark/>
          </w:tcPr>
          <w:p w14:paraId="1D15F5FC" w14:textId="77777777" w:rsidR="00AA0AA8" w:rsidRPr="00105FFC" w:rsidRDefault="00AA0AA8" w:rsidP="00AA0AA8">
            <w:pPr>
              <w:spacing w:line="276" w:lineRule="auto"/>
              <w:jc w:val="center"/>
              <w:rPr>
                <w:rFonts w:asciiTheme="minorHAnsi" w:hAnsiTheme="minorHAnsi"/>
                <w:b w:val="0"/>
                <w:color w:val="000000"/>
                <w:sz w:val="20"/>
                <w:szCs w:val="20"/>
              </w:rPr>
            </w:pPr>
            <w:r w:rsidRPr="00105FFC">
              <w:rPr>
                <w:rFonts w:asciiTheme="minorHAnsi" w:hAnsiTheme="minorHAnsi"/>
                <w:b w:val="0"/>
                <w:color w:val="000000"/>
                <w:sz w:val="20"/>
                <w:szCs w:val="20"/>
              </w:rPr>
              <w:t>Physicians and Physicians Groups</w:t>
            </w:r>
          </w:p>
        </w:tc>
        <w:tc>
          <w:tcPr>
            <w:tcW w:w="5720" w:type="dxa"/>
            <w:noWrap/>
            <w:vAlign w:val="center"/>
            <w:hideMark/>
          </w:tcPr>
          <w:p w14:paraId="6E8A8AAD"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General Surgery                             </w:t>
            </w:r>
          </w:p>
        </w:tc>
      </w:tr>
      <w:tr w:rsidR="00AA0AA8" w:rsidRPr="00105FFC" w14:paraId="0A229A5F"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820366F"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16D52614"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Allergy</w:t>
            </w:r>
          </w:p>
        </w:tc>
      </w:tr>
      <w:tr w:rsidR="00AA0AA8" w:rsidRPr="00105FFC" w14:paraId="69FB54BB"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C88DE77"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59CB5EA9"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Otology, Laryngology, Rhinology             </w:t>
            </w:r>
          </w:p>
        </w:tc>
      </w:tr>
      <w:tr w:rsidR="00AA0AA8" w:rsidRPr="00105FFC" w14:paraId="6D86FFD3"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9EE73E1"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7BE078CB"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Cardiovascular Disease (internal medicine)  </w:t>
            </w:r>
          </w:p>
        </w:tc>
      </w:tr>
      <w:tr w:rsidR="00AA0AA8" w:rsidRPr="00105FFC" w14:paraId="64CCCC23"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F113A0F"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02ED4DC2"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Dermatology                                 </w:t>
            </w:r>
          </w:p>
        </w:tc>
      </w:tr>
      <w:tr w:rsidR="00AA0AA8" w:rsidRPr="00105FFC" w14:paraId="5E613259"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FC0518E"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30058237"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Gynecology (Osteopaths only)                </w:t>
            </w:r>
          </w:p>
        </w:tc>
      </w:tr>
      <w:tr w:rsidR="00AA0AA8" w:rsidRPr="00105FFC" w14:paraId="14E24F8B"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1D56D47"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03CE1AAF"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Gastroenterology (internal medicine)        </w:t>
            </w:r>
          </w:p>
        </w:tc>
      </w:tr>
      <w:tr w:rsidR="00AA0AA8" w:rsidRPr="00105FFC" w14:paraId="61DD64E1"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912422A"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5C8127B6"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Neurology                                   </w:t>
            </w:r>
          </w:p>
        </w:tc>
      </w:tr>
      <w:tr w:rsidR="00AA0AA8" w:rsidRPr="00105FFC" w14:paraId="5B22808B"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573FDEF"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4DE16668"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Neurological Surgery                        </w:t>
            </w:r>
          </w:p>
        </w:tc>
      </w:tr>
      <w:tr w:rsidR="00AA0AA8" w:rsidRPr="00105FFC" w14:paraId="0EAB1F9E"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5AA2964"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7C02B372"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Obstetrics (D. O. only)                     </w:t>
            </w:r>
          </w:p>
        </w:tc>
      </w:tr>
      <w:tr w:rsidR="00AA0AA8" w:rsidRPr="00105FFC" w14:paraId="3E4D2CB0"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5E8A5F9"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5934166D"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OB-Gynecology (M. E. only)                  </w:t>
            </w:r>
          </w:p>
        </w:tc>
      </w:tr>
      <w:tr w:rsidR="00AA0AA8" w:rsidRPr="00105FFC" w14:paraId="6B837CC2"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1B834A7"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02C8C6E9"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Ophthalmology, otolaryngology                </w:t>
            </w:r>
          </w:p>
        </w:tc>
      </w:tr>
      <w:tr w:rsidR="00AA0AA8" w:rsidRPr="00105FFC" w14:paraId="061A6EF0"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E560D73"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364EBFA2"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Ophthalmology                            </w:t>
            </w:r>
          </w:p>
        </w:tc>
      </w:tr>
      <w:tr w:rsidR="00AA0AA8" w:rsidRPr="00105FFC" w14:paraId="70E44DE3"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F1EB2CC"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17BE0C23"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Orthopedic Surgery      </w:t>
            </w:r>
          </w:p>
        </w:tc>
      </w:tr>
      <w:tr w:rsidR="00AA0AA8" w:rsidRPr="00105FFC" w14:paraId="18F0897E"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18CFFFE"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194576F0"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Peripheral Vascular Disease or Surgery (D. O. only)  </w:t>
            </w:r>
          </w:p>
        </w:tc>
      </w:tr>
      <w:tr w:rsidR="00AA0AA8" w:rsidRPr="00105FFC" w14:paraId="1D42A755"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ED75D82"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072B254D"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Plastic Surgery                                     </w:t>
            </w:r>
          </w:p>
        </w:tc>
      </w:tr>
      <w:tr w:rsidR="00AA0AA8" w:rsidRPr="00105FFC" w14:paraId="743BB895"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11A2FBD"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04A6208F"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Physical Medicine and Rehabilitation                </w:t>
            </w:r>
          </w:p>
        </w:tc>
      </w:tr>
      <w:tr w:rsidR="00AA0AA8" w:rsidRPr="00105FFC" w14:paraId="4E1F32CD"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2251388"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536B155B"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Psychiatry Neurology                                </w:t>
            </w:r>
          </w:p>
        </w:tc>
      </w:tr>
      <w:tr w:rsidR="00AA0AA8" w:rsidRPr="00105FFC" w14:paraId="30E1E9AA"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DECCE26"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20AD3BF5"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Proctology (colon and rectal surgery)               </w:t>
            </w:r>
          </w:p>
        </w:tc>
      </w:tr>
      <w:tr w:rsidR="00AA0AA8" w:rsidRPr="00105FFC" w14:paraId="09433ECE"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5CDF96B"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29E675D5"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Pulmonary Diseases                                  </w:t>
            </w:r>
          </w:p>
        </w:tc>
      </w:tr>
      <w:tr w:rsidR="00AA0AA8" w:rsidRPr="00105FFC" w14:paraId="4CFE56C5"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3CD10D1"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1D0B13AB"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Radiology                                           </w:t>
            </w:r>
          </w:p>
        </w:tc>
      </w:tr>
      <w:tr w:rsidR="00AA0AA8" w:rsidRPr="00105FFC" w14:paraId="451CB4D4"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453A0A0"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27460AE5"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Roentgenology</w:t>
            </w:r>
          </w:p>
        </w:tc>
      </w:tr>
      <w:tr w:rsidR="00AA0AA8" w:rsidRPr="00105FFC" w14:paraId="643A4B69"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520759"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5AF0D578"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Radiation Therapy (D.O. only)</w:t>
            </w:r>
          </w:p>
        </w:tc>
      </w:tr>
      <w:tr w:rsidR="00AA0AA8" w:rsidRPr="00105FFC" w14:paraId="72CBBC8A"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B6BEDC9"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668E0E69"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Thoracic Surgery                                    </w:t>
            </w:r>
          </w:p>
        </w:tc>
      </w:tr>
      <w:tr w:rsidR="00AA0AA8" w:rsidRPr="00105FFC" w14:paraId="1C1C9435"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D0CF7A4"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45850BA5"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Urology and Urological Surgery                     </w:t>
            </w:r>
          </w:p>
        </w:tc>
      </w:tr>
      <w:tr w:rsidR="00AA0AA8" w:rsidRPr="00105FFC" w14:paraId="4EEA4D5C"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F6E71E0"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1B134FD5"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Pediatric Cardiology (internal medicine)            </w:t>
            </w:r>
          </w:p>
        </w:tc>
      </w:tr>
      <w:tr w:rsidR="00AA0AA8" w:rsidRPr="00105FFC" w14:paraId="665220B6"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DA697FE"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4B21AF62"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Pediatrics                                          </w:t>
            </w:r>
          </w:p>
        </w:tc>
      </w:tr>
      <w:tr w:rsidR="00AA0AA8" w:rsidRPr="00105FFC" w14:paraId="7520ED83"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7BDC559"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4648E25D"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Nuclear Medicine                                    </w:t>
            </w:r>
          </w:p>
        </w:tc>
      </w:tr>
      <w:tr w:rsidR="00AA0AA8" w:rsidRPr="00105FFC" w14:paraId="21E5C83C"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B44B1BB"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6562FF37"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Pediatric Allergy                                </w:t>
            </w:r>
          </w:p>
        </w:tc>
      </w:tr>
      <w:tr w:rsidR="00AA0AA8" w:rsidRPr="00105FFC" w14:paraId="1B100600"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73F64D1"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260B5030"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Nephrology                                 </w:t>
            </w:r>
          </w:p>
        </w:tc>
      </w:tr>
      <w:tr w:rsidR="00AA0AA8" w:rsidRPr="00105FFC" w14:paraId="19A94267"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C2E931"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6078E9AC"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Hand Surgery                               </w:t>
            </w:r>
          </w:p>
        </w:tc>
      </w:tr>
      <w:tr w:rsidR="00AA0AA8" w:rsidRPr="00105FFC" w14:paraId="1B6D3651"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D6537DF"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7F1D204D"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Endocrinology                              </w:t>
            </w:r>
          </w:p>
        </w:tc>
      </w:tr>
      <w:tr w:rsidR="00AA0AA8" w:rsidRPr="00105FFC" w14:paraId="0BEA6139"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7C97D25"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17D2C55E"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Hematology                                 </w:t>
            </w:r>
          </w:p>
        </w:tc>
      </w:tr>
      <w:tr w:rsidR="00AA0AA8" w:rsidRPr="00105FFC" w14:paraId="7CA99291"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9A0726B"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5B523AE0"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Infectious Disease                         </w:t>
            </w:r>
          </w:p>
        </w:tc>
      </w:tr>
      <w:tr w:rsidR="00AA0AA8" w:rsidRPr="00105FFC" w14:paraId="239CCF56"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068B3CC"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1BC65AF9"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Neoplastic Diseases</w:t>
            </w:r>
          </w:p>
        </w:tc>
      </w:tr>
      <w:tr w:rsidR="00AA0AA8" w:rsidRPr="00105FFC" w14:paraId="7C6AB601"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1CAD7A7"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6DC01175"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Neurology-Child                            </w:t>
            </w:r>
          </w:p>
        </w:tc>
      </w:tr>
      <w:tr w:rsidR="00AA0AA8" w:rsidRPr="00105FFC" w14:paraId="5DE1BAB5"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4D531FC"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21EB607F"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Rheumatology                               </w:t>
            </w:r>
          </w:p>
        </w:tc>
      </w:tr>
      <w:tr w:rsidR="00AA0AA8" w:rsidRPr="00105FFC" w14:paraId="6444F1D0"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7C4920A"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0B234CC6"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Surgery Head and Neck                     </w:t>
            </w:r>
          </w:p>
        </w:tc>
      </w:tr>
      <w:tr w:rsidR="00AA0AA8" w:rsidRPr="00105FFC" w14:paraId="207F4AAE" w14:textId="77777777" w:rsidTr="00AF2210">
        <w:trPr>
          <w:cnfStyle w:val="000000100000" w:firstRow="0" w:lastRow="0" w:firstColumn="0" w:lastColumn="0" w:oddVBand="0" w:evenVBand="0" w:oddHBand="1"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3FDA702"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74FCC786"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Surgery Pediatric                          </w:t>
            </w:r>
          </w:p>
        </w:tc>
      </w:tr>
      <w:tr w:rsidR="00AA0AA8" w:rsidRPr="00105FFC" w14:paraId="757C01A1" w14:textId="77777777" w:rsidTr="00AF2210">
        <w:trPr>
          <w:cantSplit/>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E60B75F"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vAlign w:val="center"/>
            <w:hideMark/>
          </w:tcPr>
          <w:p w14:paraId="6F67A042"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 xml:space="preserve">Surgery Traumatic                           </w:t>
            </w:r>
          </w:p>
        </w:tc>
      </w:tr>
    </w:tbl>
    <w:p w14:paraId="31576EDB" w14:textId="77777777" w:rsidR="00AA0AA8" w:rsidRPr="00105FFC" w:rsidRDefault="00AA0AA8" w:rsidP="00AA0AA8">
      <w:pPr>
        <w:rPr>
          <w:rFonts w:asciiTheme="minorHAnsi" w:hAnsiTheme="minorHAnsi"/>
        </w:rPr>
      </w:pPr>
    </w:p>
    <w:p w14:paraId="02449AA8" w14:textId="77777777" w:rsidR="00AA0AA8" w:rsidRPr="00105FFC" w:rsidRDefault="00AF2210" w:rsidP="00AF2210">
      <w:pPr>
        <w:pStyle w:val="Caption"/>
        <w:spacing w:after="0"/>
        <w:rPr>
          <w:rFonts w:asciiTheme="minorHAnsi" w:hAnsiTheme="minorHAnsi"/>
          <w:b w:val="0"/>
          <w:color w:val="auto"/>
          <w:sz w:val="20"/>
          <w:szCs w:val="20"/>
        </w:rPr>
      </w:pPr>
      <w:bookmarkStart w:id="207" w:name="_Toc458783088"/>
      <w:bookmarkStart w:id="208" w:name="_Toc459285158"/>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13</w:t>
      </w:r>
      <w:r w:rsidRPr="00105FFC">
        <w:rPr>
          <w:rFonts w:asciiTheme="minorHAnsi" w:hAnsiTheme="minorHAnsi"/>
          <w:color w:val="auto"/>
          <w:sz w:val="20"/>
          <w:szCs w:val="20"/>
        </w:rPr>
        <w:fldChar w:fldCharType="end"/>
      </w:r>
      <w:r w:rsidR="00AA0AA8" w:rsidRPr="00105FFC">
        <w:rPr>
          <w:rFonts w:asciiTheme="minorHAnsi" w:hAnsiTheme="minorHAnsi"/>
          <w:color w:val="auto"/>
          <w:sz w:val="20"/>
          <w:szCs w:val="20"/>
        </w:rPr>
        <w:t>:</w:t>
      </w:r>
      <w:r w:rsidR="00AA0AA8" w:rsidRPr="00105FFC">
        <w:rPr>
          <w:rFonts w:asciiTheme="minorHAnsi" w:hAnsiTheme="minorHAnsi"/>
          <w:b w:val="0"/>
          <w:color w:val="auto"/>
          <w:sz w:val="20"/>
          <w:szCs w:val="20"/>
        </w:rPr>
        <w:t xml:space="preserve">  Behavioral Health Provider </w:t>
      </w:r>
      <w:r w:rsidRPr="00105FFC">
        <w:rPr>
          <w:rFonts w:asciiTheme="minorHAnsi" w:hAnsiTheme="minorHAnsi"/>
          <w:b w:val="0"/>
          <w:color w:val="auto"/>
          <w:sz w:val="20"/>
          <w:szCs w:val="20"/>
        </w:rPr>
        <w:t>Definition</w:t>
      </w:r>
      <w:bookmarkEnd w:id="207"/>
      <w:bookmarkEnd w:id="208"/>
    </w:p>
    <w:tbl>
      <w:tblPr>
        <w:tblStyle w:val="GridTable6Colorful-Accent11"/>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5720"/>
      </w:tblGrid>
      <w:tr w:rsidR="00AA0AA8" w:rsidRPr="00105FFC" w14:paraId="25D9F759" w14:textId="77777777" w:rsidTr="000739EB">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3000" w:type="dxa"/>
            <w:tcBorders>
              <w:bottom w:val="none" w:sz="0" w:space="0" w:color="auto"/>
            </w:tcBorders>
            <w:noWrap/>
            <w:vAlign w:val="center"/>
            <w:hideMark/>
          </w:tcPr>
          <w:p w14:paraId="1CEDE35E" w14:textId="77777777" w:rsidR="00AA0AA8" w:rsidRPr="00105FFC" w:rsidRDefault="00AA0AA8" w:rsidP="00AA0AA8">
            <w:pPr>
              <w:spacing w:line="276" w:lineRule="auto"/>
              <w:jc w:val="center"/>
              <w:rPr>
                <w:rFonts w:asciiTheme="minorHAnsi" w:hAnsiTheme="minorHAnsi"/>
                <w:bCs w:val="0"/>
                <w:color w:val="000000"/>
                <w:sz w:val="20"/>
                <w:szCs w:val="20"/>
              </w:rPr>
            </w:pPr>
            <w:r w:rsidRPr="00105FFC">
              <w:rPr>
                <w:rFonts w:asciiTheme="minorHAnsi" w:hAnsiTheme="minorHAnsi"/>
                <w:bCs w:val="0"/>
                <w:color w:val="000000"/>
                <w:sz w:val="20"/>
                <w:szCs w:val="20"/>
              </w:rPr>
              <w:t>Behavioral Health Providers  -  Physicians, Physician Groups, and Other Non-Physician Providers</w:t>
            </w:r>
          </w:p>
        </w:tc>
        <w:tc>
          <w:tcPr>
            <w:tcW w:w="5720" w:type="dxa"/>
            <w:tcBorders>
              <w:bottom w:val="none" w:sz="0" w:space="0" w:color="auto"/>
            </w:tcBorders>
            <w:vAlign w:val="center"/>
          </w:tcPr>
          <w:p w14:paraId="6D3859CD" w14:textId="77777777" w:rsidR="00AA0AA8" w:rsidRPr="00105FFC" w:rsidRDefault="00AA0AA8" w:rsidP="00AA0AA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0"/>
                <w:szCs w:val="20"/>
              </w:rPr>
            </w:pPr>
            <w:r w:rsidRPr="00105FFC">
              <w:rPr>
                <w:rFonts w:asciiTheme="minorHAnsi" w:hAnsiTheme="minorHAnsi"/>
                <w:bCs w:val="0"/>
                <w:color w:val="000000"/>
                <w:sz w:val="20"/>
                <w:szCs w:val="20"/>
              </w:rPr>
              <w:t>Medi-Cal Provider Type</w:t>
            </w:r>
          </w:p>
        </w:tc>
      </w:tr>
      <w:tr w:rsidR="00AA0AA8" w:rsidRPr="00105FFC" w14:paraId="6726B571" w14:textId="77777777" w:rsidTr="00AF221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000" w:type="dxa"/>
            <w:vMerge w:val="restart"/>
            <w:noWrap/>
            <w:vAlign w:val="center"/>
            <w:hideMark/>
          </w:tcPr>
          <w:p w14:paraId="35F2DE22" w14:textId="77777777" w:rsidR="00AA0AA8" w:rsidRPr="00105FFC" w:rsidRDefault="00AA0AA8" w:rsidP="00AA0AA8">
            <w:pPr>
              <w:spacing w:line="276" w:lineRule="auto"/>
              <w:jc w:val="center"/>
              <w:rPr>
                <w:rFonts w:asciiTheme="minorHAnsi" w:hAnsiTheme="minorHAnsi"/>
                <w:b w:val="0"/>
                <w:color w:val="000000"/>
                <w:sz w:val="20"/>
                <w:szCs w:val="20"/>
              </w:rPr>
            </w:pPr>
            <w:r w:rsidRPr="00105FFC">
              <w:rPr>
                <w:rFonts w:asciiTheme="minorHAnsi" w:hAnsiTheme="minorHAnsi"/>
                <w:b w:val="0"/>
                <w:color w:val="000000"/>
                <w:sz w:val="20"/>
                <w:szCs w:val="20"/>
              </w:rPr>
              <w:t>Physicians and Physician Groups</w:t>
            </w:r>
          </w:p>
        </w:tc>
        <w:tc>
          <w:tcPr>
            <w:tcW w:w="5720" w:type="dxa"/>
            <w:noWrap/>
            <w:vAlign w:val="center"/>
            <w:hideMark/>
          </w:tcPr>
          <w:p w14:paraId="41409F29"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Psychiatry (child)</w:t>
            </w:r>
          </w:p>
        </w:tc>
      </w:tr>
      <w:tr w:rsidR="00AA0AA8" w:rsidRPr="00105FFC" w14:paraId="025A8306" w14:textId="77777777" w:rsidTr="00AF2210">
        <w:trPr>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30BB02D" w14:textId="77777777" w:rsidR="00AA0AA8" w:rsidRPr="00105FFC" w:rsidRDefault="00AA0AA8" w:rsidP="00AA0AA8">
            <w:pPr>
              <w:spacing w:line="276" w:lineRule="auto"/>
              <w:rPr>
                <w:rFonts w:asciiTheme="minorHAnsi" w:hAnsiTheme="minorHAnsi"/>
                <w:b w:val="0"/>
                <w:color w:val="000000"/>
                <w:sz w:val="20"/>
                <w:szCs w:val="20"/>
              </w:rPr>
            </w:pPr>
          </w:p>
        </w:tc>
        <w:tc>
          <w:tcPr>
            <w:tcW w:w="5720" w:type="dxa"/>
            <w:noWrap/>
            <w:vAlign w:val="center"/>
            <w:hideMark/>
          </w:tcPr>
          <w:p w14:paraId="02729F6B"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Psychiatry Neurology (D.O. only)</w:t>
            </w:r>
          </w:p>
        </w:tc>
      </w:tr>
      <w:tr w:rsidR="00AA0AA8" w:rsidRPr="00105FFC" w14:paraId="5CD7E490" w14:textId="77777777" w:rsidTr="00AF221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56124AB" w14:textId="77777777" w:rsidR="00AA0AA8" w:rsidRPr="00105FFC" w:rsidRDefault="00AA0AA8" w:rsidP="00AA0AA8">
            <w:pPr>
              <w:spacing w:line="276" w:lineRule="auto"/>
              <w:rPr>
                <w:rFonts w:asciiTheme="minorHAnsi" w:hAnsiTheme="minorHAnsi"/>
                <w:b w:val="0"/>
                <w:color w:val="000000"/>
                <w:sz w:val="20"/>
                <w:szCs w:val="20"/>
              </w:rPr>
            </w:pPr>
          </w:p>
        </w:tc>
        <w:tc>
          <w:tcPr>
            <w:tcW w:w="5720" w:type="dxa"/>
            <w:noWrap/>
            <w:vAlign w:val="center"/>
            <w:hideMark/>
          </w:tcPr>
          <w:p w14:paraId="5AC89A64"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Psychiatry</w:t>
            </w:r>
          </w:p>
        </w:tc>
      </w:tr>
      <w:tr w:rsidR="00AA0AA8" w:rsidRPr="00105FFC" w14:paraId="1C31794A" w14:textId="77777777" w:rsidTr="00AF2210">
        <w:trPr>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1685A47" w14:textId="77777777" w:rsidR="00AA0AA8" w:rsidRPr="00105FFC" w:rsidRDefault="00AA0AA8" w:rsidP="00AA0AA8">
            <w:pPr>
              <w:spacing w:line="276" w:lineRule="auto"/>
              <w:rPr>
                <w:rFonts w:asciiTheme="minorHAnsi" w:hAnsiTheme="minorHAnsi"/>
                <w:b w:val="0"/>
                <w:color w:val="000000"/>
                <w:sz w:val="20"/>
                <w:szCs w:val="20"/>
              </w:rPr>
            </w:pPr>
          </w:p>
        </w:tc>
        <w:tc>
          <w:tcPr>
            <w:tcW w:w="5720" w:type="dxa"/>
            <w:noWrap/>
            <w:vAlign w:val="center"/>
            <w:hideMark/>
          </w:tcPr>
          <w:p w14:paraId="7B5C3A32"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Marriage, family and child counselor</w:t>
            </w:r>
          </w:p>
        </w:tc>
      </w:tr>
      <w:tr w:rsidR="00AA0AA8" w:rsidRPr="00105FFC" w14:paraId="77DE68DF" w14:textId="77777777" w:rsidTr="00AF221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106DFBB" w14:textId="77777777" w:rsidR="00AA0AA8" w:rsidRPr="00105FFC" w:rsidRDefault="00AA0AA8" w:rsidP="00AA0AA8">
            <w:pPr>
              <w:spacing w:line="276" w:lineRule="auto"/>
              <w:rPr>
                <w:rFonts w:asciiTheme="minorHAnsi" w:hAnsiTheme="minorHAnsi"/>
                <w:b w:val="0"/>
                <w:color w:val="000000"/>
                <w:sz w:val="20"/>
                <w:szCs w:val="20"/>
              </w:rPr>
            </w:pPr>
          </w:p>
        </w:tc>
        <w:tc>
          <w:tcPr>
            <w:tcW w:w="5720" w:type="dxa"/>
            <w:noWrap/>
            <w:vAlign w:val="center"/>
            <w:hideMark/>
          </w:tcPr>
          <w:p w14:paraId="6FC1C639"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Licensed clinical social worker</w:t>
            </w:r>
          </w:p>
        </w:tc>
      </w:tr>
      <w:tr w:rsidR="00AA0AA8" w:rsidRPr="00105FFC" w14:paraId="3C84DE85" w14:textId="77777777" w:rsidTr="00AF2210">
        <w:trPr>
          <w:trHeight w:val="252"/>
        </w:trPr>
        <w:tc>
          <w:tcPr>
            <w:cnfStyle w:val="001000000000" w:firstRow="0" w:lastRow="0" w:firstColumn="1" w:lastColumn="0" w:oddVBand="0" w:evenVBand="0" w:oddHBand="0" w:evenHBand="0" w:firstRowFirstColumn="0" w:firstRowLastColumn="0" w:lastRowFirstColumn="0" w:lastRowLastColumn="0"/>
            <w:tcW w:w="3000" w:type="dxa"/>
            <w:vMerge w:val="restart"/>
            <w:noWrap/>
            <w:vAlign w:val="center"/>
            <w:hideMark/>
          </w:tcPr>
          <w:p w14:paraId="2A6A3012" w14:textId="77777777" w:rsidR="00AA0AA8" w:rsidRPr="00105FFC" w:rsidRDefault="00AA0AA8" w:rsidP="00AA0AA8">
            <w:pPr>
              <w:spacing w:line="276" w:lineRule="auto"/>
              <w:jc w:val="center"/>
              <w:rPr>
                <w:rFonts w:asciiTheme="minorHAnsi" w:hAnsiTheme="minorHAnsi"/>
                <w:b w:val="0"/>
                <w:color w:val="000000"/>
                <w:sz w:val="20"/>
                <w:szCs w:val="20"/>
              </w:rPr>
            </w:pPr>
            <w:r w:rsidRPr="00105FFC">
              <w:rPr>
                <w:rFonts w:asciiTheme="minorHAnsi" w:hAnsiTheme="minorHAnsi"/>
                <w:b w:val="0"/>
                <w:color w:val="000000"/>
                <w:sz w:val="20"/>
                <w:szCs w:val="20"/>
              </w:rPr>
              <w:t>Other Non-Physician Providers</w:t>
            </w:r>
          </w:p>
        </w:tc>
        <w:tc>
          <w:tcPr>
            <w:tcW w:w="5720" w:type="dxa"/>
            <w:noWrap/>
            <w:vAlign w:val="center"/>
            <w:hideMark/>
          </w:tcPr>
          <w:p w14:paraId="46C2DC29"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PSYCHOLOGISTS</w:t>
            </w:r>
          </w:p>
        </w:tc>
      </w:tr>
      <w:tr w:rsidR="00AA1483" w:rsidRPr="00105FFC" w14:paraId="0B85A03A" w14:textId="77777777" w:rsidTr="00AF221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59750C" w14:textId="77777777" w:rsidR="00AA1483" w:rsidRPr="00105FFC" w:rsidRDefault="00AA1483" w:rsidP="00AA1483">
            <w:pPr>
              <w:spacing w:line="276" w:lineRule="auto"/>
              <w:rPr>
                <w:rFonts w:asciiTheme="minorHAnsi" w:hAnsiTheme="minorHAnsi"/>
                <w:color w:val="000000"/>
                <w:sz w:val="20"/>
                <w:szCs w:val="20"/>
              </w:rPr>
            </w:pPr>
          </w:p>
        </w:tc>
        <w:tc>
          <w:tcPr>
            <w:tcW w:w="5720" w:type="dxa"/>
            <w:noWrap/>
            <w:vAlign w:val="center"/>
            <w:hideMark/>
          </w:tcPr>
          <w:p w14:paraId="12EC3A4F" w14:textId="77777777" w:rsidR="00AA1483" w:rsidRPr="00105FFC" w:rsidRDefault="00AA1483" w:rsidP="00AA148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LICENSED CLINICAL SOCIAL WORKER INDIVIDUAL</w:t>
            </w:r>
          </w:p>
        </w:tc>
      </w:tr>
      <w:tr w:rsidR="00AA1483" w:rsidRPr="00105FFC" w14:paraId="78FC5B6D" w14:textId="77777777" w:rsidTr="00AF2210">
        <w:trPr>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060750A" w14:textId="77777777" w:rsidR="00AA1483" w:rsidRPr="00105FFC" w:rsidRDefault="00AA1483" w:rsidP="00AA1483">
            <w:pPr>
              <w:spacing w:line="276" w:lineRule="auto"/>
              <w:rPr>
                <w:rFonts w:asciiTheme="minorHAnsi" w:hAnsiTheme="minorHAnsi"/>
                <w:color w:val="000000"/>
                <w:sz w:val="20"/>
                <w:szCs w:val="20"/>
              </w:rPr>
            </w:pPr>
          </w:p>
        </w:tc>
        <w:tc>
          <w:tcPr>
            <w:tcW w:w="5720" w:type="dxa"/>
            <w:noWrap/>
            <w:vAlign w:val="center"/>
            <w:hideMark/>
          </w:tcPr>
          <w:p w14:paraId="2F76BB4E" w14:textId="77777777" w:rsidR="00AA1483" w:rsidRPr="00105FFC" w:rsidRDefault="00AA1483" w:rsidP="00AA148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LICENSED CLINICAL SOCIAL WORKER GROUP</w:t>
            </w:r>
          </w:p>
        </w:tc>
      </w:tr>
      <w:tr w:rsidR="00AA1483" w:rsidRPr="00105FFC" w14:paraId="508840DA" w14:textId="77777777" w:rsidTr="00AA148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44C585E" w14:textId="77777777" w:rsidR="00AA1483" w:rsidRPr="00105FFC" w:rsidRDefault="00AA1483" w:rsidP="00AA1483">
            <w:pPr>
              <w:spacing w:line="276" w:lineRule="auto"/>
              <w:rPr>
                <w:rFonts w:asciiTheme="minorHAnsi" w:hAnsiTheme="minorHAnsi"/>
                <w:color w:val="000000"/>
                <w:sz w:val="20"/>
                <w:szCs w:val="20"/>
              </w:rPr>
            </w:pPr>
          </w:p>
        </w:tc>
        <w:tc>
          <w:tcPr>
            <w:tcW w:w="5720" w:type="dxa"/>
            <w:noWrap/>
            <w:vAlign w:val="center"/>
          </w:tcPr>
          <w:p w14:paraId="7FE6B3AF" w14:textId="77777777" w:rsidR="00AA1483" w:rsidRPr="00105FFC" w:rsidRDefault="00AA1483" w:rsidP="00AA148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MARRIAGE AND FAMILY THERAPIST INIDIVIDUAL</w:t>
            </w:r>
          </w:p>
        </w:tc>
      </w:tr>
      <w:tr w:rsidR="00AA1483" w:rsidRPr="00105FFC" w14:paraId="16C347B1" w14:textId="77777777" w:rsidTr="00AA1483">
        <w:trPr>
          <w:trHeight w:val="2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62CC3D7" w14:textId="77777777" w:rsidR="00AA1483" w:rsidRPr="00105FFC" w:rsidRDefault="00AA1483" w:rsidP="00AA1483">
            <w:pPr>
              <w:spacing w:line="276" w:lineRule="auto"/>
              <w:rPr>
                <w:rFonts w:asciiTheme="minorHAnsi" w:hAnsiTheme="minorHAnsi"/>
                <w:color w:val="000000"/>
                <w:sz w:val="20"/>
                <w:szCs w:val="20"/>
              </w:rPr>
            </w:pPr>
          </w:p>
        </w:tc>
        <w:tc>
          <w:tcPr>
            <w:tcW w:w="5720" w:type="dxa"/>
            <w:noWrap/>
            <w:vAlign w:val="center"/>
          </w:tcPr>
          <w:p w14:paraId="4E61BE03" w14:textId="77777777" w:rsidR="00AA1483" w:rsidRPr="00105FFC" w:rsidRDefault="00AA1483" w:rsidP="00AA148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MARRIAGE AND FAMILY THERAPIST GROUP</w:t>
            </w:r>
          </w:p>
        </w:tc>
      </w:tr>
    </w:tbl>
    <w:p w14:paraId="5CA21988" w14:textId="77777777" w:rsidR="00AA0AA8" w:rsidRPr="00105FFC" w:rsidRDefault="00AA0AA8" w:rsidP="00AA0AA8">
      <w:pPr>
        <w:rPr>
          <w:rFonts w:asciiTheme="minorHAnsi" w:hAnsiTheme="minorHAnsi"/>
        </w:rPr>
      </w:pPr>
    </w:p>
    <w:p w14:paraId="51BA5424" w14:textId="77777777" w:rsidR="00AA0AA8" w:rsidRPr="00105FFC" w:rsidRDefault="00AA0AA8" w:rsidP="00AF2210">
      <w:pPr>
        <w:spacing w:line="276" w:lineRule="auto"/>
        <w:rPr>
          <w:rFonts w:asciiTheme="minorHAnsi" w:hAnsiTheme="minorHAnsi"/>
        </w:rPr>
      </w:pPr>
      <w:r w:rsidRPr="00105FFC">
        <w:rPr>
          <w:rFonts w:asciiTheme="minorHAnsi" w:hAnsiTheme="minorHAnsi"/>
        </w:rPr>
        <w:t xml:space="preserve">The pre and post-natal service category included physicians, physician groups, and other non-physician providers.  Table </w:t>
      </w:r>
      <w:r w:rsidR="00AF2210" w:rsidRPr="00105FFC">
        <w:rPr>
          <w:rFonts w:asciiTheme="minorHAnsi" w:hAnsiTheme="minorHAnsi"/>
        </w:rPr>
        <w:t>14</w:t>
      </w:r>
      <w:r w:rsidRPr="00105FFC">
        <w:rPr>
          <w:rFonts w:asciiTheme="minorHAnsi" w:hAnsiTheme="minorHAnsi"/>
        </w:rPr>
        <w:t xml:space="preserve"> presents the list of Medi-Cal provider types constituting this service category.</w:t>
      </w:r>
    </w:p>
    <w:p w14:paraId="743ACBD5" w14:textId="77777777" w:rsidR="00174B40" w:rsidRPr="00105FFC" w:rsidRDefault="00174B40">
      <w:pPr>
        <w:spacing w:after="200" w:line="276" w:lineRule="auto"/>
        <w:rPr>
          <w:rFonts w:asciiTheme="minorHAnsi" w:hAnsiTheme="minorHAnsi"/>
        </w:rPr>
      </w:pPr>
      <w:r w:rsidRPr="00105FFC">
        <w:rPr>
          <w:rFonts w:asciiTheme="minorHAnsi" w:hAnsiTheme="minorHAnsi"/>
        </w:rPr>
        <w:br w:type="page"/>
      </w:r>
    </w:p>
    <w:p w14:paraId="0EAA93A8" w14:textId="77777777" w:rsidR="00AA0AA8" w:rsidRPr="00105FFC" w:rsidRDefault="00AF2210" w:rsidP="00AF2210">
      <w:pPr>
        <w:pStyle w:val="Caption"/>
        <w:spacing w:after="0"/>
        <w:rPr>
          <w:rFonts w:asciiTheme="minorHAnsi" w:hAnsiTheme="minorHAnsi"/>
          <w:color w:val="auto"/>
          <w:sz w:val="20"/>
          <w:szCs w:val="20"/>
        </w:rPr>
      </w:pPr>
      <w:bookmarkStart w:id="209" w:name="_Toc458783089"/>
      <w:bookmarkStart w:id="210" w:name="_Toc459285159"/>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14</w:t>
      </w:r>
      <w:r w:rsidRPr="00105FFC">
        <w:rPr>
          <w:rFonts w:asciiTheme="minorHAnsi" w:hAnsiTheme="minorHAnsi"/>
          <w:color w:val="auto"/>
          <w:sz w:val="20"/>
          <w:szCs w:val="20"/>
        </w:rPr>
        <w:fldChar w:fldCharType="end"/>
      </w:r>
      <w:r w:rsidR="00AA0AA8" w:rsidRPr="00105FFC">
        <w:rPr>
          <w:rFonts w:asciiTheme="minorHAnsi" w:hAnsiTheme="minorHAnsi"/>
          <w:color w:val="auto"/>
          <w:sz w:val="20"/>
          <w:szCs w:val="20"/>
        </w:rPr>
        <w:t xml:space="preserve">:  </w:t>
      </w:r>
      <w:r w:rsidR="00AA0AA8" w:rsidRPr="00105FFC">
        <w:rPr>
          <w:rFonts w:asciiTheme="minorHAnsi" w:hAnsiTheme="minorHAnsi"/>
          <w:b w:val="0"/>
          <w:color w:val="auto"/>
          <w:sz w:val="20"/>
          <w:szCs w:val="20"/>
        </w:rPr>
        <w:t>Pre and Post-Natal Service Category</w:t>
      </w:r>
      <w:bookmarkEnd w:id="209"/>
      <w:bookmarkEnd w:id="210"/>
    </w:p>
    <w:tbl>
      <w:tblPr>
        <w:tblStyle w:val="GridTable6Colorful-Accent11"/>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0"/>
        <w:gridCol w:w="5720"/>
      </w:tblGrid>
      <w:tr w:rsidR="00AA0AA8" w:rsidRPr="00105FFC" w14:paraId="06A4845C" w14:textId="77777777" w:rsidTr="000739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70" w:type="dxa"/>
            <w:tcBorders>
              <w:bottom w:val="none" w:sz="0" w:space="0" w:color="auto"/>
            </w:tcBorders>
            <w:noWrap/>
            <w:hideMark/>
          </w:tcPr>
          <w:p w14:paraId="40EF4F73" w14:textId="77777777" w:rsidR="00AA0AA8" w:rsidRPr="00105FFC" w:rsidRDefault="00AA0AA8" w:rsidP="00AA0AA8">
            <w:pPr>
              <w:spacing w:line="276" w:lineRule="auto"/>
              <w:jc w:val="center"/>
              <w:rPr>
                <w:rFonts w:asciiTheme="minorHAnsi" w:hAnsiTheme="minorHAnsi"/>
                <w:bCs w:val="0"/>
                <w:color w:val="000000"/>
                <w:sz w:val="20"/>
                <w:szCs w:val="20"/>
              </w:rPr>
            </w:pPr>
            <w:r w:rsidRPr="00105FFC">
              <w:rPr>
                <w:rFonts w:asciiTheme="minorHAnsi" w:hAnsiTheme="minorHAnsi"/>
                <w:bCs w:val="0"/>
                <w:color w:val="000000"/>
                <w:sz w:val="20"/>
                <w:szCs w:val="20"/>
              </w:rPr>
              <w:t>Pre and Post Natal Providers - Physicians, Physicians Groups and Other Non-Physician Providers</w:t>
            </w:r>
          </w:p>
        </w:tc>
        <w:tc>
          <w:tcPr>
            <w:tcW w:w="5750" w:type="dxa"/>
            <w:gridSpan w:val="2"/>
            <w:tcBorders>
              <w:bottom w:val="none" w:sz="0" w:space="0" w:color="auto"/>
            </w:tcBorders>
          </w:tcPr>
          <w:p w14:paraId="37C7CA31" w14:textId="77777777" w:rsidR="00AA0AA8" w:rsidRPr="00105FFC" w:rsidRDefault="00AA0AA8" w:rsidP="00AA0AA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0"/>
                <w:szCs w:val="20"/>
              </w:rPr>
            </w:pPr>
            <w:r w:rsidRPr="00105FFC">
              <w:rPr>
                <w:rFonts w:asciiTheme="minorHAnsi" w:hAnsiTheme="minorHAnsi"/>
                <w:bCs w:val="0"/>
                <w:color w:val="000000"/>
                <w:sz w:val="20"/>
                <w:szCs w:val="20"/>
              </w:rPr>
              <w:t>Medi-Cal Provider Type</w:t>
            </w:r>
          </w:p>
        </w:tc>
      </w:tr>
      <w:tr w:rsidR="00AA0AA8" w:rsidRPr="00105FFC" w14:paraId="4A185483" w14:textId="77777777" w:rsidTr="00AF2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gridSpan w:val="2"/>
            <w:vMerge w:val="restart"/>
            <w:noWrap/>
            <w:hideMark/>
          </w:tcPr>
          <w:p w14:paraId="707666A1" w14:textId="77777777" w:rsidR="00AA0AA8" w:rsidRPr="00105FFC" w:rsidRDefault="00AA0AA8" w:rsidP="00AA0AA8">
            <w:pPr>
              <w:spacing w:line="276" w:lineRule="auto"/>
              <w:jc w:val="center"/>
              <w:rPr>
                <w:rFonts w:asciiTheme="minorHAnsi" w:hAnsiTheme="minorHAnsi"/>
                <w:b w:val="0"/>
                <w:color w:val="000000"/>
                <w:sz w:val="20"/>
                <w:szCs w:val="20"/>
              </w:rPr>
            </w:pPr>
            <w:r w:rsidRPr="00105FFC">
              <w:rPr>
                <w:rFonts w:asciiTheme="minorHAnsi" w:hAnsiTheme="minorHAnsi"/>
                <w:b w:val="0"/>
                <w:color w:val="000000"/>
                <w:sz w:val="20"/>
                <w:szCs w:val="20"/>
              </w:rPr>
              <w:t>Physicians and Physician Groups</w:t>
            </w:r>
          </w:p>
        </w:tc>
        <w:tc>
          <w:tcPr>
            <w:tcW w:w="5720" w:type="dxa"/>
            <w:noWrap/>
            <w:hideMark/>
          </w:tcPr>
          <w:p w14:paraId="094C2AF3"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Gynecology (D.O. only)</w:t>
            </w:r>
          </w:p>
        </w:tc>
      </w:tr>
      <w:tr w:rsidR="00AA0AA8" w:rsidRPr="00105FFC" w14:paraId="5CD1E3F4" w14:textId="77777777" w:rsidTr="00AF2210">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14:paraId="226F1430" w14:textId="77777777" w:rsidR="00AA0AA8" w:rsidRPr="00105FFC" w:rsidRDefault="00AA0AA8" w:rsidP="00AA0AA8">
            <w:pPr>
              <w:spacing w:line="276" w:lineRule="auto"/>
              <w:rPr>
                <w:rFonts w:asciiTheme="minorHAnsi" w:hAnsiTheme="minorHAnsi"/>
                <w:b w:val="0"/>
                <w:color w:val="000000"/>
                <w:sz w:val="20"/>
                <w:szCs w:val="20"/>
              </w:rPr>
            </w:pPr>
          </w:p>
        </w:tc>
        <w:tc>
          <w:tcPr>
            <w:tcW w:w="5720" w:type="dxa"/>
            <w:noWrap/>
            <w:hideMark/>
          </w:tcPr>
          <w:p w14:paraId="1A662CD0"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Obstetrics (D.O. only), Endodontist (Dentists Only)</w:t>
            </w:r>
          </w:p>
        </w:tc>
      </w:tr>
      <w:tr w:rsidR="00AA0AA8" w:rsidRPr="00105FFC" w14:paraId="231D9AED" w14:textId="77777777" w:rsidTr="00AF2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14:paraId="7B22F0E9" w14:textId="77777777" w:rsidR="00AA0AA8" w:rsidRPr="00105FFC" w:rsidRDefault="00AA0AA8" w:rsidP="00AA0AA8">
            <w:pPr>
              <w:spacing w:line="276" w:lineRule="auto"/>
              <w:rPr>
                <w:rFonts w:asciiTheme="minorHAnsi" w:hAnsiTheme="minorHAnsi"/>
                <w:b w:val="0"/>
                <w:color w:val="000000"/>
                <w:sz w:val="20"/>
                <w:szCs w:val="20"/>
              </w:rPr>
            </w:pPr>
          </w:p>
        </w:tc>
        <w:tc>
          <w:tcPr>
            <w:tcW w:w="5720" w:type="dxa"/>
            <w:noWrap/>
            <w:hideMark/>
          </w:tcPr>
          <w:p w14:paraId="068122B8"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Obstetrics-Gynecology (M.D. Only) Neonatal</w:t>
            </w:r>
          </w:p>
        </w:tc>
      </w:tr>
      <w:tr w:rsidR="00AA0AA8" w:rsidRPr="00105FFC" w14:paraId="3920DE9A" w14:textId="77777777" w:rsidTr="00AF2210">
        <w:trPr>
          <w:trHeight w:val="300"/>
        </w:trPr>
        <w:tc>
          <w:tcPr>
            <w:cnfStyle w:val="001000000000" w:firstRow="0" w:lastRow="0" w:firstColumn="1" w:lastColumn="0" w:oddVBand="0" w:evenVBand="0" w:oddHBand="0" w:evenHBand="0" w:firstRowFirstColumn="0" w:firstRowLastColumn="0" w:lastRowFirstColumn="0" w:lastRowLastColumn="0"/>
            <w:tcW w:w="3000" w:type="dxa"/>
            <w:gridSpan w:val="2"/>
            <w:vMerge w:val="restart"/>
            <w:noWrap/>
            <w:hideMark/>
          </w:tcPr>
          <w:p w14:paraId="41CD44C6" w14:textId="77777777" w:rsidR="00AA0AA8" w:rsidRPr="00105FFC" w:rsidRDefault="00AA0AA8" w:rsidP="00AA0AA8">
            <w:pPr>
              <w:spacing w:line="276" w:lineRule="auto"/>
              <w:jc w:val="center"/>
              <w:rPr>
                <w:rFonts w:asciiTheme="minorHAnsi" w:hAnsiTheme="minorHAnsi"/>
                <w:b w:val="0"/>
                <w:color w:val="000000"/>
                <w:sz w:val="20"/>
                <w:szCs w:val="20"/>
              </w:rPr>
            </w:pPr>
            <w:r w:rsidRPr="00105FFC">
              <w:rPr>
                <w:rFonts w:asciiTheme="minorHAnsi" w:hAnsiTheme="minorHAnsi"/>
                <w:b w:val="0"/>
                <w:color w:val="000000"/>
                <w:sz w:val="20"/>
                <w:szCs w:val="20"/>
              </w:rPr>
              <w:t>Other Non-Physician Providers</w:t>
            </w:r>
          </w:p>
        </w:tc>
        <w:tc>
          <w:tcPr>
            <w:tcW w:w="5720" w:type="dxa"/>
            <w:noWrap/>
            <w:hideMark/>
          </w:tcPr>
          <w:p w14:paraId="7AD42F20"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CERTIFIED NURSE MIDWIFE</w:t>
            </w:r>
          </w:p>
        </w:tc>
      </w:tr>
      <w:tr w:rsidR="00AA0AA8" w:rsidRPr="00105FFC" w14:paraId="30BE4522" w14:textId="77777777" w:rsidTr="00AF2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14:paraId="3D089D13"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hideMark/>
          </w:tcPr>
          <w:p w14:paraId="0E7EC7A9"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BIRTHING CENTER SERVICES</w:t>
            </w:r>
          </w:p>
        </w:tc>
      </w:tr>
      <w:tr w:rsidR="00AA0AA8" w:rsidRPr="00105FFC" w14:paraId="37FACA7C" w14:textId="77777777" w:rsidTr="00AF2210">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14:paraId="0E6EFFAC" w14:textId="77777777" w:rsidR="00AA0AA8" w:rsidRPr="00105FFC" w:rsidRDefault="00AA0AA8" w:rsidP="00AA0AA8">
            <w:pPr>
              <w:spacing w:line="276" w:lineRule="auto"/>
              <w:rPr>
                <w:rFonts w:asciiTheme="minorHAnsi" w:hAnsiTheme="minorHAnsi"/>
                <w:color w:val="000000"/>
                <w:sz w:val="20"/>
                <w:szCs w:val="20"/>
              </w:rPr>
            </w:pPr>
          </w:p>
        </w:tc>
        <w:tc>
          <w:tcPr>
            <w:tcW w:w="5720" w:type="dxa"/>
            <w:noWrap/>
            <w:hideMark/>
          </w:tcPr>
          <w:p w14:paraId="5353268D" w14:textId="77777777" w:rsidR="00AA0AA8" w:rsidRPr="00105FFC" w:rsidRDefault="00AA0AA8" w:rsidP="00AA0AA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ALTERNATIVE BIRTH CENTERS - SPECIALTY CLINIC</w:t>
            </w:r>
          </w:p>
        </w:tc>
      </w:tr>
    </w:tbl>
    <w:p w14:paraId="2B36DA07" w14:textId="77777777" w:rsidR="00AA0AA8" w:rsidRPr="00105FFC" w:rsidRDefault="00AA0AA8" w:rsidP="00AA0AA8">
      <w:pPr>
        <w:rPr>
          <w:rFonts w:asciiTheme="minorHAnsi" w:hAnsiTheme="minorHAnsi"/>
        </w:rPr>
      </w:pPr>
    </w:p>
    <w:p w14:paraId="7257165B" w14:textId="77777777" w:rsidR="00AA0AA8" w:rsidRPr="00105FFC" w:rsidRDefault="00AA0AA8" w:rsidP="00AF2210">
      <w:pPr>
        <w:spacing w:line="276" w:lineRule="auto"/>
        <w:rPr>
          <w:rFonts w:asciiTheme="minorHAnsi" w:hAnsiTheme="minorHAnsi"/>
        </w:rPr>
      </w:pPr>
      <w:r w:rsidRPr="00105FFC">
        <w:rPr>
          <w:rFonts w:asciiTheme="minorHAnsi" w:hAnsiTheme="minorHAnsi"/>
        </w:rPr>
        <w:t xml:space="preserve">The health home service category included one Medi-Cal provider type that captured all health home services.  The Provider Master File includes health home agencies as a unique provider type.  </w:t>
      </w:r>
    </w:p>
    <w:p w14:paraId="12019CC5" w14:textId="77777777" w:rsidR="00AA0AA8" w:rsidRPr="00105FFC" w:rsidRDefault="00AA0AA8" w:rsidP="00AA0AA8">
      <w:pPr>
        <w:rPr>
          <w:rFonts w:asciiTheme="minorHAnsi" w:hAnsiTheme="minorHAnsi"/>
        </w:rPr>
      </w:pPr>
    </w:p>
    <w:p w14:paraId="62E7E0D8" w14:textId="77777777" w:rsidR="00AA0AA8" w:rsidRPr="00105FFC" w:rsidRDefault="00AF2210" w:rsidP="00AF2210">
      <w:pPr>
        <w:pStyle w:val="Caption"/>
        <w:spacing w:after="0"/>
        <w:rPr>
          <w:rFonts w:asciiTheme="minorHAnsi" w:hAnsiTheme="minorHAnsi"/>
          <w:color w:val="auto"/>
          <w:sz w:val="20"/>
          <w:szCs w:val="20"/>
        </w:rPr>
      </w:pPr>
      <w:bookmarkStart w:id="211" w:name="_Toc458783090"/>
      <w:bookmarkStart w:id="212" w:name="_Toc459285160"/>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15</w:t>
      </w:r>
      <w:r w:rsidRPr="00105FFC">
        <w:rPr>
          <w:rFonts w:asciiTheme="minorHAnsi" w:hAnsiTheme="minorHAnsi"/>
          <w:color w:val="auto"/>
          <w:sz w:val="20"/>
          <w:szCs w:val="20"/>
        </w:rPr>
        <w:fldChar w:fldCharType="end"/>
      </w:r>
      <w:r w:rsidR="00AA0AA8" w:rsidRPr="00105FFC">
        <w:rPr>
          <w:rFonts w:asciiTheme="minorHAnsi" w:hAnsiTheme="minorHAnsi"/>
          <w:color w:val="auto"/>
          <w:sz w:val="20"/>
          <w:szCs w:val="20"/>
        </w:rPr>
        <w:t xml:space="preserve">:  </w:t>
      </w:r>
      <w:r w:rsidR="00AA0AA8" w:rsidRPr="00105FFC">
        <w:rPr>
          <w:rFonts w:asciiTheme="minorHAnsi" w:hAnsiTheme="minorHAnsi"/>
          <w:b w:val="0"/>
          <w:color w:val="auto"/>
          <w:sz w:val="20"/>
          <w:szCs w:val="20"/>
        </w:rPr>
        <w:t>Health Home Service Category</w:t>
      </w:r>
      <w:bookmarkEnd w:id="211"/>
      <w:bookmarkEnd w:id="212"/>
    </w:p>
    <w:tbl>
      <w:tblPr>
        <w:tblStyle w:val="GridTable6Colorful-Accent11"/>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0"/>
        <w:gridCol w:w="5720"/>
      </w:tblGrid>
      <w:tr w:rsidR="00AA0AA8" w:rsidRPr="00105FFC" w14:paraId="0304C18A" w14:textId="77777777" w:rsidTr="000739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70" w:type="dxa"/>
            <w:tcBorders>
              <w:bottom w:val="none" w:sz="0" w:space="0" w:color="auto"/>
            </w:tcBorders>
            <w:noWrap/>
            <w:hideMark/>
          </w:tcPr>
          <w:p w14:paraId="74A9AFE8" w14:textId="77777777" w:rsidR="00AA0AA8" w:rsidRPr="00105FFC" w:rsidRDefault="00AA0AA8" w:rsidP="00AA0AA8">
            <w:pPr>
              <w:spacing w:line="276" w:lineRule="auto"/>
              <w:jc w:val="center"/>
              <w:rPr>
                <w:rFonts w:asciiTheme="minorHAnsi" w:hAnsiTheme="minorHAnsi"/>
                <w:bCs w:val="0"/>
                <w:color w:val="000000"/>
                <w:sz w:val="20"/>
                <w:szCs w:val="20"/>
              </w:rPr>
            </w:pPr>
            <w:r w:rsidRPr="00105FFC">
              <w:rPr>
                <w:rFonts w:asciiTheme="minorHAnsi" w:hAnsiTheme="minorHAnsi"/>
                <w:bCs w:val="0"/>
                <w:color w:val="000000"/>
                <w:sz w:val="20"/>
                <w:szCs w:val="20"/>
              </w:rPr>
              <w:t>Non-Physician Provider</w:t>
            </w:r>
          </w:p>
        </w:tc>
        <w:tc>
          <w:tcPr>
            <w:tcW w:w="5750" w:type="dxa"/>
            <w:gridSpan w:val="2"/>
            <w:tcBorders>
              <w:bottom w:val="none" w:sz="0" w:space="0" w:color="auto"/>
            </w:tcBorders>
          </w:tcPr>
          <w:p w14:paraId="2CCE57A3" w14:textId="77777777" w:rsidR="00AA0AA8" w:rsidRPr="00105FFC" w:rsidRDefault="00AA0AA8" w:rsidP="00AA0AA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0"/>
                <w:szCs w:val="20"/>
              </w:rPr>
            </w:pPr>
            <w:r w:rsidRPr="00105FFC">
              <w:rPr>
                <w:rFonts w:asciiTheme="minorHAnsi" w:hAnsiTheme="minorHAnsi"/>
                <w:bCs w:val="0"/>
                <w:color w:val="000000"/>
                <w:sz w:val="20"/>
                <w:szCs w:val="20"/>
              </w:rPr>
              <w:t>Medi-Cal Provider Type</w:t>
            </w:r>
          </w:p>
        </w:tc>
      </w:tr>
      <w:tr w:rsidR="00AA0AA8" w:rsidRPr="00105FFC" w14:paraId="180AB4E1" w14:textId="77777777" w:rsidTr="00AF2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gridSpan w:val="2"/>
            <w:noWrap/>
            <w:hideMark/>
          </w:tcPr>
          <w:p w14:paraId="68817CE2" w14:textId="77777777" w:rsidR="00AA0AA8" w:rsidRPr="00105FFC" w:rsidRDefault="00AA0AA8" w:rsidP="00AA0AA8">
            <w:pPr>
              <w:spacing w:line="276" w:lineRule="auto"/>
              <w:jc w:val="center"/>
              <w:rPr>
                <w:rFonts w:asciiTheme="minorHAnsi" w:hAnsiTheme="minorHAnsi"/>
                <w:b w:val="0"/>
                <w:color w:val="000000"/>
                <w:sz w:val="20"/>
                <w:szCs w:val="20"/>
              </w:rPr>
            </w:pPr>
            <w:r w:rsidRPr="00105FFC">
              <w:rPr>
                <w:rFonts w:asciiTheme="minorHAnsi" w:hAnsiTheme="minorHAnsi"/>
                <w:b w:val="0"/>
                <w:color w:val="000000"/>
                <w:sz w:val="20"/>
                <w:szCs w:val="20"/>
              </w:rPr>
              <w:t>Other Non-Physician Providers</w:t>
            </w:r>
          </w:p>
        </w:tc>
        <w:tc>
          <w:tcPr>
            <w:tcW w:w="5720" w:type="dxa"/>
            <w:noWrap/>
            <w:hideMark/>
          </w:tcPr>
          <w:p w14:paraId="4AA0DB52" w14:textId="77777777" w:rsidR="00AA0AA8" w:rsidRPr="00105FFC" w:rsidRDefault="00AA0AA8" w:rsidP="00AA0AA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05FFC">
              <w:rPr>
                <w:rFonts w:asciiTheme="minorHAnsi" w:hAnsiTheme="minorHAnsi"/>
                <w:color w:val="000000"/>
                <w:sz w:val="20"/>
                <w:szCs w:val="20"/>
              </w:rPr>
              <w:t>HOME HEALTH AGENCIES</w:t>
            </w:r>
          </w:p>
        </w:tc>
      </w:tr>
    </w:tbl>
    <w:p w14:paraId="6DC9D847" w14:textId="77777777" w:rsidR="00AA0AA8" w:rsidRPr="00105FFC" w:rsidRDefault="00AA0AA8" w:rsidP="00AA0AA8">
      <w:pPr>
        <w:rPr>
          <w:rFonts w:asciiTheme="minorHAnsi" w:eastAsiaTheme="minorHAnsi" w:hAnsiTheme="minorHAnsi"/>
        </w:rPr>
      </w:pPr>
    </w:p>
    <w:p w14:paraId="737B1300" w14:textId="77777777" w:rsidR="00AA0AA8" w:rsidRPr="00105FFC" w:rsidRDefault="00AA0AA8" w:rsidP="00AF2210">
      <w:pPr>
        <w:autoSpaceDE w:val="0"/>
        <w:autoSpaceDN w:val="0"/>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 xml:space="preserve">As noted prior in this report, the FFS population is continuing to evolve.  As individuals and specific services are moved and delegated to managed care delivery systems, the utilization among this population will be dramatically altered.  Sample size and rate stability will be problematic and require reevaluation of groupings and specific baselines.  </w:t>
      </w:r>
    </w:p>
    <w:p w14:paraId="5394E6E7" w14:textId="77777777" w:rsidR="00AA0AA8" w:rsidRPr="00105FFC" w:rsidRDefault="00AA0AA8" w:rsidP="00AF2210">
      <w:pPr>
        <w:autoSpaceDE w:val="0"/>
        <w:autoSpaceDN w:val="0"/>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 xml:space="preserve">Looking into the future, the statistics presented here will be utilized to develop control charts and evaluate changes in utilization by various dimensions.  It is expected that modifications to these baseline statistics will be required.  </w:t>
      </w:r>
    </w:p>
    <w:p w14:paraId="126B0828" w14:textId="77777777" w:rsidR="00AA0AA8" w:rsidRPr="00105FFC" w:rsidRDefault="00AA0AA8" w:rsidP="00AF2210">
      <w:pPr>
        <w:autoSpaceDE w:val="0"/>
        <w:autoSpaceDN w:val="0"/>
        <w:adjustRightInd w:val="0"/>
        <w:spacing w:line="276" w:lineRule="auto"/>
        <w:rPr>
          <w:rFonts w:asciiTheme="minorHAnsi" w:eastAsiaTheme="minorHAnsi" w:hAnsiTheme="minorHAnsi" w:cs="Georgia"/>
          <w:color w:val="000000"/>
        </w:rPr>
      </w:pPr>
      <w:r w:rsidRPr="00105FFC">
        <w:rPr>
          <w:rFonts w:asciiTheme="minorHAnsi" w:eastAsiaTheme="minorHAnsi" w:hAnsiTheme="minorHAnsi" w:cs="Georgia"/>
          <w:color w:val="000000"/>
        </w:rPr>
        <w:t xml:space="preserve">DHCS will use Shewhart control charts to identify how utilization changes over time. Control charts are a chronological time series of measures presented in a graph and plotted with an overall mean, upper and lower control thresholds. These thresholds or control limits are generally set at three standard deviations (or equivalent) from the mean, and define the natural range of variability expected from the plotted measures. </w:t>
      </w:r>
    </w:p>
    <w:p w14:paraId="2F24B103" w14:textId="77777777" w:rsidR="00AA0AA8" w:rsidRPr="00105FFC" w:rsidRDefault="00AA0AA8" w:rsidP="00AF2210">
      <w:pPr>
        <w:autoSpaceDE w:val="0"/>
        <w:autoSpaceDN w:val="0"/>
        <w:adjustRightInd w:val="0"/>
        <w:spacing w:line="276" w:lineRule="auto"/>
        <w:rPr>
          <w:rFonts w:asciiTheme="minorHAnsi" w:eastAsiaTheme="minorHAnsi" w:hAnsiTheme="minorHAnsi" w:cs="Georgia"/>
          <w:color w:val="000000"/>
        </w:rPr>
      </w:pPr>
    </w:p>
    <w:p w14:paraId="2DA788B2" w14:textId="77777777" w:rsidR="00AA0AA8" w:rsidRPr="00105FFC" w:rsidRDefault="00AA0AA8" w:rsidP="00AF2210">
      <w:pPr>
        <w:autoSpaceDE w:val="0"/>
        <w:autoSpaceDN w:val="0"/>
        <w:adjustRightInd w:val="0"/>
        <w:spacing w:line="276" w:lineRule="auto"/>
        <w:rPr>
          <w:rFonts w:asciiTheme="minorHAnsi" w:eastAsiaTheme="minorHAnsi" w:hAnsiTheme="minorHAnsi" w:cs="Georgia"/>
          <w:color w:val="000000"/>
        </w:rPr>
      </w:pPr>
      <w:r w:rsidRPr="00105FFC">
        <w:rPr>
          <w:rFonts w:asciiTheme="minorHAnsi" w:eastAsiaTheme="minorHAnsi" w:hAnsiTheme="minorHAnsi" w:cs="Georgia"/>
          <w:color w:val="000000"/>
        </w:rPr>
        <w:t>Comparing the plotted measures to the mean and upper and lower control limits can lead to inferences regarding whether the data are within an expected or predictable range, or whether there are marked changes in the data over time. Potential marked changes include:</w:t>
      </w:r>
    </w:p>
    <w:p w14:paraId="0F33EEE2" w14:textId="77777777" w:rsidR="00AA0AA8" w:rsidRPr="00105FFC" w:rsidRDefault="00AA0AA8" w:rsidP="00AA0AA8">
      <w:pPr>
        <w:numPr>
          <w:ilvl w:val="0"/>
          <w:numId w:val="37"/>
        </w:numPr>
        <w:autoSpaceDE w:val="0"/>
        <w:autoSpaceDN w:val="0"/>
        <w:adjustRightInd w:val="0"/>
        <w:spacing w:after="200" w:line="276" w:lineRule="auto"/>
        <w:rPr>
          <w:rFonts w:asciiTheme="minorHAnsi" w:eastAsiaTheme="minorHAnsi" w:hAnsiTheme="minorHAnsi" w:cs="Georgia"/>
          <w:color w:val="000000"/>
        </w:rPr>
      </w:pPr>
      <w:r w:rsidRPr="00105FFC">
        <w:rPr>
          <w:rFonts w:asciiTheme="minorHAnsi" w:eastAsiaTheme="minorHAnsi" w:hAnsiTheme="minorHAnsi" w:cs="Georgia"/>
          <w:color w:val="000000"/>
        </w:rPr>
        <w:t>Eight or more consecutive points either all above, or all below, the mean line which indicates a “shift” in utilization patterns.</w:t>
      </w:r>
    </w:p>
    <w:p w14:paraId="565FFBE3" w14:textId="77777777" w:rsidR="00AA0AA8" w:rsidRPr="00105FFC" w:rsidRDefault="00AA0AA8" w:rsidP="00AA0AA8">
      <w:pPr>
        <w:numPr>
          <w:ilvl w:val="0"/>
          <w:numId w:val="37"/>
        </w:numPr>
        <w:autoSpaceDE w:val="0"/>
        <w:autoSpaceDN w:val="0"/>
        <w:adjustRightInd w:val="0"/>
        <w:spacing w:line="276" w:lineRule="auto"/>
        <w:rPr>
          <w:rFonts w:asciiTheme="minorHAnsi" w:eastAsiaTheme="minorHAnsi" w:hAnsiTheme="minorHAnsi" w:cs="Georgia"/>
          <w:color w:val="000000"/>
        </w:rPr>
      </w:pPr>
      <w:r w:rsidRPr="00105FFC">
        <w:rPr>
          <w:rFonts w:asciiTheme="minorHAnsi" w:eastAsiaTheme="minorHAnsi" w:hAnsiTheme="minorHAnsi" w:cs="Georgia"/>
          <w:color w:val="000000"/>
        </w:rPr>
        <w:t>Six or more consecutive points all going in the same direction (either up or down) which indicates a trend.</w:t>
      </w:r>
    </w:p>
    <w:p w14:paraId="3B4F1E9D" w14:textId="77777777" w:rsidR="00AA0AA8" w:rsidRPr="00105FFC" w:rsidRDefault="00AA0AA8" w:rsidP="00AA0AA8">
      <w:pPr>
        <w:autoSpaceDE w:val="0"/>
        <w:autoSpaceDN w:val="0"/>
        <w:adjustRightInd w:val="0"/>
        <w:rPr>
          <w:rFonts w:asciiTheme="minorHAnsi" w:eastAsiaTheme="minorHAnsi" w:hAnsiTheme="minorHAnsi" w:cs="Georgia"/>
          <w:color w:val="000000"/>
        </w:rPr>
      </w:pPr>
    </w:p>
    <w:p w14:paraId="65563D22" w14:textId="77777777" w:rsidR="00AA0AA8" w:rsidRPr="00105FFC" w:rsidRDefault="00AA0AA8" w:rsidP="00AF2210">
      <w:pPr>
        <w:autoSpaceDE w:val="0"/>
        <w:autoSpaceDN w:val="0"/>
        <w:adjustRightInd w:val="0"/>
        <w:spacing w:line="276" w:lineRule="auto"/>
        <w:rPr>
          <w:rFonts w:asciiTheme="minorHAnsi" w:eastAsiaTheme="minorHAnsi" w:hAnsiTheme="minorHAnsi" w:cs="Georgia"/>
          <w:color w:val="000000"/>
        </w:rPr>
      </w:pPr>
      <w:r w:rsidRPr="00105FFC">
        <w:rPr>
          <w:rFonts w:asciiTheme="minorHAnsi" w:eastAsiaTheme="minorHAnsi" w:hAnsiTheme="minorHAnsi" w:cs="Georgia"/>
          <w:color w:val="000000"/>
        </w:rPr>
        <w:t xml:space="preserve">The data, presented in </w:t>
      </w:r>
      <w:hyperlink w:anchor="_Measure:_Service_Utilization" w:history="1">
        <w:r w:rsidRPr="00105FFC">
          <w:rPr>
            <w:rFonts w:asciiTheme="minorHAnsi" w:eastAsiaTheme="minorHAnsi" w:hAnsiTheme="minorHAnsi" w:cs="Georgia"/>
            <w:color w:val="0000FF" w:themeColor="hyperlink"/>
            <w:u w:val="single"/>
          </w:rPr>
          <w:t>Appendix A</w:t>
        </w:r>
      </w:hyperlink>
      <w:r w:rsidRPr="00105FFC">
        <w:rPr>
          <w:rFonts w:asciiTheme="minorHAnsi" w:eastAsiaTheme="minorHAnsi" w:hAnsiTheme="minorHAnsi" w:cs="Georgia"/>
          <w:color w:val="000000"/>
        </w:rPr>
        <w:t xml:space="preserve"> will serve to establish a mean, upper and lower control limits in subsequent reports. Future data points will be plotted in the control charts using these established limits. Consecutive points plotted outside of the established limits will provide a signal indicating that healthcare utilization has deviated markedly from the expected range. In these circumstances, further investigation will be warranted. </w:t>
      </w:r>
    </w:p>
    <w:p w14:paraId="387421DC" w14:textId="77777777" w:rsidR="00AA0AA8" w:rsidRPr="00105FFC" w:rsidRDefault="00AA0AA8" w:rsidP="00AA0AA8">
      <w:pPr>
        <w:autoSpaceDE w:val="0"/>
        <w:autoSpaceDN w:val="0"/>
        <w:adjustRightInd w:val="0"/>
        <w:rPr>
          <w:rFonts w:asciiTheme="minorHAnsi" w:eastAsiaTheme="minorHAnsi" w:hAnsiTheme="minorHAnsi" w:cs="Georgia"/>
          <w:color w:val="000000"/>
        </w:rPr>
      </w:pPr>
    </w:p>
    <w:p w14:paraId="5A43CCF6" w14:textId="77777777" w:rsidR="00AA0AA8" w:rsidRPr="00105FFC" w:rsidRDefault="00AA0AA8" w:rsidP="00AA0AA8">
      <w:pPr>
        <w:spacing w:after="200" w:line="276" w:lineRule="auto"/>
        <w:rPr>
          <w:rFonts w:asciiTheme="minorHAnsi" w:eastAsiaTheme="minorHAnsi" w:hAnsiTheme="minorHAnsi" w:cstheme="minorBidi"/>
          <w:b/>
          <w:i/>
        </w:rPr>
      </w:pPr>
      <w:r w:rsidRPr="00105FFC">
        <w:rPr>
          <w:rFonts w:asciiTheme="minorHAnsi" w:eastAsiaTheme="minorHAnsi" w:hAnsiTheme="minorHAnsi" w:cstheme="minorBidi"/>
          <w:b/>
          <w:i/>
        </w:rPr>
        <w:t>Example Control Chart:</w:t>
      </w:r>
    </w:p>
    <w:p w14:paraId="761AE39D" w14:textId="77777777" w:rsidR="00AA0AA8" w:rsidRPr="00105FFC" w:rsidRDefault="00AA0AA8" w:rsidP="00AA0AA8">
      <w:pPr>
        <w:spacing w:after="200" w:line="276" w:lineRule="auto"/>
        <w:rPr>
          <w:rFonts w:asciiTheme="minorHAnsi" w:hAnsiTheme="minorHAnsi"/>
          <w:b/>
          <w:bCs/>
          <w:sz w:val="20"/>
          <w:szCs w:val="20"/>
          <w:bdr w:val="single" w:sz="4" w:space="0" w:color="auto"/>
        </w:rPr>
      </w:pPr>
      <w:r w:rsidRPr="00105FFC">
        <w:rPr>
          <w:rFonts w:asciiTheme="minorHAnsi" w:hAnsiTheme="minorHAnsi"/>
          <w:bCs/>
          <w:sz w:val="20"/>
          <w:szCs w:val="20"/>
        </w:rPr>
        <w:t>Pharmacy Services Utilization Rates among Adults Ages 21+ in the Undocumented Aid Category, October 2013–September 2014</w:t>
      </w:r>
      <w:r w:rsidRPr="00105FFC">
        <w:rPr>
          <w:rFonts w:asciiTheme="minorHAnsi" w:hAnsiTheme="minorHAnsi"/>
          <w:bCs/>
          <w:sz w:val="20"/>
          <w:szCs w:val="20"/>
        </w:rPr>
        <w:tab/>
      </w:r>
      <w:r w:rsidRPr="00105FFC">
        <w:rPr>
          <w:rFonts w:asciiTheme="minorHAnsi" w:hAnsiTheme="minorHAnsi"/>
          <w:bCs/>
          <w:sz w:val="20"/>
          <w:szCs w:val="20"/>
        </w:rPr>
        <w:tab/>
      </w:r>
      <w:r w:rsidRPr="00105FFC">
        <w:rPr>
          <w:rFonts w:asciiTheme="minorHAnsi" w:hAnsiTheme="minorHAnsi"/>
          <w:bCs/>
          <w:sz w:val="20"/>
          <w:szCs w:val="20"/>
        </w:rPr>
        <w:tab/>
      </w:r>
      <w:r w:rsidRPr="00105FFC">
        <w:rPr>
          <w:rFonts w:asciiTheme="minorHAnsi" w:hAnsiTheme="minorHAnsi"/>
          <w:bCs/>
          <w:sz w:val="20"/>
          <w:szCs w:val="20"/>
        </w:rPr>
        <w:tab/>
      </w:r>
      <w:r w:rsidRPr="00105FFC">
        <w:rPr>
          <w:rFonts w:asciiTheme="minorHAnsi" w:hAnsiTheme="minorHAnsi"/>
          <w:bCs/>
          <w:sz w:val="20"/>
          <w:szCs w:val="20"/>
          <w:bdr w:val="single" w:sz="4" w:space="0" w:color="auto"/>
        </w:rPr>
        <w:t>Unique User Count</w:t>
      </w:r>
      <w:r w:rsidRPr="00105FFC">
        <w:rPr>
          <w:rFonts w:asciiTheme="minorHAnsi" w:hAnsiTheme="minorHAnsi"/>
          <w:b/>
          <w:bCs/>
          <w:sz w:val="20"/>
          <w:szCs w:val="20"/>
          <w:bdr w:val="single" w:sz="4" w:space="0" w:color="auto"/>
        </w:rPr>
        <w:t xml:space="preserve"> = 101,857</w:t>
      </w:r>
    </w:p>
    <w:p w14:paraId="009AED9C" w14:textId="77777777" w:rsidR="00AA0AA8" w:rsidRPr="00105FFC" w:rsidRDefault="00AA0AA8" w:rsidP="00AA0AA8">
      <w:pPr>
        <w:spacing w:after="200" w:line="276" w:lineRule="auto"/>
        <w:rPr>
          <w:rFonts w:asciiTheme="minorHAnsi" w:eastAsiaTheme="minorHAnsi" w:hAnsiTheme="minorHAnsi" w:cstheme="minorBidi"/>
        </w:rPr>
      </w:pPr>
      <w:r w:rsidRPr="00105FFC">
        <w:rPr>
          <w:rFonts w:asciiTheme="minorHAnsi" w:eastAsiaTheme="minorHAnsi" w:hAnsiTheme="minorHAnsi" w:cstheme="minorBidi"/>
          <w:noProof/>
        </w:rPr>
        <w:drawing>
          <wp:inline distT="0" distB="0" distL="0" distR="0" wp14:anchorId="24B15CB0" wp14:editId="433DA0FB">
            <wp:extent cx="6401435" cy="3200400"/>
            <wp:effectExtent l="0" t="0" r="0" b="0"/>
            <wp:docPr id="333" name="Picture 333" descr="Visual example of a control chart as described in text on pages 60 and 61" title="Example Contro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1435" cy="3200400"/>
                    </a:xfrm>
                    <a:prstGeom prst="rect">
                      <a:avLst/>
                    </a:prstGeom>
                    <a:noFill/>
                  </pic:spPr>
                </pic:pic>
              </a:graphicData>
            </a:graphic>
          </wp:inline>
        </w:drawing>
      </w:r>
    </w:p>
    <w:p w14:paraId="529A189E" w14:textId="77777777" w:rsidR="00AA0AA8" w:rsidRPr="00105FFC" w:rsidRDefault="00AA0AA8" w:rsidP="00AF2210">
      <w:pPr>
        <w:spacing w:line="276" w:lineRule="auto"/>
        <w:rPr>
          <w:rFonts w:asciiTheme="minorHAnsi" w:hAnsiTheme="minorHAnsi"/>
        </w:rPr>
      </w:pPr>
      <w:r w:rsidRPr="00105FFC">
        <w:rPr>
          <w:rFonts w:asciiTheme="minorHAnsi" w:hAnsiTheme="minorHAnsi"/>
          <w:b/>
          <w:i/>
        </w:rPr>
        <w:t>Data Sources</w:t>
      </w:r>
      <w:r w:rsidR="00AF2210" w:rsidRPr="00105FFC">
        <w:rPr>
          <w:rFonts w:asciiTheme="minorHAnsi" w:hAnsiTheme="minorHAnsi"/>
          <w:b/>
          <w:i/>
        </w:rPr>
        <w:t>:</w:t>
      </w:r>
      <w:r w:rsidR="00AF2210" w:rsidRPr="00105FFC">
        <w:rPr>
          <w:rFonts w:asciiTheme="minorHAnsi" w:hAnsiTheme="minorHAnsi"/>
          <w:b/>
        </w:rPr>
        <w:t xml:space="preserve">  </w:t>
      </w:r>
      <w:r w:rsidRPr="00105FFC">
        <w:rPr>
          <w:rFonts w:asciiTheme="minorHAnsi" w:hAnsiTheme="minorHAnsi"/>
        </w:rPr>
        <w:t xml:space="preserve">The data utilized to capture Medi-Cal utilization rates (numerators) for individuals participating in the FFS delivery system included paid claims events with dates-of-service occurring during SFYs 2012-13, 2013-14, and 2-14-15.  In addition, Medi-Cal’s Provider Master File was referenced to develop unique service categories as noted above. </w:t>
      </w:r>
    </w:p>
    <w:p w14:paraId="7CAF3FE9" w14:textId="77777777" w:rsidR="00AA0AA8" w:rsidRPr="00105FFC" w:rsidRDefault="00AA0AA8" w:rsidP="00AF2210">
      <w:pPr>
        <w:spacing w:line="276" w:lineRule="auto"/>
        <w:rPr>
          <w:rFonts w:asciiTheme="minorHAnsi" w:hAnsiTheme="minorHAnsi"/>
        </w:rPr>
      </w:pPr>
    </w:p>
    <w:p w14:paraId="6A33C321" w14:textId="77777777" w:rsidR="00AA0AA8" w:rsidRPr="00105FFC" w:rsidRDefault="00AA0AA8" w:rsidP="00AF2210">
      <w:pPr>
        <w:spacing w:line="276" w:lineRule="auto"/>
        <w:rPr>
          <w:rFonts w:asciiTheme="minorHAnsi" w:hAnsiTheme="minorHAnsi"/>
        </w:rPr>
      </w:pPr>
      <w:r w:rsidRPr="00105FFC">
        <w:rPr>
          <w:rFonts w:asciiTheme="minorHAnsi" w:hAnsiTheme="minorHAnsi"/>
        </w:rPr>
        <w:t>To develop denominators, Medi-Cal’s eligibility was summarized for months of service occurring during SFYs 2012-13, 2013-14, and 2-14-15.  The Medi-Cal eligibility data was used to create geographic region, aid category, age group, gender, and race/ethnicity groups.</w:t>
      </w:r>
    </w:p>
    <w:p w14:paraId="5ED1C1FF" w14:textId="77777777" w:rsidR="006D5BE0" w:rsidRPr="00105FFC" w:rsidRDefault="006D5BE0" w:rsidP="002D04DA">
      <w:pPr>
        <w:spacing w:after="120" w:line="276" w:lineRule="auto"/>
        <w:rPr>
          <w:rFonts w:asciiTheme="minorHAnsi" w:hAnsiTheme="minorHAnsi"/>
        </w:rPr>
      </w:pPr>
      <w:r w:rsidRPr="00105FFC">
        <w:rPr>
          <w:rFonts w:asciiTheme="minorHAnsi" w:hAnsiTheme="minorHAnsi"/>
        </w:rPr>
        <w:br w:type="page"/>
      </w:r>
    </w:p>
    <w:p w14:paraId="300C3AE4" w14:textId="77777777" w:rsidR="00C5621C" w:rsidRPr="00105FFC" w:rsidRDefault="00C5621C" w:rsidP="00C5621C">
      <w:pPr>
        <w:keepNext/>
        <w:keepLines/>
        <w:spacing w:after="120" w:line="276" w:lineRule="auto"/>
        <w:outlineLvl w:val="2"/>
        <w:rPr>
          <w:rFonts w:asciiTheme="minorHAnsi" w:eastAsiaTheme="majorEastAsia" w:hAnsiTheme="minorHAnsi" w:cstheme="majorBidi"/>
          <w:b/>
          <w:bCs/>
          <w:sz w:val="28"/>
        </w:rPr>
      </w:pPr>
      <w:bookmarkStart w:id="213" w:name="_Toc459287742"/>
      <w:r w:rsidRPr="00105FFC">
        <w:rPr>
          <w:rFonts w:asciiTheme="minorHAnsi" w:eastAsiaTheme="majorEastAsia" w:hAnsiTheme="minorHAnsi" w:cstheme="majorBidi"/>
          <w:b/>
          <w:bCs/>
          <w:color w:val="000000" w:themeColor="text1"/>
          <w:sz w:val="28"/>
        </w:rPr>
        <w:t>Evaluation Domain:</w:t>
      </w:r>
      <w:r w:rsidRPr="00105FFC">
        <w:rPr>
          <w:rFonts w:asciiTheme="minorHAnsi" w:eastAsiaTheme="majorEastAsia" w:hAnsiTheme="minorHAnsi" w:cstheme="majorBidi"/>
          <w:b/>
          <w:bCs/>
          <w:sz w:val="28"/>
        </w:rPr>
        <w:t xml:space="preserve"> Obstetric Services and Births Outcomes</w:t>
      </w:r>
      <w:bookmarkEnd w:id="213"/>
    </w:p>
    <w:p w14:paraId="603BFBD7" w14:textId="77777777" w:rsidR="00366B73" w:rsidRPr="00105FFC" w:rsidRDefault="00C5621C" w:rsidP="00366B73">
      <w:pPr>
        <w:spacing w:after="160" w:line="259" w:lineRule="auto"/>
        <w:rPr>
          <w:rFonts w:asciiTheme="minorHAnsi" w:hAnsiTheme="minorHAnsi" w:cs="Arial"/>
        </w:rPr>
      </w:pPr>
      <w:r w:rsidRPr="00105FFC">
        <w:rPr>
          <w:rFonts w:asciiTheme="minorHAnsi" w:hAnsiTheme="minorHAnsi"/>
          <w:b/>
          <w:i/>
        </w:rPr>
        <w:t>Rationale:</w:t>
      </w:r>
      <w:r w:rsidRPr="00105FFC">
        <w:rPr>
          <w:rFonts w:asciiTheme="minorHAnsi" w:hAnsiTheme="minorHAnsi"/>
        </w:rPr>
        <w:t xml:space="preserve">  </w:t>
      </w:r>
      <w:r w:rsidR="00D07A07" w:rsidRPr="00105FFC">
        <w:rPr>
          <w:rFonts w:asciiTheme="minorHAnsi" w:hAnsiTheme="minorHAnsi"/>
        </w:rPr>
        <w:t xml:space="preserve">Because a significant proportion of Medi-Cal’s FFS population are women of child bearing age, the initiation of early prenatal care and birth outcomes are vital measures for evaluating access to health care services.  In CY 2013, Medi-Cal’s FFS delivery system accounted for 58.5% of all Medi-Cal births.  </w:t>
      </w:r>
    </w:p>
    <w:p w14:paraId="78395E17" w14:textId="77777777" w:rsidR="00C5621C" w:rsidRPr="00105FFC" w:rsidRDefault="00C5621C" w:rsidP="00366B73">
      <w:pPr>
        <w:spacing w:after="160" w:line="259" w:lineRule="auto"/>
        <w:rPr>
          <w:rFonts w:asciiTheme="minorHAnsi" w:hAnsiTheme="minorHAnsi" w:cs="Arial"/>
        </w:rPr>
      </w:pPr>
      <w:r w:rsidRPr="00105FFC">
        <w:rPr>
          <w:rFonts w:asciiTheme="minorHAnsi" w:hAnsiTheme="minorHAnsi"/>
        </w:rPr>
        <w:t>Effective and early prenatal care helps to avoid negative birth outcomes such as low birthweight, preterm births, or infant mortality. Important developments occur within the fetus in the first 12 weeks of pregnancy; therefore, timely prenatal care is essential. Women who initiate prenatal care later in their pregnancies are at increased risk for having a preterm or low-birthweight newborn, and having a baby requiring care in an intensive care unit.</w:t>
      </w:r>
      <w:r w:rsidRPr="00105FFC">
        <w:rPr>
          <w:rFonts w:asciiTheme="minorHAnsi" w:eastAsiaTheme="minorEastAsia" w:hAnsiTheme="minorHAnsi"/>
          <w:vertAlign w:val="superscript"/>
        </w:rPr>
        <w:endnoteReference w:id="75"/>
      </w:r>
      <w:r w:rsidRPr="00105FFC">
        <w:rPr>
          <w:rFonts w:asciiTheme="minorHAnsi" w:hAnsiTheme="minorHAnsi"/>
        </w:rPr>
        <w:t xml:space="preserve"> The Healthy People 2020 goal states that 77.9% or more of all pregnant women in the U.S. should initiate prenatal care in their first trimester.</w:t>
      </w:r>
      <w:r w:rsidRPr="00105FFC">
        <w:rPr>
          <w:rFonts w:asciiTheme="minorHAnsi" w:eastAsiaTheme="minorEastAsia" w:hAnsiTheme="minorHAnsi"/>
          <w:vertAlign w:val="superscript"/>
        </w:rPr>
        <w:endnoteReference w:id="76"/>
      </w:r>
      <w:r w:rsidRPr="00105FFC">
        <w:rPr>
          <w:rFonts w:asciiTheme="minorHAnsi" w:hAnsiTheme="minorHAnsi"/>
        </w:rPr>
        <w:t xml:space="preserve"> </w:t>
      </w:r>
    </w:p>
    <w:p w14:paraId="4C774F13" w14:textId="77777777" w:rsidR="00C5621C" w:rsidRPr="00105FFC" w:rsidRDefault="00C5621C" w:rsidP="00366B73">
      <w:pPr>
        <w:widowControl w:val="0"/>
        <w:spacing w:after="120" w:line="276" w:lineRule="auto"/>
        <w:jc w:val="both"/>
        <w:rPr>
          <w:rFonts w:asciiTheme="minorHAnsi" w:hAnsiTheme="minorHAnsi"/>
        </w:rPr>
      </w:pPr>
      <w:r w:rsidRPr="00105FFC">
        <w:rPr>
          <w:rFonts w:asciiTheme="minorHAnsi" w:hAnsiTheme="minorHAnsi"/>
        </w:rPr>
        <w:t>Low birthweight (&lt;2,500 grams) is a major contributor to infant mortality. In the U.S., the three leading causes of infant death are congenital defects, low birthweight, and sudden infant death syndrome (SIDS), all of which account for 44% of infant deaths nationally.</w:t>
      </w:r>
      <w:r w:rsidRPr="00105FFC">
        <w:rPr>
          <w:rFonts w:asciiTheme="minorHAnsi" w:eastAsiaTheme="minorEastAsia" w:hAnsiTheme="minorHAnsi"/>
          <w:vertAlign w:val="superscript"/>
        </w:rPr>
        <w:endnoteReference w:id="77"/>
      </w:r>
      <w:r w:rsidRPr="00105FFC">
        <w:rPr>
          <w:rFonts w:asciiTheme="minorHAnsi" w:hAnsiTheme="minorHAnsi"/>
        </w:rPr>
        <w:t xml:space="preserve"> Hospital costs for newborns delivered in the low birthweight and very low birthweight ranges (&lt;1,500 grams) are substantially higher than for normal-birthweight newborns (≥2,500 grams).</w:t>
      </w:r>
      <w:r w:rsidRPr="00105FFC">
        <w:rPr>
          <w:rFonts w:asciiTheme="minorHAnsi" w:eastAsiaTheme="minorEastAsia" w:hAnsiTheme="minorHAnsi"/>
          <w:vertAlign w:val="superscript"/>
        </w:rPr>
        <w:endnoteReference w:id="78"/>
      </w:r>
      <w:r w:rsidRPr="00105FFC">
        <w:rPr>
          <w:rFonts w:asciiTheme="minorHAnsi" w:hAnsiTheme="minorHAnsi"/>
        </w:rPr>
        <w:t xml:space="preserve"> In addition, newborns delivered at low or very low birthweight are at increased risk for life-long disabilities. </w:t>
      </w:r>
    </w:p>
    <w:p w14:paraId="1111D356" w14:textId="77777777" w:rsidR="00D07A07" w:rsidRPr="00105FFC" w:rsidRDefault="00366B73" w:rsidP="00366B73">
      <w:pPr>
        <w:widowControl w:val="0"/>
        <w:spacing w:after="120" w:line="276" w:lineRule="auto"/>
        <w:jc w:val="both"/>
        <w:rPr>
          <w:rFonts w:asciiTheme="minorHAnsi" w:hAnsiTheme="minorHAnsi"/>
        </w:rPr>
      </w:pPr>
      <w:r w:rsidRPr="00105FFC">
        <w:rPr>
          <w:rFonts w:asciiTheme="minorHAnsi" w:hAnsiTheme="minorHAnsi"/>
        </w:rPr>
        <w:t>Additionally, t</w:t>
      </w:r>
      <w:r w:rsidR="00C5621C" w:rsidRPr="00105FFC">
        <w:rPr>
          <w:rFonts w:asciiTheme="minorHAnsi" w:hAnsiTheme="minorHAnsi"/>
        </w:rPr>
        <w:t>he percentage of preterm births is almost twice as high in the U.S. compared to other developed countries.</w:t>
      </w:r>
      <w:r w:rsidR="00C5621C" w:rsidRPr="00105FFC">
        <w:rPr>
          <w:rFonts w:asciiTheme="minorHAnsi" w:eastAsiaTheme="minorEastAsia" w:hAnsiTheme="minorHAnsi"/>
          <w:vertAlign w:val="superscript"/>
        </w:rPr>
        <w:endnoteReference w:id="79"/>
      </w:r>
      <w:r w:rsidR="00C5621C" w:rsidRPr="00105FFC">
        <w:rPr>
          <w:rFonts w:asciiTheme="minorHAnsi" w:hAnsiTheme="minorHAnsi"/>
          <w:lang w:val="en"/>
        </w:rPr>
        <w:t xml:space="preserve"> </w:t>
      </w:r>
      <w:r w:rsidR="00C5621C" w:rsidRPr="00105FFC">
        <w:rPr>
          <w:rFonts w:asciiTheme="minorHAnsi" w:hAnsiTheme="minorHAnsi"/>
        </w:rPr>
        <w:t>Babies born prematurely (&lt;37 complete weeks of gestation) are at increased risk for death and life-long disabling conditions including hearing and vision loss, respiratory problems, mental retardation, and cerebral palsy.</w:t>
      </w:r>
      <w:r w:rsidR="00C5621C" w:rsidRPr="00105FFC">
        <w:rPr>
          <w:rFonts w:asciiTheme="minorHAnsi" w:hAnsiTheme="minorHAnsi"/>
          <w:vertAlign w:val="superscript"/>
        </w:rPr>
        <w:endnoteReference w:id="80"/>
      </w:r>
      <w:r w:rsidR="00C5621C" w:rsidRPr="00105FFC">
        <w:rPr>
          <w:rFonts w:asciiTheme="minorHAnsi" w:hAnsiTheme="minorHAnsi"/>
          <w:vertAlign w:val="superscript"/>
        </w:rPr>
        <w:t xml:space="preserve"> </w:t>
      </w:r>
      <w:r w:rsidR="00C5621C" w:rsidRPr="00105FFC">
        <w:rPr>
          <w:rFonts w:asciiTheme="minorHAnsi" w:hAnsiTheme="minorHAnsi"/>
        </w:rPr>
        <w:t>The Healthy People 2020 goal is to reduce the percent of preterm births to 11.4%.</w:t>
      </w:r>
    </w:p>
    <w:p w14:paraId="0A961CC7" w14:textId="77777777" w:rsidR="00C5621C" w:rsidRPr="00105FFC" w:rsidRDefault="00D07A07" w:rsidP="008659D4">
      <w:pPr>
        <w:widowControl w:val="0"/>
        <w:spacing w:line="276" w:lineRule="auto"/>
        <w:jc w:val="both"/>
        <w:rPr>
          <w:rFonts w:asciiTheme="minorHAnsi" w:hAnsiTheme="minorHAnsi"/>
        </w:rPr>
      </w:pPr>
      <w:r w:rsidRPr="00105FFC">
        <w:rPr>
          <w:rFonts w:asciiTheme="minorHAnsi" w:eastAsiaTheme="majorEastAsia" w:hAnsiTheme="minorHAnsi" w:cstheme="majorBidi"/>
          <w:bCs/>
        </w:rPr>
        <w:t xml:space="preserve">In this evaluation domain, an assessment of timely prenatal care initiation and select birth outcomes are considered.  </w:t>
      </w:r>
      <w:r w:rsidRPr="00105FFC">
        <w:rPr>
          <w:rFonts w:asciiTheme="minorHAnsi" w:hAnsiTheme="minorHAnsi"/>
        </w:rPr>
        <w:t>Review of FFS use can be evaluated by Medi-Cal service types using readily available Medi-Cal paid claims data.</w:t>
      </w:r>
    </w:p>
    <w:p w14:paraId="3BDAA927" w14:textId="77777777" w:rsidR="00C5621C" w:rsidRPr="00105FFC" w:rsidRDefault="00C5621C" w:rsidP="00366B73">
      <w:pPr>
        <w:widowControl w:val="0"/>
        <w:spacing w:line="276" w:lineRule="auto"/>
        <w:ind w:left="720"/>
        <w:jc w:val="both"/>
        <w:rPr>
          <w:rFonts w:asciiTheme="minorHAnsi" w:hAnsiTheme="minorHAnsi"/>
        </w:rPr>
      </w:pPr>
    </w:p>
    <w:p w14:paraId="4E98131C" w14:textId="77777777" w:rsidR="00D07A07" w:rsidRPr="00105FFC" w:rsidRDefault="00C5621C" w:rsidP="00D07A07">
      <w:pPr>
        <w:spacing w:after="120" w:line="276" w:lineRule="auto"/>
        <w:rPr>
          <w:rFonts w:asciiTheme="minorHAnsi" w:hAnsiTheme="minorHAnsi"/>
        </w:rPr>
      </w:pPr>
      <w:r w:rsidRPr="00105FFC">
        <w:rPr>
          <w:rFonts w:asciiTheme="minorHAnsi" w:hAnsiTheme="minorHAnsi"/>
          <w:b/>
        </w:rPr>
        <w:t>Analysis Performed and Measures Evaluated:</w:t>
      </w:r>
      <w:r w:rsidR="00E0287B" w:rsidRPr="00105FFC">
        <w:rPr>
          <w:rFonts w:asciiTheme="minorHAnsi" w:hAnsiTheme="minorHAnsi"/>
          <w:b/>
        </w:rPr>
        <w:t xml:space="preserve"> </w:t>
      </w:r>
      <w:r w:rsidR="00366B73" w:rsidRPr="00105FFC">
        <w:rPr>
          <w:rFonts w:asciiTheme="minorHAnsi" w:eastAsiaTheme="minorHAnsi" w:hAnsiTheme="minorHAnsi" w:cstheme="minorBidi"/>
        </w:rPr>
        <w:t>In this section, several measures will be presented and evaluated.  These include:</w:t>
      </w:r>
      <w:r w:rsidRPr="00105FFC">
        <w:rPr>
          <w:rFonts w:asciiTheme="minorHAnsi" w:hAnsiTheme="minorHAnsi"/>
        </w:rPr>
        <w:t xml:space="preserve"> </w:t>
      </w:r>
    </w:p>
    <w:p w14:paraId="3B220020" w14:textId="77777777" w:rsidR="00D07A07" w:rsidRPr="00105FFC" w:rsidRDefault="00D07A07" w:rsidP="00D07A07">
      <w:pPr>
        <w:pStyle w:val="ListParagraph"/>
        <w:numPr>
          <w:ilvl w:val="0"/>
          <w:numId w:val="28"/>
        </w:numPr>
        <w:spacing w:after="120" w:line="276" w:lineRule="auto"/>
        <w:rPr>
          <w:rFonts w:asciiTheme="minorHAnsi" w:hAnsiTheme="minorHAnsi"/>
        </w:rPr>
      </w:pPr>
      <w:r w:rsidRPr="00105FFC">
        <w:rPr>
          <w:rFonts w:asciiTheme="minorHAnsi" w:hAnsiTheme="minorHAnsi"/>
        </w:rPr>
        <w:t>Characteristics of Medi-Cal funded births</w:t>
      </w:r>
    </w:p>
    <w:p w14:paraId="226B9522" w14:textId="77777777" w:rsidR="00D07A07" w:rsidRPr="00105FFC" w:rsidRDefault="00D07A07"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Distribution of California Births in CY 2013 by payer type and delivery system,</w:t>
      </w:r>
    </w:p>
    <w:p w14:paraId="1444F419" w14:textId="77777777" w:rsidR="00D07A07" w:rsidRPr="00105FFC" w:rsidRDefault="00D07A07"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Distribution of FFS Medi-Cal births in CY 2013 by age group,</w:t>
      </w:r>
    </w:p>
    <w:p w14:paraId="34552625" w14:textId="77777777" w:rsidR="00D07A07" w:rsidRPr="00105FFC" w:rsidRDefault="00D07A07"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Distribution of FFS Medi-Cal births in CY 2013 by aid category,</w:t>
      </w:r>
    </w:p>
    <w:p w14:paraId="41A522B9" w14:textId="77777777" w:rsidR="00D07A07" w:rsidRPr="00105FFC" w:rsidRDefault="00D07A07"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Distribution of FFS Medi-Cal births in CY 2013 by race/ethnicity, and</w:t>
      </w:r>
    </w:p>
    <w:p w14:paraId="7731DF68" w14:textId="77777777" w:rsidR="00D07A07" w:rsidRPr="00105FFC" w:rsidRDefault="00D07A07"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Distribution of FFS Medi-Cal births in CY 2013 by geographic region.</w:t>
      </w:r>
    </w:p>
    <w:p w14:paraId="4F548E91" w14:textId="77777777" w:rsidR="00D07A07" w:rsidRPr="00105FFC" w:rsidRDefault="00D07A07" w:rsidP="00D07A07">
      <w:pPr>
        <w:pStyle w:val="ListParagraph"/>
        <w:numPr>
          <w:ilvl w:val="0"/>
          <w:numId w:val="28"/>
        </w:numPr>
        <w:spacing w:after="120" w:line="276" w:lineRule="auto"/>
        <w:rPr>
          <w:rFonts w:asciiTheme="minorHAnsi" w:hAnsiTheme="minorHAnsi"/>
        </w:rPr>
      </w:pPr>
      <w:r w:rsidRPr="00105FFC">
        <w:rPr>
          <w:rFonts w:asciiTheme="minorHAnsi" w:hAnsiTheme="minorHAnsi"/>
        </w:rPr>
        <w:t>Initiation of prenatal care</w:t>
      </w:r>
    </w:p>
    <w:p w14:paraId="79EE3F31" w14:textId="77777777" w:rsidR="00C5621C" w:rsidRPr="00105FFC" w:rsidRDefault="00C5621C"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 xml:space="preserve">Percentage of </w:t>
      </w:r>
      <w:r w:rsidR="00D07A07" w:rsidRPr="00105FFC">
        <w:rPr>
          <w:rFonts w:asciiTheme="minorHAnsi" w:hAnsiTheme="minorHAnsi"/>
        </w:rPr>
        <w:t xml:space="preserve">California </w:t>
      </w:r>
      <w:r w:rsidRPr="00105FFC">
        <w:rPr>
          <w:rFonts w:asciiTheme="minorHAnsi" w:hAnsiTheme="minorHAnsi"/>
        </w:rPr>
        <w:t>mothers that initiated pren</w:t>
      </w:r>
      <w:r w:rsidR="00D07A07" w:rsidRPr="00105FFC">
        <w:rPr>
          <w:rFonts w:asciiTheme="minorHAnsi" w:hAnsiTheme="minorHAnsi"/>
        </w:rPr>
        <w:t>atal care in the first trimester during CY 2013 by payer type</w:t>
      </w:r>
      <w:r w:rsidRPr="00105FFC">
        <w:rPr>
          <w:rFonts w:asciiTheme="minorHAnsi" w:hAnsiTheme="minorHAnsi"/>
        </w:rPr>
        <w:t>,</w:t>
      </w:r>
    </w:p>
    <w:p w14:paraId="43FB37EE" w14:textId="77777777" w:rsidR="00D07A07" w:rsidRPr="00105FFC" w:rsidRDefault="00D07A07"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Percentage of FFS Medi-Cal mothers that initiated prenatal care in the first trimester during CY 2013 by scope of coverage,</w:t>
      </w:r>
    </w:p>
    <w:p w14:paraId="179D8C7D" w14:textId="77777777" w:rsidR="00D07A07" w:rsidRPr="00105FFC" w:rsidRDefault="00D07A07"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Percentage of FFS Medi-Cal mothers that initiated prenatal care in the first trimester during CY 2013 by aid category,</w:t>
      </w:r>
    </w:p>
    <w:p w14:paraId="122367E3" w14:textId="77777777" w:rsidR="00D07A07" w:rsidRPr="00105FFC" w:rsidRDefault="00D07A07"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Percentage of FFS Medi-Cal mothers that initiated prenatal care in the first trimester during CY 2013 by geographic region,</w:t>
      </w:r>
    </w:p>
    <w:p w14:paraId="73552616" w14:textId="77777777" w:rsidR="00D07A07" w:rsidRPr="00105FFC" w:rsidRDefault="00D07A07"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Percentage of FFS Medi-Cal mothers that initiated prenatal care in the first trimester during CY 2013 by age group,</w:t>
      </w:r>
      <w:r w:rsidR="008659D4" w:rsidRPr="00105FFC">
        <w:rPr>
          <w:rFonts w:asciiTheme="minorHAnsi" w:hAnsiTheme="minorHAnsi"/>
        </w:rPr>
        <w:t xml:space="preserve"> and </w:t>
      </w:r>
    </w:p>
    <w:p w14:paraId="24A303CB" w14:textId="77777777" w:rsidR="00D07A07" w:rsidRPr="00105FFC" w:rsidRDefault="008659D4" w:rsidP="00D07A07">
      <w:pPr>
        <w:pStyle w:val="ListParagraph"/>
        <w:numPr>
          <w:ilvl w:val="1"/>
          <w:numId w:val="28"/>
        </w:numPr>
        <w:spacing w:after="120" w:line="276" w:lineRule="auto"/>
        <w:rPr>
          <w:rFonts w:asciiTheme="minorHAnsi" w:hAnsiTheme="minorHAnsi"/>
        </w:rPr>
      </w:pPr>
      <w:r w:rsidRPr="00105FFC">
        <w:rPr>
          <w:rFonts w:asciiTheme="minorHAnsi" w:hAnsiTheme="minorHAnsi"/>
        </w:rPr>
        <w:t>Percentage of FFS Medi-Cal mothers that initiated prenatal care in the first trimester during CY 2013 by race/ethnicity.</w:t>
      </w:r>
    </w:p>
    <w:p w14:paraId="1CD54882" w14:textId="77777777" w:rsidR="008659D4" w:rsidRPr="00105FFC" w:rsidRDefault="008659D4" w:rsidP="008659D4">
      <w:pPr>
        <w:pStyle w:val="ListParagraph"/>
        <w:numPr>
          <w:ilvl w:val="0"/>
          <w:numId w:val="30"/>
        </w:numPr>
        <w:spacing w:after="120" w:line="276" w:lineRule="auto"/>
        <w:rPr>
          <w:rFonts w:asciiTheme="minorHAnsi" w:hAnsiTheme="minorHAnsi"/>
        </w:rPr>
      </w:pPr>
      <w:r w:rsidRPr="00105FFC">
        <w:rPr>
          <w:rFonts w:asciiTheme="minorHAnsi" w:hAnsiTheme="minorHAnsi"/>
        </w:rPr>
        <w:t>Low-Birthweight among Singleton births</w:t>
      </w:r>
    </w:p>
    <w:p w14:paraId="3D4B5AD3" w14:textId="77777777" w:rsidR="008659D4" w:rsidRPr="00105FFC" w:rsidRDefault="00C5621C" w:rsidP="008659D4">
      <w:pPr>
        <w:numPr>
          <w:ilvl w:val="1"/>
          <w:numId w:val="30"/>
        </w:numPr>
        <w:spacing w:after="120" w:line="276" w:lineRule="auto"/>
        <w:rPr>
          <w:rFonts w:asciiTheme="minorHAnsi" w:hAnsiTheme="minorHAnsi"/>
        </w:rPr>
      </w:pPr>
      <w:r w:rsidRPr="00105FFC">
        <w:rPr>
          <w:rFonts w:asciiTheme="minorHAnsi" w:hAnsiTheme="minorHAnsi"/>
        </w:rPr>
        <w:t xml:space="preserve">Percentage of singleton births classified as low birthweight (&lt;2,500 grams) </w:t>
      </w:r>
      <w:r w:rsidR="008659D4" w:rsidRPr="00105FFC">
        <w:rPr>
          <w:rFonts w:asciiTheme="minorHAnsi" w:hAnsiTheme="minorHAnsi"/>
        </w:rPr>
        <w:t>in CY 2013 by payer type,</w:t>
      </w:r>
    </w:p>
    <w:p w14:paraId="0EE821F4" w14:textId="77777777" w:rsidR="008659D4"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among</w:t>
      </w:r>
      <w:r w:rsidR="00C5621C" w:rsidRPr="00105FFC">
        <w:rPr>
          <w:rFonts w:asciiTheme="minorHAnsi" w:hAnsiTheme="minorHAnsi"/>
        </w:rPr>
        <w:t xml:space="preserve"> </w:t>
      </w:r>
      <w:r w:rsidRPr="00105FFC">
        <w:rPr>
          <w:rFonts w:asciiTheme="minorHAnsi" w:hAnsiTheme="minorHAnsi"/>
        </w:rPr>
        <w:t xml:space="preserve">FFS Medi-Cal </w:t>
      </w:r>
      <w:r w:rsidR="00C5621C" w:rsidRPr="00105FFC">
        <w:rPr>
          <w:rFonts w:asciiTheme="minorHAnsi" w:hAnsiTheme="minorHAnsi"/>
        </w:rPr>
        <w:t>mothers</w:t>
      </w:r>
      <w:r w:rsidRPr="00105FFC">
        <w:rPr>
          <w:rFonts w:asciiTheme="minorHAnsi" w:hAnsiTheme="minorHAnsi"/>
        </w:rPr>
        <w:t xml:space="preserve"> in CY 2013</w:t>
      </w:r>
      <w:r w:rsidR="00C5621C" w:rsidRPr="00105FFC">
        <w:rPr>
          <w:rFonts w:asciiTheme="minorHAnsi" w:hAnsiTheme="minorHAnsi"/>
        </w:rPr>
        <w:t xml:space="preserve"> </w:t>
      </w:r>
      <w:r w:rsidRPr="00105FFC">
        <w:rPr>
          <w:rFonts w:asciiTheme="minorHAnsi" w:hAnsiTheme="minorHAnsi"/>
        </w:rPr>
        <w:t>by timing of prenatal care initiation,</w:t>
      </w:r>
    </w:p>
    <w:p w14:paraId="7A6B442F" w14:textId="77777777" w:rsidR="008659D4"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 xml:space="preserve"> Percentage of singleton births classified as low birthweight (&lt;2,500 grams) among FFS Medi-Cal mothers in CY 2013 by scope of coverage,</w:t>
      </w:r>
    </w:p>
    <w:p w14:paraId="0023C846" w14:textId="77777777" w:rsidR="008659D4"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among FFS Medi-Cal mothers in CY 2013 by aid category,</w:t>
      </w:r>
    </w:p>
    <w:p w14:paraId="77C6C904" w14:textId="77777777" w:rsidR="008659D4"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among FFS Medi-Cal mothers in CY 2013 by geographic region,</w:t>
      </w:r>
    </w:p>
    <w:p w14:paraId="201AA960" w14:textId="77777777" w:rsidR="008659D4"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among FFS Medi-Cal mothers in CY 2013 by age group, and</w:t>
      </w:r>
    </w:p>
    <w:p w14:paraId="39E08099" w14:textId="77777777" w:rsidR="008659D4"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among FFS Medi-Cal mothers in CY 2013 by race/ethnicity.</w:t>
      </w:r>
    </w:p>
    <w:p w14:paraId="74B23450" w14:textId="77777777" w:rsidR="00C5621C" w:rsidRPr="00105FFC" w:rsidRDefault="008659D4" w:rsidP="008659D4">
      <w:pPr>
        <w:pStyle w:val="ListParagraph"/>
        <w:numPr>
          <w:ilvl w:val="0"/>
          <w:numId w:val="30"/>
        </w:numPr>
        <w:spacing w:after="120" w:line="276" w:lineRule="auto"/>
        <w:rPr>
          <w:rFonts w:asciiTheme="minorHAnsi" w:hAnsiTheme="minorHAnsi"/>
        </w:rPr>
      </w:pPr>
      <w:r w:rsidRPr="00105FFC">
        <w:rPr>
          <w:rFonts w:asciiTheme="minorHAnsi" w:hAnsiTheme="minorHAnsi"/>
        </w:rPr>
        <w:t>Pre-Term among Singleton Births</w:t>
      </w:r>
    </w:p>
    <w:p w14:paraId="738DCCE2" w14:textId="77777777" w:rsidR="008659D4" w:rsidRPr="00105FFC" w:rsidRDefault="00C5621C" w:rsidP="008659D4">
      <w:pPr>
        <w:numPr>
          <w:ilvl w:val="1"/>
          <w:numId w:val="30"/>
        </w:numPr>
        <w:spacing w:after="120" w:line="276" w:lineRule="auto"/>
        <w:rPr>
          <w:rFonts w:asciiTheme="minorHAnsi" w:hAnsiTheme="minorHAnsi"/>
        </w:rPr>
      </w:pPr>
      <w:r w:rsidRPr="00105FFC">
        <w:rPr>
          <w:rFonts w:asciiTheme="minorHAnsi" w:hAnsiTheme="minorHAnsi"/>
        </w:rPr>
        <w:t xml:space="preserve">Percentage of singleton births classified as preterm (&lt;37 complete weeks of gestation) </w:t>
      </w:r>
      <w:r w:rsidR="008659D4" w:rsidRPr="00105FFC">
        <w:rPr>
          <w:rFonts w:asciiTheme="minorHAnsi" w:hAnsiTheme="minorHAnsi"/>
        </w:rPr>
        <w:t>in 2013 by payer type,</w:t>
      </w:r>
    </w:p>
    <w:p w14:paraId="21F9E2A1" w14:textId="77777777" w:rsidR="008659D4"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timing of prenatal care initiation,</w:t>
      </w:r>
    </w:p>
    <w:p w14:paraId="0A77FCF4" w14:textId="77777777" w:rsidR="00C5621C"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scope of coverage,</w:t>
      </w:r>
    </w:p>
    <w:p w14:paraId="382FD48A" w14:textId="77777777" w:rsidR="008659D4"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aid category,</w:t>
      </w:r>
    </w:p>
    <w:p w14:paraId="1DF978F1" w14:textId="77777777" w:rsidR="008659D4"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geographic region,</w:t>
      </w:r>
    </w:p>
    <w:p w14:paraId="06A181FB" w14:textId="77777777" w:rsidR="008659D4" w:rsidRPr="00105FFC" w:rsidRDefault="008659D4" w:rsidP="008659D4">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age group, and</w:t>
      </w:r>
    </w:p>
    <w:p w14:paraId="7D043825" w14:textId="77777777" w:rsidR="008659D4" w:rsidRPr="00105FFC" w:rsidRDefault="008659D4" w:rsidP="008659D4">
      <w:pPr>
        <w:numPr>
          <w:ilvl w:val="1"/>
          <w:numId w:val="30"/>
        </w:numPr>
        <w:spacing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race/ethnicity.</w:t>
      </w:r>
    </w:p>
    <w:p w14:paraId="25EAEBF6" w14:textId="77777777" w:rsidR="00C5621C" w:rsidRPr="00105FFC" w:rsidRDefault="00C5621C" w:rsidP="008659D4">
      <w:pPr>
        <w:spacing w:line="276" w:lineRule="auto"/>
        <w:jc w:val="both"/>
        <w:rPr>
          <w:rFonts w:asciiTheme="minorHAnsi" w:hAnsiTheme="minorHAnsi"/>
        </w:rPr>
      </w:pPr>
    </w:p>
    <w:p w14:paraId="406B1469" w14:textId="77777777" w:rsidR="00C5621C" w:rsidRPr="00105FFC" w:rsidRDefault="00C5621C" w:rsidP="00C5621C">
      <w:pPr>
        <w:spacing w:after="120" w:line="276" w:lineRule="auto"/>
        <w:rPr>
          <w:rFonts w:asciiTheme="minorHAnsi" w:hAnsiTheme="minorHAnsi"/>
        </w:rPr>
      </w:pPr>
      <w:r w:rsidRPr="00105FFC">
        <w:rPr>
          <w:rFonts w:asciiTheme="minorHAnsi" w:hAnsiTheme="minorHAnsi"/>
          <w:b/>
          <w:i/>
        </w:rPr>
        <w:t>Methodology</w:t>
      </w:r>
      <w:r w:rsidRPr="00105FFC">
        <w:rPr>
          <w:rFonts w:asciiTheme="minorHAnsi" w:hAnsiTheme="minorHAnsi"/>
          <w:b/>
        </w:rPr>
        <w:t>:</w:t>
      </w:r>
      <w:r w:rsidRPr="00105FFC">
        <w:rPr>
          <w:rFonts w:asciiTheme="minorHAnsi" w:hAnsiTheme="minorHAnsi"/>
        </w:rPr>
        <w:t xml:space="preserve">  The primary source of data for this measure is the birth certificates registered in California and recorded on the Birth Statistical Master File (BSMF) maintained by the California Department of Public Health’s (CDPH) Center for Health Statistics. Analyses in this measure cover both singleton and multiple-birth outcomes among FFS Medi-Cal Only mothers.</w:t>
      </w:r>
    </w:p>
    <w:p w14:paraId="66FAC407" w14:textId="77777777" w:rsidR="00C5621C" w:rsidRPr="00105FFC" w:rsidRDefault="00C5621C" w:rsidP="00C5621C">
      <w:pPr>
        <w:spacing w:after="120" w:line="276" w:lineRule="auto"/>
        <w:rPr>
          <w:rFonts w:asciiTheme="minorHAnsi" w:hAnsiTheme="minorHAnsi"/>
        </w:rPr>
      </w:pPr>
      <w:r w:rsidRPr="00105FFC">
        <w:rPr>
          <w:rFonts w:asciiTheme="minorHAnsi" w:hAnsiTheme="minorHAnsi"/>
        </w:rPr>
        <w:t xml:space="preserve">Data reflecting maternal age, education level, prevalence of smoking during pregnancy, and pre-pregnancy weight were also obtained from the California BSMF. Additional data from the Office of Statewide Planning and Development (OSHPD) hospital discharge file were used to identify comorbidities among women with deliveries in a hospital. </w:t>
      </w:r>
    </w:p>
    <w:p w14:paraId="3D3F301D" w14:textId="77777777" w:rsidR="00C5621C" w:rsidRPr="00105FFC" w:rsidRDefault="00C5621C" w:rsidP="00C5621C">
      <w:pPr>
        <w:spacing w:after="120" w:line="276" w:lineRule="auto"/>
        <w:rPr>
          <w:rFonts w:asciiTheme="minorHAnsi" w:hAnsiTheme="minorHAnsi"/>
        </w:rPr>
      </w:pPr>
      <w:r w:rsidRPr="00105FFC">
        <w:rPr>
          <w:rFonts w:asciiTheme="minorHAnsi" w:hAnsiTheme="minorHAnsi"/>
        </w:rPr>
        <w:t>Medi-Cal hospital inpatient claims containing a delivery diagnosis code and dates of service will be used to confirm birth certificate records for women giving birth while participating in FFS Medi-Cal. Births to these mothers were also validated against program enrollment data from the Medi-Cal Eligibility Determination System (MEDS).</w:t>
      </w:r>
    </w:p>
    <w:p w14:paraId="3C258DC5" w14:textId="77777777" w:rsidR="00C5621C" w:rsidRPr="00105FFC" w:rsidRDefault="00C5621C" w:rsidP="00C5621C">
      <w:pPr>
        <w:spacing w:after="120" w:line="276" w:lineRule="auto"/>
        <w:rPr>
          <w:rFonts w:asciiTheme="minorHAnsi" w:hAnsiTheme="minorHAnsi"/>
        </w:rPr>
      </w:pPr>
      <w:r w:rsidRPr="00105FFC">
        <w:rPr>
          <w:rFonts w:asciiTheme="minorHAnsi" w:hAnsiTheme="minorHAnsi"/>
        </w:rPr>
        <w:t>Self-reported prenatal care utilization data was collected from California birth certificates. Females were identified as having early initiation of prenatal care if their first visit occurred during the first trimester of their pregnancy.  E</w:t>
      </w:r>
      <w:r w:rsidRPr="00105FFC" w:rsidDel="00951312">
        <w:rPr>
          <w:rFonts w:asciiTheme="minorHAnsi" w:hAnsiTheme="minorHAnsi"/>
        </w:rPr>
        <w:t>arly births, or preterm births</w:t>
      </w:r>
      <w:r w:rsidRPr="00105FFC">
        <w:rPr>
          <w:rFonts w:asciiTheme="minorHAnsi" w:hAnsiTheme="minorHAnsi"/>
        </w:rPr>
        <w:t xml:space="preserve">, denote </w:t>
      </w:r>
      <w:r w:rsidRPr="00105FFC" w:rsidDel="00951312">
        <w:rPr>
          <w:rFonts w:asciiTheme="minorHAnsi" w:hAnsiTheme="minorHAnsi"/>
        </w:rPr>
        <w:t>babies born before 37 full weeks of gestation</w:t>
      </w:r>
      <w:r w:rsidRPr="00105FFC">
        <w:rPr>
          <w:rFonts w:asciiTheme="minorHAnsi" w:hAnsiTheme="minorHAnsi"/>
        </w:rPr>
        <w:t xml:space="preserve">.  </w:t>
      </w:r>
      <w:r w:rsidRPr="00105FFC" w:rsidDel="00951312">
        <w:rPr>
          <w:rFonts w:asciiTheme="minorHAnsi" w:hAnsiTheme="minorHAnsi"/>
        </w:rPr>
        <w:t xml:space="preserve">Low birthweight </w:t>
      </w:r>
      <w:r w:rsidRPr="00105FFC">
        <w:rPr>
          <w:rFonts w:asciiTheme="minorHAnsi" w:hAnsiTheme="minorHAnsi"/>
        </w:rPr>
        <w:t xml:space="preserve">refers to a </w:t>
      </w:r>
      <w:r w:rsidRPr="00105FFC" w:rsidDel="00951312">
        <w:rPr>
          <w:rFonts w:asciiTheme="minorHAnsi" w:hAnsiTheme="minorHAnsi"/>
        </w:rPr>
        <w:t>birthweight less than 2,500 grams</w:t>
      </w:r>
      <w:r w:rsidRPr="00105FFC">
        <w:rPr>
          <w:rFonts w:asciiTheme="minorHAnsi" w:hAnsiTheme="minorHAnsi"/>
        </w:rPr>
        <w:t>.</w:t>
      </w:r>
    </w:p>
    <w:p w14:paraId="07BC921D" w14:textId="77777777" w:rsidR="00C5621C" w:rsidRPr="00105FFC" w:rsidRDefault="00C5621C" w:rsidP="00C5621C">
      <w:pPr>
        <w:spacing w:after="120" w:line="276" w:lineRule="auto"/>
        <w:rPr>
          <w:rFonts w:asciiTheme="minorHAnsi" w:hAnsiTheme="minorHAnsi"/>
        </w:rPr>
      </w:pPr>
      <w:r w:rsidRPr="00105FFC">
        <w:rPr>
          <w:rFonts w:asciiTheme="minorHAnsi" w:hAnsiTheme="minorHAnsi"/>
          <w:b/>
          <w:i/>
        </w:rPr>
        <w:t>Data Source:</w:t>
      </w:r>
      <w:r w:rsidRPr="00105FFC">
        <w:rPr>
          <w:rFonts w:asciiTheme="minorHAnsi" w:hAnsiTheme="minorHAnsi"/>
          <w:i/>
        </w:rPr>
        <w:t xml:space="preserve"> </w:t>
      </w:r>
      <w:r w:rsidRPr="00105FFC">
        <w:rPr>
          <w:rFonts w:asciiTheme="minorHAnsi" w:hAnsiTheme="minorHAnsi"/>
        </w:rPr>
        <w:t xml:space="preserve"> Birth Statistical Master File, Office of Statewide Health Planning and Development Patient Discharge Data, Medi-Cal paid claims data, and Medi-Cal eligibility data. </w:t>
      </w:r>
    </w:p>
    <w:p w14:paraId="683E2A50" w14:textId="77777777" w:rsidR="0025749B" w:rsidRPr="00105FFC" w:rsidRDefault="0025749B">
      <w:pPr>
        <w:spacing w:after="200" w:line="276" w:lineRule="auto"/>
        <w:rPr>
          <w:rFonts w:asciiTheme="minorHAnsi" w:eastAsiaTheme="majorEastAsia" w:hAnsiTheme="minorHAnsi" w:cstheme="majorBidi"/>
          <w:b/>
          <w:bCs/>
          <w:sz w:val="28"/>
        </w:rPr>
      </w:pPr>
      <w:r w:rsidRPr="00105FFC">
        <w:rPr>
          <w:rFonts w:asciiTheme="minorHAnsi" w:hAnsiTheme="minorHAnsi"/>
        </w:rPr>
        <w:br w:type="page"/>
      </w:r>
    </w:p>
    <w:p w14:paraId="33EA3FB7" w14:textId="77777777" w:rsidR="001F66E4" w:rsidRPr="00105FFC" w:rsidRDefault="007B3D77" w:rsidP="001F66E4">
      <w:pPr>
        <w:pStyle w:val="Heading3"/>
        <w:spacing w:before="0" w:after="120" w:line="276" w:lineRule="auto"/>
        <w:rPr>
          <w:color w:val="auto"/>
        </w:rPr>
      </w:pPr>
      <w:bookmarkStart w:id="214" w:name="_Toc459287743"/>
      <w:r w:rsidRPr="00105FFC">
        <w:t>Evaluation Domain:</w:t>
      </w:r>
      <w:r w:rsidRPr="00105FFC">
        <w:rPr>
          <w:color w:val="auto"/>
        </w:rPr>
        <w:t xml:space="preserve"> </w:t>
      </w:r>
      <w:r w:rsidR="001F66E4" w:rsidRPr="00105FFC">
        <w:rPr>
          <w:color w:val="auto"/>
        </w:rPr>
        <w:t>Feedback</w:t>
      </w:r>
      <w:bookmarkEnd w:id="214"/>
    </w:p>
    <w:p w14:paraId="3C9B2499" w14:textId="77777777" w:rsidR="001F66E4" w:rsidRPr="00105FFC" w:rsidRDefault="001F66E4" w:rsidP="00D75025">
      <w:pPr>
        <w:spacing w:line="276" w:lineRule="auto"/>
        <w:rPr>
          <w:rFonts w:asciiTheme="minorHAnsi" w:hAnsiTheme="minorHAnsi"/>
        </w:rPr>
      </w:pPr>
      <w:r w:rsidRPr="00105FFC">
        <w:rPr>
          <w:rFonts w:asciiTheme="minorHAnsi" w:hAnsiTheme="minorHAnsi"/>
          <w:b/>
          <w:i/>
        </w:rPr>
        <w:t>Rationale:</w:t>
      </w:r>
      <w:r w:rsidRPr="00105FFC">
        <w:rPr>
          <w:rFonts w:asciiTheme="minorHAnsi" w:hAnsiTheme="minorHAnsi"/>
        </w:rPr>
        <w:t xml:space="preserve">  Help</w:t>
      </w:r>
      <w:r w:rsidR="002F7077" w:rsidRPr="00105FFC">
        <w:rPr>
          <w:rFonts w:asciiTheme="minorHAnsi" w:hAnsiTheme="minorHAnsi"/>
        </w:rPr>
        <w:t xml:space="preserve"> </w:t>
      </w:r>
      <w:r w:rsidRPr="00105FFC">
        <w:rPr>
          <w:rFonts w:asciiTheme="minorHAnsi" w:hAnsiTheme="minorHAnsi"/>
        </w:rPr>
        <w:t>lines provide needed assistance to FFS Medi-Cal beneficiaries</w:t>
      </w:r>
      <w:r w:rsidR="00DA02D4" w:rsidRPr="00105FFC">
        <w:rPr>
          <w:rFonts w:asciiTheme="minorHAnsi" w:hAnsiTheme="minorHAnsi"/>
        </w:rPr>
        <w:t xml:space="preserve"> and providers</w:t>
      </w:r>
      <w:r w:rsidRPr="00105FFC">
        <w:rPr>
          <w:rFonts w:asciiTheme="minorHAnsi" w:hAnsiTheme="minorHAnsi"/>
        </w:rPr>
        <w:t xml:space="preserve"> experiencing difficulties navigating the health care system and assist DHCS in </w:t>
      </w:r>
      <w:r w:rsidR="0085402D" w:rsidRPr="00105FFC">
        <w:rPr>
          <w:rFonts w:asciiTheme="minorHAnsi" w:hAnsiTheme="minorHAnsi"/>
        </w:rPr>
        <w:t>monitoring</w:t>
      </w:r>
      <w:r w:rsidRPr="00105FFC">
        <w:rPr>
          <w:rFonts w:asciiTheme="minorHAnsi" w:hAnsiTheme="minorHAnsi"/>
        </w:rPr>
        <w:t xml:space="preserve"> health care access.  While several administrative data sources can be used to monitor Medi-Cal participation and utilization, help</w:t>
      </w:r>
      <w:r w:rsidR="002F7077" w:rsidRPr="00105FFC">
        <w:rPr>
          <w:rFonts w:asciiTheme="minorHAnsi" w:hAnsiTheme="minorHAnsi"/>
        </w:rPr>
        <w:t xml:space="preserve"> </w:t>
      </w:r>
      <w:r w:rsidRPr="00105FFC">
        <w:rPr>
          <w:rFonts w:asciiTheme="minorHAnsi" w:hAnsiTheme="minorHAnsi"/>
        </w:rPr>
        <w:t>lines provide DHCS with information regarding experiences, including difficulties enrolling in the program, finding a provider, and receiving referrals to specialists.  This type of feedback enables DHCS to identify potential factors impeding beneficiaries’ use of services.</w:t>
      </w:r>
    </w:p>
    <w:p w14:paraId="26D7E89C" w14:textId="77777777" w:rsidR="00A54BD2" w:rsidRPr="00105FFC" w:rsidRDefault="00A54BD2" w:rsidP="00D75025">
      <w:pPr>
        <w:spacing w:line="276" w:lineRule="auto"/>
        <w:rPr>
          <w:rFonts w:asciiTheme="minorHAnsi" w:hAnsiTheme="minorHAnsi"/>
        </w:rPr>
      </w:pPr>
    </w:p>
    <w:p w14:paraId="44037925" w14:textId="77777777" w:rsidR="00A54BD2" w:rsidRPr="00105FFC" w:rsidRDefault="00A54BD2" w:rsidP="00D75025">
      <w:pPr>
        <w:spacing w:line="276" w:lineRule="auto"/>
        <w:rPr>
          <w:rFonts w:asciiTheme="minorHAnsi" w:hAnsiTheme="minorHAnsi"/>
        </w:rPr>
      </w:pPr>
      <w:r w:rsidRPr="00105FFC">
        <w:rPr>
          <w:rFonts w:asciiTheme="minorHAnsi" w:hAnsiTheme="minorHAnsi"/>
        </w:rPr>
        <w:t>DHCS is also developing a</w:t>
      </w:r>
      <w:r w:rsidR="00B43BB5">
        <w:rPr>
          <w:rFonts w:asciiTheme="minorHAnsi" w:hAnsiTheme="minorHAnsi"/>
        </w:rPr>
        <w:t>n</w:t>
      </w:r>
      <w:r w:rsidRPr="00105FFC">
        <w:rPr>
          <w:rFonts w:asciiTheme="minorHAnsi" w:hAnsiTheme="minorHAnsi"/>
        </w:rPr>
        <w:t xml:space="preserve"> Access Monitoring and Public Input webpage that will house this monitoring plan (including subsequent iterations and updates), reviews conducted according to this plan, as well ways that beneficiaries, providers, or other members of the public can contact DHCS regarding general access issue or provide public input on proposed State plan amendments.</w:t>
      </w:r>
    </w:p>
    <w:p w14:paraId="544B5D6D" w14:textId="77777777" w:rsidR="00D75025" w:rsidRPr="00105FFC" w:rsidRDefault="00D75025" w:rsidP="00D75025">
      <w:pPr>
        <w:spacing w:line="276" w:lineRule="auto"/>
        <w:rPr>
          <w:rFonts w:asciiTheme="minorHAnsi" w:hAnsiTheme="minorHAnsi"/>
        </w:rPr>
      </w:pPr>
    </w:p>
    <w:p w14:paraId="6A4C0865" w14:textId="77777777" w:rsidR="00283FBF" w:rsidRPr="00105FFC" w:rsidRDefault="007B3D77" w:rsidP="007B3D77">
      <w:pPr>
        <w:spacing w:after="120" w:line="276" w:lineRule="auto"/>
        <w:rPr>
          <w:rFonts w:asciiTheme="minorHAnsi" w:eastAsiaTheme="minorHAnsi" w:hAnsiTheme="minorHAnsi" w:cstheme="minorBidi"/>
        </w:rPr>
      </w:pPr>
      <w:r w:rsidRPr="00105FFC">
        <w:rPr>
          <w:rFonts w:asciiTheme="minorHAnsi" w:hAnsiTheme="minorHAnsi"/>
          <w:b/>
        </w:rPr>
        <w:t>Analysis Performed and Measures Evaluated:</w:t>
      </w:r>
      <w:r w:rsidR="00283FBF" w:rsidRPr="00105FFC">
        <w:rPr>
          <w:rFonts w:asciiTheme="minorHAnsi" w:hAnsiTheme="minorHAnsi"/>
          <w:b/>
        </w:rPr>
        <w:t xml:space="preserve"> </w:t>
      </w:r>
      <w:r w:rsidR="00283FBF" w:rsidRPr="00105FFC">
        <w:rPr>
          <w:rFonts w:asciiTheme="minorHAnsi" w:eastAsiaTheme="minorHAnsi" w:hAnsiTheme="minorHAnsi" w:cstheme="minorBidi"/>
        </w:rPr>
        <w:t>In this section, several measures will be presented and evaluated.  These include:</w:t>
      </w:r>
    </w:p>
    <w:p w14:paraId="01EAF6D1" w14:textId="77777777" w:rsidR="007B3D77" w:rsidRPr="00105FFC" w:rsidRDefault="00283FBF" w:rsidP="000D5FD8">
      <w:pPr>
        <w:pStyle w:val="ListParagraph"/>
        <w:numPr>
          <w:ilvl w:val="0"/>
          <w:numId w:val="30"/>
        </w:numPr>
        <w:spacing w:after="120" w:line="276" w:lineRule="auto"/>
        <w:rPr>
          <w:rFonts w:asciiTheme="minorHAnsi" w:hAnsiTheme="minorHAnsi"/>
        </w:rPr>
      </w:pPr>
      <w:r w:rsidRPr="00105FFC">
        <w:rPr>
          <w:rFonts w:asciiTheme="minorHAnsi" w:hAnsiTheme="minorHAnsi"/>
        </w:rPr>
        <w:t xml:space="preserve">Total calls received from FFS Medi-Cal beneficiaries </w:t>
      </w:r>
      <w:r w:rsidR="000D5FD8" w:rsidRPr="00105FFC">
        <w:rPr>
          <w:rFonts w:asciiTheme="minorHAnsi" w:hAnsiTheme="minorHAnsi"/>
        </w:rPr>
        <w:t>during SFYs 2013-14 and 2014-15 by quarter,</w:t>
      </w:r>
    </w:p>
    <w:p w14:paraId="2E0B6786" w14:textId="77777777" w:rsidR="000D5FD8" w:rsidRPr="00105FFC" w:rsidRDefault="000D5FD8" w:rsidP="000D5FD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during SFYs 2013-14 and 2014-15 by month,</w:t>
      </w:r>
    </w:p>
    <w:p w14:paraId="068F50FC" w14:textId="77777777" w:rsidR="000D5FD8" w:rsidRPr="00105FFC" w:rsidRDefault="000D5FD8" w:rsidP="000D5FD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residing in Los Angeles and Southern California geographic regions in SFYs 2013-14 and 2014-15 by quarter,</w:t>
      </w:r>
    </w:p>
    <w:p w14:paraId="43227ABC" w14:textId="77777777" w:rsidR="000D5FD8" w:rsidRPr="00105FFC" w:rsidRDefault="000D5FD8" w:rsidP="000D5FD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residing all other geographic regions in SFYs 2013-14 and 2014-15 by quarter,</w:t>
      </w:r>
    </w:p>
    <w:p w14:paraId="1CCB5810" w14:textId="77777777" w:rsidR="000D5FD8" w:rsidRPr="00105FFC" w:rsidRDefault="000D5FD8" w:rsidP="000D5FD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during SFYs 2013-14 and 2014-15 by geographic region and month,</w:t>
      </w:r>
    </w:p>
    <w:p w14:paraId="3FFE2884" w14:textId="77777777" w:rsidR="000D5FD8" w:rsidRPr="00105FFC" w:rsidRDefault="000D5FD8" w:rsidP="000D5FD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during SFYs 2013-14 and 2014-15 by aid category,</w:t>
      </w:r>
    </w:p>
    <w:p w14:paraId="14652D77" w14:textId="77777777" w:rsidR="000D5FD8" w:rsidRPr="00105FFC" w:rsidRDefault="000D5FD8" w:rsidP="000D5FD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during SFYs 2013-14 and 2014-15 by call category,</w:t>
      </w:r>
    </w:p>
    <w:p w14:paraId="088DFC16" w14:textId="77777777" w:rsidR="000D5FD8" w:rsidRPr="00105FFC" w:rsidRDefault="000D5FD8" w:rsidP="000D5FD8">
      <w:pPr>
        <w:pStyle w:val="ListParagraph"/>
        <w:numPr>
          <w:ilvl w:val="0"/>
          <w:numId w:val="30"/>
        </w:numPr>
        <w:spacing w:after="120" w:line="276" w:lineRule="auto"/>
        <w:rPr>
          <w:rFonts w:asciiTheme="minorHAnsi" w:hAnsiTheme="minorHAnsi"/>
        </w:rPr>
      </w:pPr>
      <w:r w:rsidRPr="00105FFC">
        <w:rPr>
          <w:rFonts w:asciiTheme="minorHAnsi" w:hAnsiTheme="minorHAnsi"/>
        </w:rPr>
        <w:t>Top three categories of calls received from FFS Medi-Cal beneficiaries in the Parent/Caretaker Relative aid category during SFYs 2013-14 and 2014-15, and</w:t>
      </w:r>
    </w:p>
    <w:p w14:paraId="4A0C80E7" w14:textId="77777777" w:rsidR="000D5FD8" w:rsidRPr="00105FFC" w:rsidRDefault="000D5FD8" w:rsidP="000D5FD8">
      <w:pPr>
        <w:pStyle w:val="ListParagraph"/>
        <w:numPr>
          <w:ilvl w:val="0"/>
          <w:numId w:val="30"/>
        </w:numPr>
        <w:spacing w:line="276" w:lineRule="auto"/>
        <w:rPr>
          <w:rFonts w:asciiTheme="minorHAnsi" w:hAnsiTheme="minorHAnsi"/>
        </w:rPr>
      </w:pPr>
      <w:r w:rsidRPr="00105FFC">
        <w:rPr>
          <w:rFonts w:asciiTheme="minorHAnsi" w:hAnsiTheme="minorHAnsi"/>
        </w:rPr>
        <w:t>Top three categories of calls received from FFS Medi-Cal beneficiaries in the SPD aid category during SFYs 2013-14 and 2014-15.</w:t>
      </w:r>
    </w:p>
    <w:p w14:paraId="5CB9FE80" w14:textId="77777777" w:rsidR="000D5FD8" w:rsidRPr="00105FFC" w:rsidRDefault="000D5FD8" w:rsidP="000D5FD8">
      <w:pPr>
        <w:spacing w:line="276" w:lineRule="auto"/>
        <w:rPr>
          <w:rFonts w:asciiTheme="minorHAnsi" w:hAnsiTheme="minorHAnsi"/>
          <w:b/>
          <w:i/>
        </w:rPr>
      </w:pPr>
    </w:p>
    <w:p w14:paraId="66655382" w14:textId="77777777" w:rsidR="001F66E4" w:rsidRPr="00105FFC" w:rsidRDefault="001F66E4" w:rsidP="00DC35FB">
      <w:pPr>
        <w:spacing w:after="120" w:line="276" w:lineRule="auto"/>
        <w:rPr>
          <w:rFonts w:asciiTheme="minorHAnsi" w:hAnsiTheme="minorHAnsi"/>
        </w:rPr>
      </w:pPr>
      <w:r w:rsidRPr="00105FFC">
        <w:rPr>
          <w:rFonts w:asciiTheme="minorHAnsi" w:hAnsiTheme="minorHAnsi"/>
          <w:b/>
          <w:i/>
        </w:rPr>
        <w:t>Methodology:</w:t>
      </w:r>
      <w:r w:rsidRPr="00105FFC">
        <w:rPr>
          <w:rFonts w:asciiTheme="minorHAnsi" w:hAnsiTheme="minorHAnsi"/>
        </w:rPr>
        <w:t xml:space="preserve"> </w:t>
      </w:r>
      <w:r w:rsidR="000D5FD8" w:rsidRPr="00105FFC">
        <w:rPr>
          <w:rFonts w:asciiTheme="minorHAnsi" w:hAnsiTheme="minorHAnsi"/>
        </w:rPr>
        <w:t xml:space="preserve">As data from the Department’s general helpline are not yet usable, this report relies on data obtained from the Medi-Cal Managed Care Office of the Ombudsman for the purpose of monitoring health care access.  </w:t>
      </w:r>
      <w:r w:rsidRPr="00105FFC">
        <w:rPr>
          <w:rFonts w:asciiTheme="minorHAnsi" w:hAnsiTheme="minorHAnsi"/>
        </w:rPr>
        <w:t xml:space="preserve">Upon receiving a call, the Office of the Ombudsman identifies whether a beneficiary is enrolled in FFS by their Medi-Cal identification number. For each of these calls, the call center recorded the date and time of their call, beneficiary aid category, county of residence, and reason for the call. </w:t>
      </w:r>
      <w:r w:rsidR="007B3D77" w:rsidRPr="00105FFC">
        <w:rPr>
          <w:rFonts w:asciiTheme="minorHAnsi" w:hAnsiTheme="minorHAnsi"/>
        </w:rPr>
        <w:t xml:space="preserve">The Office of the Ombudsman dataset will </w:t>
      </w:r>
      <w:r w:rsidR="00DC35FB" w:rsidRPr="00105FFC">
        <w:rPr>
          <w:rFonts w:asciiTheme="minorHAnsi" w:hAnsiTheme="minorHAnsi"/>
        </w:rPr>
        <w:t xml:space="preserve">be </w:t>
      </w:r>
      <w:r w:rsidR="007B3D77" w:rsidRPr="00105FFC">
        <w:rPr>
          <w:rFonts w:asciiTheme="minorHAnsi" w:hAnsiTheme="minorHAnsi"/>
        </w:rPr>
        <w:t>evaluated and grouped by various dimensions and trends in call volume will explored and evaluated against any changes in Medi-Cal policies or environmental changes.</w:t>
      </w:r>
    </w:p>
    <w:p w14:paraId="5841885A" w14:textId="77777777" w:rsidR="001F66E4" w:rsidRPr="00105FFC" w:rsidRDefault="001F66E4" w:rsidP="00D75025">
      <w:pPr>
        <w:spacing w:line="276" w:lineRule="auto"/>
        <w:rPr>
          <w:rFonts w:asciiTheme="minorHAnsi" w:hAnsiTheme="minorHAnsi"/>
        </w:rPr>
      </w:pPr>
      <w:r w:rsidRPr="00105FFC">
        <w:rPr>
          <w:rFonts w:asciiTheme="minorHAnsi" w:hAnsiTheme="minorHAnsi"/>
          <w:b/>
          <w:i/>
        </w:rPr>
        <w:t>Limitations:</w:t>
      </w:r>
      <w:r w:rsidRPr="00105FFC">
        <w:rPr>
          <w:rFonts w:asciiTheme="minorHAnsi" w:hAnsiTheme="minorHAnsi"/>
        </w:rPr>
        <w:t xml:space="preserve"> The contact information for the Office of the Ombudsman call center is listed on managed care informing materials (e.g. Notification to beneficiaries that they must enroll in managed care). As a result, calls received from FFS beneficiaries may be skewed in reflecting transition-related issues. For instance, these issues may include questions from beneficiaries regarding pending enrollment or whether their FFS provider will be available to them in managed care.</w:t>
      </w:r>
    </w:p>
    <w:p w14:paraId="6518D4A3" w14:textId="77777777" w:rsidR="00D75025" w:rsidRPr="00105FFC" w:rsidRDefault="00D75025" w:rsidP="00D75025">
      <w:pPr>
        <w:spacing w:line="276" w:lineRule="auto"/>
        <w:rPr>
          <w:rFonts w:asciiTheme="minorHAnsi" w:hAnsiTheme="minorHAnsi"/>
        </w:rPr>
      </w:pPr>
    </w:p>
    <w:p w14:paraId="04A2594B" w14:textId="77777777" w:rsidR="001F66E4" w:rsidRPr="00105FFC" w:rsidRDefault="001F66E4" w:rsidP="001F66E4">
      <w:pPr>
        <w:spacing w:after="120" w:line="276" w:lineRule="auto"/>
        <w:rPr>
          <w:rFonts w:asciiTheme="minorHAnsi" w:hAnsiTheme="minorHAnsi"/>
        </w:rPr>
      </w:pPr>
      <w:r w:rsidRPr="00105FFC">
        <w:rPr>
          <w:rFonts w:asciiTheme="minorHAnsi" w:hAnsiTheme="minorHAnsi"/>
          <w:b/>
          <w:i/>
        </w:rPr>
        <w:t>Data Source:</w:t>
      </w:r>
      <w:r w:rsidRPr="00105FFC">
        <w:rPr>
          <w:rFonts w:asciiTheme="minorHAnsi" w:hAnsiTheme="minorHAnsi"/>
          <w:i/>
        </w:rPr>
        <w:t xml:space="preserve"> </w:t>
      </w:r>
      <w:r w:rsidRPr="00105FFC">
        <w:rPr>
          <w:rFonts w:asciiTheme="minorHAnsi" w:hAnsiTheme="minorHAnsi"/>
        </w:rPr>
        <w:t xml:space="preserve"> Medi-Cal Managed Care Office of the Ombudsman call center</w:t>
      </w:r>
      <w:r w:rsidR="00E028EB" w:rsidRPr="00105FFC">
        <w:rPr>
          <w:rFonts w:asciiTheme="minorHAnsi" w:hAnsiTheme="minorHAnsi"/>
        </w:rPr>
        <w:t xml:space="preserve"> (for baseline analysis); in the future, information from the FFS helpline as well as contacts through the Access webpage will be included.</w:t>
      </w:r>
      <w:r w:rsidRPr="00105FFC">
        <w:rPr>
          <w:rFonts w:asciiTheme="minorHAnsi" w:hAnsiTheme="minorHAnsi"/>
        </w:rPr>
        <w:br w:type="page"/>
      </w:r>
    </w:p>
    <w:p w14:paraId="6348512F" w14:textId="77777777" w:rsidR="00F57E2B" w:rsidRPr="00105FFC" w:rsidRDefault="0029169E" w:rsidP="002E3A30">
      <w:pPr>
        <w:pStyle w:val="Heading3"/>
        <w:spacing w:before="0" w:line="276" w:lineRule="auto"/>
        <w:rPr>
          <w:color w:val="auto"/>
        </w:rPr>
      </w:pPr>
      <w:bookmarkStart w:id="215" w:name="_Toc459287744"/>
      <w:r w:rsidRPr="00105FFC">
        <w:t>Evaluation Domain:</w:t>
      </w:r>
      <w:r w:rsidRPr="00105FFC">
        <w:rPr>
          <w:color w:val="auto"/>
        </w:rPr>
        <w:t xml:space="preserve"> </w:t>
      </w:r>
      <w:r w:rsidR="00F57E2B" w:rsidRPr="00105FFC">
        <w:rPr>
          <w:color w:val="auto"/>
        </w:rPr>
        <w:t xml:space="preserve">Dental </w:t>
      </w:r>
      <w:r w:rsidRPr="00105FFC">
        <w:rPr>
          <w:color w:val="auto"/>
        </w:rPr>
        <w:t>Eligibles and Utilization</w:t>
      </w:r>
      <w:bookmarkEnd w:id="215"/>
    </w:p>
    <w:p w14:paraId="685F6817" w14:textId="77777777" w:rsidR="002E3A30" w:rsidRPr="00105FFC" w:rsidRDefault="002E3A30" w:rsidP="002E3A30">
      <w:pPr>
        <w:spacing w:line="276" w:lineRule="auto"/>
        <w:rPr>
          <w:rFonts w:asciiTheme="minorHAnsi" w:hAnsiTheme="minorHAnsi"/>
          <w:b/>
          <w:i/>
        </w:rPr>
      </w:pPr>
    </w:p>
    <w:p w14:paraId="2F292967" w14:textId="77777777" w:rsidR="00F57E2B" w:rsidRPr="00105FFC" w:rsidRDefault="00F57E2B" w:rsidP="002E3A30">
      <w:pPr>
        <w:spacing w:line="276" w:lineRule="auto"/>
        <w:rPr>
          <w:rFonts w:asciiTheme="minorHAnsi" w:hAnsiTheme="minorHAnsi"/>
        </w:rPr>
      </w:pPr>
      <w:r w:rsidRPr="00105FFC">
        <w:rPr>
          <w:rFonts w:asciiTheme="minorHAnsi" w:hAnsiTheme="minorHAnsi"/>
          <w:b/>
          <w:i/>
        </w:rPr>
        <w:t>Rationale:</w:t>
      </w:r>
      <w:r w:rsidRPr="00105FFC">
        <w:rPr>
          <w:rFonts w:asciiTheme="minorHAnsi" w:hAnsiTheme="minorHAnsi"/>
        </w:rPr>
        <w:t xml:space="preserve">  </w:t>
      </w:r>
      <w:r w:rsidR="00C33365" w:rsidRPr="00105FFC">
        <w:rPr>
          <w:rFonts w:asciiTheme="minorHAnsi" w:hAnsiTheme="minorHAnsi"/>
          <w:color w:val="000000"/>
        </w:rPr>
        <w:t>The benefits of seeing a dentist annually include an increased likelihood of receiving early diagnosis and treatment of dental disease and preventive dental services.  </w:t>
      </w:r>
      <w:r w:rsidRPr="00105FFC">
        <w:rPr>
          <w:rFonts w:asciiTheme="minorHAnsi" w:hAnsiTheme="minorHAnsi"/>
        </w:rPr>
        <w:t xml:space="preserve">Measures such as this have also been recommended by the AHRQ as one of many tools to monitor access in safety net healthcare systems.  Data can be </w:t>
      </w:r>
      <w:r w:rsidR="00C92DD9" w:rsidRPr="00105FFC">
        <w:rPr>
          <w:rFonts w:asciiTheme="minorHAnsi" w:hAnsiTheme="minorHAnsi"/>
        </w:rPr>
        <w:t xml:space="preserve">utilized </w:t>
      </w:r>
      <w:r w:rsidRPr="00105FFC">
        <w:rPr>
          <w:rFonts w:asciiTheme="minorHAnsi" w:hAnsiTheme="minorHAnsi"/>
        </w:rPr>
        <w:t xml:space="preserve">to identify trends in </w:t>
      </w:r>
      <w:r w:rsidR="00C92DD9" w:rsidRPr="00105FFC">
        <w:rPr>
          <w:rFonts w:asciiTheme="minorHAnsi" w:hAnsiTheme="minorHAnsi"/>
        </w:rPr>
        <w:t>Denti-Cal</w:t>
      </w:r>
      <w:r w:rsidR="00D92511" w:rsidRPr="00105FFC">
        <w:rPr>
          <w:rFonts w:asciiTheme="minorHAnsi" w:hAnsiTheme="minorHAnsi"/>
        </w:rPr>
        <w:t xml:space="preserve"> and</w:t>
      </w:r>
      <w:r w:rsidRPr="00105FFC">
        <w:rPr>
          <w:rFonts w:asciiTheme="minorHAnsi" w:hAnsiTheme="minorHAnsi"/>
        </w:rPr>
        <w:t xml:space="preserve"> to anticipate need for program services.  Administrative data is readily available for this measure through the </w:t>
      </w:r>
      <w:r w:rsidR="00B931BF" w:rsidRPr="00105FFC">
        <w:rPr>
          <w:rFonts w:asciiTheme="minorHAnsi" w:hAnsiTheme="minorHAnsi"/>
        </w:rPr>
        <w:t>Denti-Cal</w:t>
      </w:r>
      <w:r w:rsidRPr="00105FFC">
        <w:rPr>
          <w:rFonts w:asciiTheme="minorHAnsi" w:hAnsiTheme="minorHAnsi"/>
        </w:rPr>
        <w:t xml:space="preserve"> program. </w:t>
      </w:r>
    </w:p>
    <w:p w14:paraId="59260F3C" w14:textId="77777777" w:rsidR="002E3A30" w:rsidRPr="00105FFC" w:rsidRDefault="002E3A30" w:rsidP="002E3A30">
      <w:pPr>
        <w:spacing w:line="276" w:lineRule="auto"/>
        <w:rPr>
          <w:rFonts w:asciiTheme="minorHAnsi" w:hAnsiTheme="minorHAnsi"/>
        </w:rPr>
      </w:pPr>
    </w:p>
    <w:p w14:paraId="24236131" w14:textId="77777777" w:rsidR="004F2F92" w:rsidRPr="00105FFC" w:rsidRDefault="004F2F92" w:rsidP="00F97C68">
      <w:pPr>
        <w:spacing w:after="120" w:line="276" w:lineRule="auto"/>
        <w:rPr>
          <w:rFonts w:asciiTheme="minorHAnsi" w:hAnsiTheme="minorHAnsi"/>
          <w:b/>
        </w:rPr>
      </w:pPr>
      <w:r w:rsidRPr="00105FFC">
        <w:rPr>
          <w:rFonts w:asciiTheme="minorHAnsi" w:hAnsiTheme="minorHAnsi"/>
          <w:b/>
        </w:rPr>
        <w:t>Analysis Performed and Measures Evaluated:</w:t>
      </w:r>
      <w:r w:rsidR="00F97C68" w:rsidRPr="00105FFC">
        <w:rPr>
          <w:rFonts w:asciiTheme="minorHAnsi" w:hAnsiTheme="minorHAnsi"/>
          <w:b/>
        </w:rPr>
        <w:t xml:space="preserve"> </w:t>
      </w:r>
      <w:r w:rsidR="00F97C68" w:rsidRPr="00105FFC">
        <w:rPr>
          <w:rFonts w:asciiTheme="minorHAnsi" w:hAnsiTheme="minorHAnsi"/>
        </w:rPr>
        <w:t>In this section, several measures will be presented and evaluated.  These include:</w:t>
      </w:r>
    </w:p>
    <w:p w14:paraId="7C5459F5" w14:textId="77777777" w:rsidR="002643A5" w:rsidRPr="00105FFC" w:rsidRDefault="008374DE" w:rsidP="004F2F92">
      <w:pPr>
        <w:pStyle w:val="Caption"/>
        <w:numPr>
          <w:ilvl w:val="0"/>
          <w:numId w:val="30"/>
        </w:numPr>
        <w:spacing w:after="120" w:line="276" w:lineRule="auto"/>
        <w:rPr>
          <w:rFonts w:asciiTheme="minorHAnsi" w:hAnsiTheme="minorHAnsi"/>
          <w:b w:val="0"/>
          <w:bCs w:val="0"/>
          <w:color w:val="auto"/>
          <w:sz w:val="24"/>
          <w:szCs w:val="24"/>
        </w:rPr>
      </w:pPr>
      <w:r w:rsidRPr="00105FFC">
        <w:rPr>
          <w:rFonts w:asciiTheme="minorHAnsi" w:hAnsiTheme="minorHAnsi"/>
          <w:b w:val="0"/>
          <w:bCs w:val="0"/>
          <w:color w:val="auto"/>
          <w:sz w:val="24"/>
          <w:szCs w:val="24"/>
        </w:rPr>
        <w:t>D</w:t>
      </w:r>
      <w:r w:rsidR="00F97C68" w:rsidRPr="00105FFC">
        <w:rPr>
          <w:rFonts w:asciiTheme="minorHAnsi" w:hAnsiTheme="minorHAnsi"/>
          <w:b w:val="0"/>
          <w:bCs w:val="0"/>
          <w:color w:val="auto"/>
          <w:sz w:val="24"/>
          <w:szCs w:val="24"/>
        </w:rPr>
        <w:t xml:space="preserve">istribution of dental providers in CY 2014 and </w:t>
      </w:r>
      <w:r w:rsidRPr="00105FFC">
        <w:rPr>
          <w:rFonts w:asciiTheme="minorHAnsi" w:hAnsiTheme="minorHAnsi"/>
          <w:b w:val="0"/>
          <w:bCs w:val="0"/>
          <w:color w:val="auto"/>
          <w:sz w:val="24"/>
          <w:szCs w:val="24"/>
        </w:rPr>
        <w:t xml:space="preserve">CY </w:t>
      </w:r>
      <w:r w:rsidR="002643A5" w:rsidRPr="00105FFC">
        <w:rPr>
          <w:rFonts w:asciiTheme="minorHAnsi" w:hAnsiTheme="minorHAnsi"/>
          <w:b w:val="0"/>
          <w:bCs w:val="0"/>
          <w:color w:val="auto"/>
          <w:sz w:val="24"/>
          <w:szCs w:val="24"/>
        </w:rPr>
        <w:t>2</w:t>
      </w:r>
      <w:r w:rsidR="00F97C68" w:rsidRPr="00105FFC">
        <w:rPr>
          <w:rFonts w:asciiTheme="minorHAnsi" w:hAnsiTheme="minorHAnsi"/>
          <w:b w:val="0"/>
          <w:bCs w:val="0"/>
          <w:color w:val="auto"/>
          <w:sz w:val="24"/>
          <w:szCs w:val="24"/>
        </w:rPr>
        <w:t>015</w:t>
      </w:r>
      <w:r w:rsidR="002643A5" w:rsidRPr="00105FFC">
        <w:rPr>
          <w:rFonts w:asciiTheme="minorHAnsi" w:hAnsiTheme="minorHAnsi"/>
          <w:b w:val="0"/>
          <w:bCs w:val="0"/>
          <w:color w:val="auto"/>
          <w:sz w:val="24"/>
          <w:szCs w:val="24"/>
        </w:rPr>
        <w:t xml:space="preserve"> by geographic region,</w:t>
      </w:r>
    </w:p>
    <w:p w14:paraId="4B0BFEF2" w14:textId="77777777" w:rsidR="004F2F92" w:rsidRPr="00105FFC" w:rsidRDefault="008374DE" w:rsidP="008374DE">
      <w:pPr>
        <w:pStyle w:val="Caption"/>
        <w:numPr>
          <w:ilvl w:val="0"/>
          <w:numId w:val="30"/>
        </w:numPr>
        <w:spacing w:after="120" w:line="276" w:lineRule="auto"/>
        <w:rPr>
          <w:rFonts w:asciiTheme="minorHAnsi" w:hAnsiTheme="minorHAnsi"/>
          <w:b w:val="0"/>
          <w:bCs w:val="0"/>
          <w:color w:val="auto"/>
          <w:sz w:val="24"/>
          <w:szCs w:val="24"/>
        </w:rPr>
      </w:pPr>
      <w:r w:rsidRPr="00105FFC">
        <w:rPr>
          <w:rFonts w:asciiTheme="minorHAnsi" w:hAnsiTheme="minorHAnsi"/>
          <w:b w:val="0"/>
          <w:bCs w:val="0"/>
          <w:color w:val="auto"/>
          <w:sz w:val="24"/>
          <w:szCs w:val="24"/>
        </w:rPr>
        <w:t>Proportion of FFS Medi-Cal beneficiaries Ages 0-20 with at least 11 months of enrollment in either CY 2014 or CY 2015</w:t>
      </w:r>
      <w:r w:rsidR="00F97C68" w:rsidRPr="00105FFC">
        <w:rPr>
          <w:rFonts w:asciiTheme="minorHAnsi" w:hAnsiTheme="minorHAnsi"/>
          <w:b w:val="0"/>
          <w:bCs w:val="0"/>
          <w:color w:val="auto"/>
          <w:sz w:val="24"/>
          <w:szCs w:val="24"/>
        </w:rPr>
        <w:t xml:space="preserve"> </w:t>
      </w:r>
      <w:r w:rsidRPr="00105FFC">
        <w:rPr>
          <w:rFonts w:asciiTheme="minorHAnsi" w:hAnsiTheme="minorHAnsi"/>
          <w:b w:val="0"/>
          <w:bCs w:val="0"/>
          <w:color w:val="auto"/>
          <w:sz w:val="24"/>
          <w:szCs w:val="24"/>
        </w:rPr>
        <w:t>who received a preventative dental service by geographic region,</w:t>
      </w:r>
    </w:p>
    <w:p w14:paraId="264055F8" w14:textId="77777777" w:rsidR="008374DE" w:rsidRPr="00105FFC" w:rsidRDefault="008374DE" w:rsidP="008374DE">
      <w:pPr>
        <w:pStyle w:val="Caption"/>
        <w:numPr>
          <w:ilvl w:val="0"/>
          <w:numId w:val="30"/>
        </w:numPr>
        <w:spacing w:after="120" w:line="276" w:lineRule="auto"/>
        <w:rPr>
          <w:rFonts w:asciiTheme="minorHAnsi" w:hAnsiTheme="minorHAnsi"/>
          <w:b w:val="0"/>
          <w:bCs w:val="0"/>
          <w:color w:val="auto"/>
          <w:sz w:val="24"/>
          <w:szCs w:val="24"/>
        </w:rPr>
      </w:pPr>
      <w:r w:rsidRPr="00105FFC">
        <w:rPr>
          <w:rFonts w:asciiTheme="minorHAnsi" w:hAnsiTheme="minorHAnsi"/>
          <w:b w:val="0"/>
          <w:bCs w:val="0"/>
          <w:color w:val="auto"/>
          <w:sz w:val="24"/>
          <w:szCs w:val="24"/>
        </w:rPr>
        <w:t>Proportion of FFS Medi-Cal beneficiaries Ages 0-20 with at least 11 months of enrollment in either CY 2014 or CY 2015 who received any type of dental service by geographic region,</w:t>
      </w:r>
    </w:p>
    <w:p w14:paraId="0D2ECC96" w14:textId="77777777" w:rsidR="008374DE" w:rsidRPr="00105FFC" w:rsidRDefault="008374DE" w:rsidP="008374DE">
      <w:pPr>
        <w:pStyle w:val="Caption"/>
        <w:numPr>
          <w:ilvl w:val="0"/>
          <w:numId w:val="30"/>
        </w:numPr>
        <w:spacing w:after="120" w:line="276" w:lineRule="auto"/>
        <w:rPr>
          <w:rFonts w:asciiTheme="minorHAnsi" w:hAnsiTheme="minorHAnsi"/>
          <w:b w:val="0"/>
          <w:bCs w:val="0"/>
          <w:color w:val="auto"/>
          <w:sz w:val="24"/>
          <w:szCs w:val="24"/>
        </w:rPr>
      </w:pPr>
      <w:r w:rsidRPr="00105FFC">
        <w:rPr>
          <w:rFonts w:asciiTheme="minorHAnsi" w:hAnsiTheme="minorHAnsi"/>
          <w:b w:val="0"/>
          <w:bCs w:val="0"/>
          <w:color w:val="auto"/>
          <w:sz w:val="24"/>
          <w:szCs w:val="24"/>
        </w:rPr>
        <w:t>Proportion of FFS Medi-Cal beneficiaries Ages 0-20 with at least 11 months of enrollment in either CY 2014 or CY 2015 who received a dental service in a clinic setting by geographic region,</w:t>
      </w:r>
    </w:p>
    <w:p w14:paraId="576B4087" w14:textId="77777777" w:rsidR="008374DE" w:rsidRPr="00105FFC" w:rsidRDefault="008374DE" w:rsidP="008374DE">
      <w:pPr>
        <w:pStyle w:val="ListParagraph"/>
        <w:numPr>
          <w:ilvl w:val="0"/>
          <w:numId w:val="30"/>
        </w:numPr>
        <w:spacing w:after="240" w:line="276" w:lineRule="auto"/>
        <w:rPr>
          <w:rFonts w:asciiTheme="minorHAnsi" w:hAnsiTheme="minorHAnsi"/>
        </w:rPr>
      </w:pPr>
      <w:r w:rsidRPr="00105FFC">
        <w:rPr>
          <w:rFonts w:asciiTheme="minorHAnsi" w:hAnsiTheme="minorHAnsi"/>
        </w:rPr>
        <w:t xml:space="preserve">Percentage of 25 most utilized dental procedure reimbursement rates in SFY 2013-14 in relation to of comparable State’s Medicaid programs, and </w:t>
      </w:r>
    </w:p>
    <w:p w14:paraId="4897510F" w14:textId="77777777" w:rsidR="008374DE" w:rsidRPr="00105FFC" w:rsidRDefault="008374DE" w:rsidP="008374DE">
      <w:pPr>
        <w:pStyle w:val="ListParagraph"/>
        <w:numPr>
          <w:ilvl w:val="0"/>
          <w:numId w:val="30"/>
        </w:numPr>
        <w:spacing w:line="276" w:lineRule="auto"/>
        <w:rPr>
          <w:rFonts w:asciiTheme="minorHAnsi" w:hAnsiTheme="minorHAnsi"/>
        </w:rPr>
      </w:pPr>
      <w:r w:rsidRPr="00105FFC">
        <w:rPr>
          <w:rFonts w:asciiTheme="minorHAnsi" w:hAnsiTheme="minorHAnsi"/>
        </w:rPr>
        <w:t>Percentage of 25 most utilized dental procedure reimbursement rates in SFY 2014-15 in relation to of comparable State’s Medicaid programs.</w:t>
      </w:r>
    </w:p>
    <w:p w14:paraId="700D9A5E" w14:textId="77777777" w:rsidR="008374DE" w:rsidRPr="00105FFC" w:rsidRDefault="008374DE" w:rsidP="008374DE">
      <w:pPr>
        <w:rPr>
          <w:rFonts w:asciiTheme="minorHAnsi" w:hAnsiTheme="minorHAnsi"/>
        </w:rPr>
      </w:pPr>
    </w:p>
    <w:p w14:paraId="54E7F3E5" w14:textId="77777777" w:rsidR="00B931BF" w:rsidRPr="00105FFC" w:rsidRDefault="00B931BF" w:rsidP="002E3A30">
      <w:pPr>
        <w:autoSpaceDE w:val="0"/>
        <w:autoSpaceDN w:val="0"/>
        <w:adjustRightInd w:val="0"/>
        <w:spacing w:line="276" w:lineRule="auto"/>
        <w:rPr>
          <w:rFonts w:asciiTheme="minorHAnsi" w:hAnsiTheme="minorHAnsi"/>
        </w:rPr>
      </w:pPr>
      <w:r w:rsidRPr="00105FFC">
        <w:rPr>
          <w:rFonts w:asciiTheme="minorHAnsi" w:hAnsiTheme="minorHAnsi"/>
          <w:b/>
          <w:i/>
        </w:rPr>
        <w:t>Methodology:</w:t>
      </w:r>
      <w:r w:rsidR="00680992" w:rsidRPr="00105FFC">
        <w:rPr>
          <w:rFonts w:asciiTheme="minorHAnsi" w:hAnsiTheme="minorHAnsi"/>
          <w:b/>
          <w:i/>
        </w:rPr>
        <w:t xml:space="preserve">  </w:t>
      </w:r>
      <w:r w:rsidR="00DA02D4" w:rsidRPr="00105FFC">
        <w:rPr>
          <w:rFonts w:asciiTheme="minorHAnsi" w:eastAsiaTheme="minorHAnsi" w:hAnsiTheme="minorHAnsi" w:cstheme="minorBidi"/>
        </w:rPr>
        <w:t xml:space="preserve">The Dental measure analyzes dental services utilization in CY 2014 among beneficiaries who were continuously eligible for at least </w:t>
      </w:r>
      <w:r w:rsidR="008374DE" w:rsidRPr="00105FFC">
        <w:rPr>
          <w:rFonts w:asciiTheme="minorHAnsi" w:eastAsiaTheme="minorHAnsi" w:hAnsiTheme="minorHAnsi" w:cstheme="minorBidi"/>
        </w:rPr>
        <w:t>11 months in the study period</w:t>
      </w:r>
      <w:r w:rsidR="00DA02D4" w:rsidRPr="00105FFC">
        <w:rPr>
          <w:rFonts w:asciiTheme="minorHAnsi" w:eastAsiaTheme="minorHAnsi" w:hAnsiTheme="minorHAnsi" w:cstheme="minorBidi"/>
        </w:rPr>
        <w:t>. As beneficiaries ages 21 and older became eligible to receive dental services in May 2014,</w:t>
      </w:r>
      <w:r w:rsidR="00DA02D4" w:rsidRPr="00105FFC">
        <w:rPr>
          <w:rStyle w:val="FootnoteReference"/>
          <w:rFonts w:asciiTheme="minorHAnsi" w:eastAsiaTheme="minorHAnsi" w:hAnsiTheme="minorHAnsi" w:cstheme="minorBidi"/>
        </w:rPr>
        <w:footnoteReference w:id="15"/>
      </w:r>
      <w:r w:rsidR="00DA02D4" w:rsidRPr="00105FFC">
        <w:rPr>
          <w:rFonts w:asciiTheme="minorHAnsi" w:eastAsiaTheme="minorHAnsi" w:hAnsiTheme="minorHAnsi" w:cstheme="minorBidi"/>
        </w:rPr>
        <w:t xml:space="preserve"> the analysis focuses on dental services utilization among beneficiaries ages 0 – 20.</w:t>
      </w:r>
      <w:r w:rsidR="008E69CF" w:rsidRPr="00105FFC">
        <w:rPr>
          <w:rFonts w:asciiTheme="minorHAnsi" w:eastAsiaTheme="minorHAnsi" w:hAnsiTheme="minorHAnsi" w:cstheme="minorBidi"/>
        </w:rPr>
        <w:t xml:space="preserve"> </w:t>
      </w:r>
      <w:r w:rsidR="00DA02D4" w:rsidRPr="00105FFC">
        <w:rPr>
          <w:rFonts w:asciiTheme="minorHAnsi" w:hAnsiTheme="minorHAnsi"/>
        </w:rPr>
        <w:t>T</w:t>
      </w:r>
      <w:r w:rsidR="008E69CF" w:rsidRPr="00105FFC">
        <w:rPr>
          <w:rFonts w:asciiTheme="minorHAnsi" w:hAnsiTheme="minorHAnsi"/>
        </w:rPr>
        <w:t xml:space="preserve">he unit of measure </w:t>
      </w:r>
      <w:r w:rsidR="00DA02D4" w:rsidRPr="00105FFC">
        <w:rPr>
          <w:rFonts w:asciiTheme="minorHAnsi" w:hAnsiTheme="minorHAnsi"/>
        </w:rPr>
        <w:t xml:space="preserve">is the number of unique visits. </w:t>
      </w:r>
      <w:r w:rsidR="004F2F92" w:rsidRPr="00105FFC">
        <w:rPr>
          <w:rFonts w:asciiTheme="minorHAnsi" w:hAnsiTheme="minorHAnsi"/>
        </w:rPr>
        <w:t>Note that all Medi-Cal beneficiaries, including those in managed care health plans, are included in these analyses.</w:t>
      </w:r>
    </w:p>
    <w:p w14:paraId="32426121" w14:textId="77777777" w:rsidR="002E3A30" w:rsidRPr="00105FFC" w:rsidRDefault="002E3A30" w:rsidP="002E3A30">
      <w:pPr>
        <w:autoSpaceDE w:val="0"/>
        <w:autoSpaceDN w:val="0"/>
        <w:adjustRightInd w:val="0"/>
        <w:spacing w:line="276" w:lineRule="auto"/>
        <w:rPr>
          <w:rFonts w:asciiTheme="minorHAnsi" w:hAnsiTheme="minorHAnsi"/>
          <w:b/>
          <w:i/>
        </w:rPr>
      </w:pPr>
    </w:p>
    <w:p w14:paraId="379501C9" w14:textId="77777777" w:rsidR="00B931BF" w:rsidRPr="00105FFC" w:rsidRDefault="00F57E2B" w:rsidP="002D04DA">
      <w:pPr>
        <w:spacing w:after="120" w:line="276" w:lineRule="auto"/>
        <w:rPr>
          <w:rFonts w:asciiTheme="minorHAnsi" w:hAnsiTheme="minorHAnsi"/>
          <w:i/>
        </w:rPr>
      </w:pPr>
      <w:r w:rsidRPr="00105FFC">
        <w:rPr>
          <w:rFonts w:asciiTheme="minorHAnsi" w:hAnsiTheme="minorHAnsi"/>
          <w:b/>
          <w:i/>
        </w:rPr>
        <w:t>Data Source:</w:t>
      </w:r>
      <w:r w:rsidRPr="00105FFC">
        <w:rPr>
          <w:rFonts w:asciiTheme="minorHAnsi" w:hAnsiTheme="minorHAnsi"/>
          <w:i/>
        </w:rPr>
        <w:t xml:space="preserve">  </w:t>
      </w:r>
      <w:r w:rsidR="00DA0405" w:rsidRPr="00105FFC">
        <w:rPr>
          <w:rFonts w:asciiTheme="minorHAnsi" w:hAnsiTheme="minorHAnsi"/>
        </w:rPr>
        <w:t>MIS/DSS and the Medi-Cal Fiscal Intermediary’s 35-file of paid claims records.</w:t>
      </w:r>
    </w:p>
    <w:p w14:paraId="6A724AD8" w14:textId="77777777" w:rsidR="00B931BF" w:rsidRPr="00105FFC" w:rsidRDefault="00B931BF" w:rsidP="002D04DA">
      <w:pPr>
        <w:spacing w:after="120" w:line="276" w:lineRule="auto"/>
        <w:rPr>
          <w:rFonts w:asciiTheme="minorHAnsi" w:hAnsiTheme="minorHAnsi" w:cs="Arial"/>
        </w:rPr>
      </w:pPr>
      <w:r w:rsidRPr="00105FFC">
        <w:rPr>
          <w:rFonts w:asciiTheme="minorHAnsi" w:hAnsiTheme="minorHAnsi" w:cs="Arial"/>
        </w:rPr>
        <w:br w:type="page"/>
      </w:r>
    </w:p>
    <w:p w14:paraId="3DAE1D9B" w14:textId="77777777" w:rsidR="00F15D92" w:rsidRPr="00105FFC" w:rsidRDefault="008F7DCD" w:rsidP="002E3A30">
      <w:pPr>
        <w:pStyle w:val="Heading3"/>
        <w:spacing w:before="0" w:line="276" w:lineRule="auto"/>
        <w:rPr>
          <w:color w:val="auto"/>
        </w:rPr>
      </w:pPr>
      <w:bookmarkStart w:id="216" w:name="_Toc459287745"/>
      <w:r w:rsidRPr="00105FFC">
        <w:rPr>
          <w:color w:val="auto"/>
        </w:rPr>
        <w:t xml:space="preserve">Evaluation Domain: </w:t>
      </w:r>
      <w:r w:rsidR="00AE103C" w:rsidRPr="00105FFC">
        <w:rPr>
          <w:color w:val="auto"/>
        </w:rPr>
        <w:t xml:space="preserve">FFS </w:t>
      </w:r>
      <w:r w:rsidR="00F15D92" w:rsidRPr="00105FFC">
        <w:rPr>
          <w:color w:val="auto"/>
        </w:rPr>
        <w:t>Provider Reimbursement Rates</w:t>
      </w:r>
      <w:bookmarkEnd w:id="216"/>
    </w:p>
    <w:p w14:paraId="5BB294AE" w14:textId="77777777" w:rsidR="00F15D92" w:rsidRPr="00105FFC" w:rsidRDefault="00F15D92" w:rsidP="00C61CA1">
      <w:pPr>
        <w:spacing w:line="276" w:lineRule="auto"/>
        <w:rPr>
          <w:rFonts w:asciiTheme="minorHAnsi" w:hAnsiTheme="minorHAnsi"/>
          <w:b/>
        </w:rPr>
      </w:pPr>
    </w:p>
    <w:p w14:paraId="6CFEBB17" w14:textId="77777777" w:rsidR="00680992" w:rsidRPr="00105FFC" w:rsidRDefault="00F15D92" w:rsidP="002E3A30">
      <w:pPr>
        <w:spacing w:line="276" w:lineRule="auto"/>
        <w:rPr>
          <w:rFonts w:asciiTheme="minorHAnsi" w:hAnsiTheme="minorHAnsi"/>
        </w:rPr>
      </w:pPr>
      <w:r w:rsidRPr="00105FFC">
        <w:rPr>
          <w:rFonts w:asciiTheme="minorHAnsi" w:hAnsiTheme="minorHAnsi"/>
          <w:b/>
          <w:i/>
        </w:rPr>
        <w:t>Rationale:</w:t>
      </w:r>
      <w:r w:rsidRPr="00105FFC">
        <w:rPr>
          <w:rFonts w:asciiTheme="minorHAnsi" w:hAnsiTheme="minorHAnsi"/>
          <w:i/>
        </w:rPr>
        <w:t xml:space="preserve"> </w:t>
      </w:r>
      <w:r w:rsidR="00656290" w:rsidRPr="00105FFC">
        <w:rPr>
          <w:rFonts w:asciiTheme="minorHAnsi" w:hAnsiTheme="minorHAnsi"/>
        </w:rPr>
        <w:t xml:space="preserve">Provider reimbursement rate comparisons are a tool that CMS requires states to consider in analyzing whether Medicaid payments are sufficient to enlist providers and assure beneficiary access to covered care consistent with section 1902(a)(30)(A) of the Social Security Act.  The comparative payment review under </w:t>
      </w:r>
      <w:r w:rsidR="00656290" w:rsidRPr="00105FFC">
        <w:rPr>
          <w:rFonts w:asciiTheme="minorHAnsi" w:eastAsiaTheme="minorHAnsi" w:hAnsiTheme="minorHAnsi" w:cs="Arial"/>
        </w:rPr>
        <w:t xml:space="preserve">the final rule </w:t>
      </w:r>
      <w:r w:rsidR="00C93DB8" w:rsidRPr="00105FFC">
        <w:rPr>
          <w:rFonts w:asciiTheme="minorHAnsi" w:eastAsiaTheme="minorHAnsi" w:hAnsiTheme="minorHAnsi" w:cs="Arial"/>
        </w:rPr>
        <w:t xml:space="preserve">requires the state to compare </w:t>
      </w:r>
      <w:r w:rsidR="00656290" w:rsidRPr="00105FFC">
        <w:rPr>
          <w:rFonts w:asciiTheme="minorHAnsi" w:eastAsiaTheme="minorHAnsi" w:hAnsiTheme="minorHAnsi" w:cs="Arial"/>
        </w:rPr>
        <w:t xml:space="preserve">FFS </w:t>
      </w:r>
      <w:r w:rsidR="00656290" w:rsidRPr="00105FFC">
        <w:rPr>
          <w:rFonts w:asciiTheme="minorHAnsi" w:hAnsiTheme="minorHAnsi"/>
        </w:rPr>
        <w:t xml:space="preserve">reimbursement rates with other health payer payments. </w:t>
      </w:r>
    </w:p>
    <w:p w14:paraId="035C4012" w14:textId="77777777" w:rsidR="002E3A30" w:rsidRPr="00105FFC" w:rsidRDefault="002E3A30" w:rsidP="002E3A30">
      <w:pPr>
        <w:spacing w:line="276" w:lineRule="auto"/>
        <w:rPr>
          <w:rFonts w:asciiTheme="minorHAnsi" w:hAnsiTheme="minorHAnsi"/>
        </w:rPr>
      </w:pPr>
    </w:p>
    <w:p w14:paraId="0512966F" w14:textId="77777777" w:rsidR="002E3A30" w:rsidRPr="00105FFC" w:rsidRDefault="002E3A30" w:rsidP="002E3A30">
      <w:pPr>
        <w:spacing w:line="276" w:lineRule="auto"/>
        <w:rPr>
          <w:rFonts w:asciiTheme="minorHAnsi" w:hAnsiTheme="minorHAnsi"/>
          <w:b/>
        </w:rPr>
      </w:pPr>
      <w:r w:rsidRPr="00105FFC">
        <w:rPr>
          <w:rFonts w:asciiTheme="minorHAnsi" w:hAnsiTheme="minorHAnsi"/>
          <w:b/>
        </w:rPr>
        <w:t>Analysis Performed and Measures Evaluated:</w:t>
      </w:r>
      <w:r w:rsidRPr="00105FFC">
        <w:rPr>
          <w:rFonts w:asciiTheme="minorHAnsi" w:hAnsiTheme="minorHAnsi"/>
        </w:rPr>
        <w:t xml:space="preserve"> This measure will </w:t>
      </w:r>
      <w:r w:rsidRPr="00105FFC">
        <w:rPr>
          <w:rFonts w:asciiTheme="minorHAnsi" w:eastAsiaTheme="minorHAnsi" w:hAnsiTheme="minorHAnsi" w:cs="Arial"/>
        </w:rPr>
        <w:t xml:space="preserve">compare Medi-Cal FFS and Medicare provider reimbursement rates. </w:t>
      </w:r>
      <w:r w:rsidRPr="00105FFC">
        <w:rPr>
          <w:rFonts w:asciiTheme="minorHAnsi" w:hAnsiTheme="minorHAnsi"/>
        </w:rPr>
        <w:t xml:space="preserve"> In particular, this section will evaluate the aggregate average FFS Medi-Cal reimbursement rates as a percentage of Medicare reimbursement rates by service type.</w:t>
      </w:r>
      <w:r w:rsidR="005C1613">
        <w:rPr>
          <w:rFonts w:asciiTheme="minorHAnsi" w:hAnsiTheme="minorHAnsi"/>
        </w:rPr>
        <w:t xml:space="preserve">  </w:t>
      </w:r>
    </w:p>
    <w:p w14:paraId="3521D407" w14:textId="77777777" w:rsidR="00680992" w:rsidRPr="00105FFC" w:rsidRDefault="00680992" w:rsidP="00C61CA1">
      <w:pPr>
        <w:spacing w:line="276" w:lineRule="auto"/>
        <w:rPr>
          <w:rFonts w:asciiTheme="minorHAnsi" w:hAnsiTheme="minorHAnsi"/>
          <w:i/>
        </w:rPr>
      </w:pPr>
    </w:p>
    <w:p w14:paraId="6DCFD0C1" w14:textId="77777777" w:rsidR="00F15D92" w:rsidRPr="00105FFC" w:rsidRDefault="00680992" w:rsidP="00F84CA0">
      <w:pPr>
        <w:spacing w:line="276" w:lineRule="auto"/>
        <w:rPr>
          <w:rFonts w:asciiTheme="minorHAnsi" w:eastAsiaTheme="minorHAnsi" w:hAnsiTheme="minorHAnsi" w:cs="Arial"/>
        </w:rPr>
      </w:pPr>
      <w:r w:rsidRPr="00105FFC">
        <w:rPr>
          <w:rFonts w:asciiTheme="minorHAnsi" w:hAnsiTheme="minorHAnsi"/>
          <w:b/>
          <w:i/>
        </w:rPr>
        <w:t>Methodology:</w:t>
      </w:r>
      <w:r w:rsidR="00F15D92" w:rsidRPr="00105FFC">
        <w:rPr>
          <w:rFonts w:asciiTheme="minorHAnsi" w:hAnsiTheme="minorHAnsi"/>
          <w:b/>
          <w:i/>
        </w:rPr>
        <w:t xml:space="preserve"> </w:t>
      </w:r>
      <w:r w:rsidR="00AE103C" w:rsidRPr="00105FFC">
        <w:rPr>
          <w:rFonts w:asciiTheme="minorHAnsi" w:eastAsiaTheme="minorHAnsi" w:hAnsiTheme="minorHAnsi" w:cs="Arial"/>
        </w:rPr>
        <w:t xml:space="preserve">DHCS developed a side-by-side comparison of Medi-Cal and Medicare payment rates, in addition to aggregate total expenditure comparisons by percentage, for Primary Care Services, Physician Specialist Services, Pre- and Post-Natal Obstetric Services, and Behavioral– Mental Health Services.  </w:t>
      </w:r>
    </w:p>
    <w:p w14:paraId="58886F80" w14:textId="77777777" w:rsidR="00F15D92" w:rsidRPr="00105FFC" w:rsidRDefault="00F15D92" w:rsidP="00AE103C">
      <w:pPr>
        <w:spacing w:line="276" w:lineRule="auto"/>
        <w:rPr>
          <w:rFonts w:asciiTheme="minorHAnsi" w:hAnsiTheme="minorHAnsi"/>
        </w:rPr>
      </w:pPr>
    </w:p>
    <w:p w14:paraId="052A7737" w14:textId="77777777" w:rsidR="005C1613" w:rsidRDefault="00AE103C" w:rsidP="00474CF5">
      <w:pPr>
        <w:spacing w:line="276" w:lineRule="auto"/>
        <w:rPr>
          <w:rFonts w:asciiTheme="minorHAnsi" w:eastAsiaTheme="minorHAnsi" w:hAnsiTheme="minorHAnsi" w:cs="Arial"/>
        </w:rPr>
      </w:pPr>
      <w:r w:rsidRPr="00105FFC">
        <w:rPr>
          <w:rFonts w:asciiTheme="minorHAnsi" w:hAnsiTheme="minorHAnsi"/>
          <w:b/>
          <w:i/>
        </w:rPr>
        <w:t>Limitations:</w:t>
      </w:r>
      <w:r w:rsidRPr="00105FFC">
        <w:rPr>
          <w:rFonts w:asciiTheme="minorHAnsi" w:hAnsiTheme="minorHAnsi"/>
        </w:rPr>
        <w:t xml:space="preserve"> </w:t>
      </w:r>
      <w:r w:rsidR="00474CF5" w:rsidRPr="00105FFC">
        <w:rPr>
          <w:rFonts w:asciiTheme="minorHAnsi" w:eastAsiaTheme="minorHAnsi" w:hAnsiTheme="minorHAnsi" w:cs="Arial"/>
        </w:rPr>
        <w:t xml:space="preserve">CMS issued </w:t>
      </w:r>
      <w:r w:rsidR="00474CF5" w:rsidRPr="00105FFC">
        <w:rPr>
          <w:rFonts w:asciiTheme="minorHAnsi" w:eastAsiaTheme="minorHAnsi" w:hAnsiTheme="minorHAnsi" w:cs="Arial"/>
          <w:i/>
        </w:rPr>
        <w:t>“Access Rule Implementation Frequently Asked Questions (FAQs)”</w:t>
      </w:r>
      <w:r w:rsidR="00474CF5" w:rsidRPr="00105FFC">
        <w:rPr>
          <w:rFonts w:asciiTheme="minorHAnsi" w:eastAsiaTheme="minorHAnsi" w:hAnsiTheme="minorHAnsi" w:cs="Arial"/>
        </w:rPr>
        <w:t xml:space="preserve"> on March 16, 2016.  In this document Q&amp;A #15, includes several possible payment sources including Medicare payment rates or rates paid by the state employee health insurance, state-based exchanges, private pay information from third party vendors, survey information and all payer databases.   In meeting the new requirements set forth in 42 CFR 447.203, DHCS is choosing to compare Medi-Cal with Medicare rates only, due to significant challenges in providing other comparisons, including comparisons to third party payors, commercial and public capitation rate systems, and comparisons to other state Medicaid rates. </w:t>
      </w:r>
    </w:p>
    <w:p w14:paraId="492C3A2B" w14:textId="77777777" w:rsidR="005C1613" w:rsidRDefault="005C1613" w:rsidP="00474CF5">
      <w:pPr>
        <w:spacing w:line="276" w:lineRule="auto"/>
        <w:rPr>
          <w:rFonts w:asciiTheme="minorHAnsi" w:eastAsiaTheme="minorHAnsi" w:hAnsiTheme="minorHAnsi" w:cs="Arial"/>
        </w:rPr>
      </w:pPr>
    </w:p>
    <w:p w14:paraId="40C05E82" w14:textId="77777777" w:rsidR="00474CF5" w:rsidRDefault="00474CF5" w:rsidP="00474CF5">
      <w:pPr>
        <w:spacing w:line="276" w:lineRule="auto"/>
        <w:rPr>
          <w:rFonts w:asciiTheme="minorHAnsi" w:eastAsiaTheme="minorHAnsi" w:hAnsiTheme="minorHAnsi" w:cs="Arial"/>
        </w:rPr>
      </w:pPr>
      <w:r w:rsidRPr="00105FFC">
        <w:rPr>
          <w:rFonts w:asciiTheme="minorHAnsi" w:eastAsiaTheme="minorHAnsi" w:hAnsiTheme="minorHAnsi" w:cs="Arial"/>
        </w:rPr>
        <w:t>Comparing rates to third party (non-government) payors on a routine basis would require multiple data reporting requirements between the DHCS and the provider community.  DHCS does not currently have access, or the resources, to provide reliable, consistent third party payor comparisons. Comparing to commercial and public capitation rate systems would not be applicable, as capitation payments are in the aggregate and in most cases cannot be itemized to separately billable items.  The state employee health insurance and the state-based exchange provide coverage through multiple commercial health plans and do not have an available rate schedule for comparison.</w:t>
      </w:r>
      <w:r w:rsidR="005C1613">
        <w:rPr>
          <w:rFonts w:asciiTheme="minorHAnsi" w:eastAsiaTheme="minorHAnsi" w:hAnsiTheme="minorHAnsi" w:cs="Arial"/>
        </w:rPr>
        <w:t xml:space="preserve">  </w:t>
      </w:r>
      <w:r w:rsidRPr="00105FFC">
        <w:rPr>
          <w:rFonts w:asciiTheme="minorHAnsi" w:eastAsiaTheme="minorHAnsi" w:hAnsiTheme="minorHAnsi" w:cs="Arial"/>
        </w:rPr>
        <w:t xml:space="preserve">California does not maintain an all-payer database.  </w:t>
      </w:r>
    </w:p>
    <w:p w14:paraId="2EF687BB" w14:textId="77777777" w:rsidR="005C1613" w:rsidRDefault="005C1613" w:rsidP="00474CF5">
      <w:pPr>
        <w:spacing w:line="276" w:lineRule="auto"/>
        <w:rPr>
          <w:rFonts w:asciiTheme="minorHAnsi" w:eastAsiaTheme="minorHAnsi" w:hAnsiTheme="minorHAnsi" w:cs="Arial"/>
        </w:rPr>
      </w:pPr>
    </w:p>
    <w:p w14:paraId="42C1D6FE" w14:textId="77777777" w:rsidR="005C1613" w:rsidRPr="00105FFC" w:rsidRDefault="005C1613" w:rsidP="00474CF5">
      <w:pPr>
        <w:spacing w:line="276" w:lineRule="auto"/>
        <w:rPr>
          <w:rFonts w:asciiTheme="minorHAnsi" w:eastAsiaTheme="minorHAnsi" w:hAnsiTheme="minorHAnsi" w:cs="Arial"/>
        </w:rPr>
      </w:pPr>
      <w:r>
        <w:rPr>
          <w:rFonts w:asciiTheme="minorHAnsi" w:eastAsiaTheme="minorHAnsi" w:hAnsiTheme="minorHAnsi" w:cs="Arial"/>
        </w:rPr>
        <w:t xml:space="preserve">For this report DHCS did not have access to information on other state Medicaid rates.  Other state Medicaid programs may be a more appropriate comparison for public payors than Medicare given the significant differences between the age, other demographics and health needs of the Medicare population and the providers who serve them.  </w:t>
      </w:r>
    </w:p>
    <w:p w14:paraId="2161A1BF" w14:textId="77777777" w:rsidR="00474CF5" w:rsidRPr="00105FFC" w:rsidRDefault="00474CF5" w:rsidP="00474CF5">
      <w:pPr>
        <w:spacing w:line="276" w:lineRule="auto"/>
        <w:rPr>
          <w:rFonts w:asciiTheme="minorHAnsi" w:eastAsiaTheme="minorHAnsi" w:hAnsiTheme="minorHAnsi" w:cs="Arial"/>
        </w:rPr>
      </w:pPr>
    </w:p>
    <w:p w14:paraId="3986DD33" w14:textId="77777777" w:rsidR="00891081" w:rsidRPr="00105FFC" w:rsidRDefault="00891081" w:rsidP="00474CF5">
      <w:pPr>
        <w:spacing w:line="276" w:lineRule="auto"/>
        <w:rPr>
          <w:rFonts w:asciiTheme="minorHAnsi" w:eastAsiaTheme="minorHAnsi" w:hAnsiTheme="minorHAnsi" w:cs="Arial"/>
        </w:rPr>
      </w:pPr>
    </w:p>
    <w:p w14:paraId="05E0CBF1" w14:textId="77777777" w:rsidR="00891081" w:rsidRPr="00105FFC" w:rsidRDefault="00891081" w:rsidP="00474CF5">
      <w:pPr>
        <w:spacing w:line="276" w:lineRule="auto"/>
        <w:rPr>
          <w:rFonts w:asciiTheme="minorHAnsi" w:eastAsiaTheme="minorHAnsi" w:hAnsiTheme="minorHAnsi" w:cs="Arial"/>
        </w:rPr>
      </w:pPr>
      <w:r w:rsidRPr="00105FFC">
        <w:rPr>
          <w:rFonts w:asciiTheme="minorHAnsi" w:eastAsiaTheme="minorHAnsi" w:hAnsiTheme="minorHAnsi" w:cs="Arial"/>
        </w:rPr>
        <w:t>In addition, Home Health Services and Substance Use Disorder Services are excluded from comparison due to lack of a comparable Medicare fee and/or Medi-equivalent Current Procedural Terminology (CPT) code.</w:t>
      </w:r>
    </w:p>
    <w:p w14:paraId="1BFC8AEF" w14:textId="77777777" w:rsidR="00891081" w:rsidRPr="00105FFC" w:rsidRDefault="00891081" w:rsidP="00474CF5">
      <w:pPr>
        <w:spacing w:line="276" w:lineRule="auto"/>
        <w:rPr>
          <w:rFonts w:asciiTheme="minorHAnsi" w:eastAsiaTheme="minorHAnsi" w:hAnsiTheme="minorHAnsi" w:cs="Arial"/>
        </w:rPr>
      </w:pPr>
    </w:p>
    <w:p w14:paraId="426AB702" w14:textId="77777777" w:rsidR="00474CF5" w:rsidRPr="00105FFC" w:rsidRDefault="00474CF5" w:rsidP="00474CF5">
      <w:pPr>
        <w:spacing w:line="276" w:lineRule="auto"/>
        <w:rPr>
          <w:rFonts w:asciiTheme="minorHAnsi" w:eastAsiaTheme="minorHAnsi" w:hAnsiTheme="minorHAnsi" w:cs="Arial"/>
        </w:rPr>
      </w:pPr>
      <w:r w:rsidRPr="00105FFC">
        <w:rPr>
          <w:rFonts w:asciiTheme="minorHAnsi" w:eastAsiaTheme="minorHAnsi" w:hAnsiTheme="minorHAnsi" w:cs="Arial"/>
        </w:rPr>
        <w:t xml:space="preserve">The rate comparison will continue to be monitored and updated as additional sources of information are available.   </w:t>
      </w:r>
    </w:p>
    <w:p w14:paraId="12FBACCF" w14:textId="77777777" w:rsidR="00C93DB8" w:rsidRPr="00105FFC" w:rsidRDefault="00C93DB8" w:rsidP="00AE103C">
      <w:pPr>
        <w:spacing w:line="276" w:lineRule="auto"/>
        <w:rPr>
          <w:rFonts w:asciiTheme="minorHAnsi" w:eastAsiaTheme="minorHAnsi" w:hAnsiTheme="minorHAnsi" w:cs="Arial"/>
        </w:rPr>
      </w:pPr>
    </w:p>
    <w:p w14:paraId="5C2135F3" w14:textId="77777777" w:rsidR="00F15D92" w:rsidRPr="00105FFC" w:rsidRDefault="00F15D92" w:rsidP="002D04DA">
      <w:pPr>
        <w:spacing w:after="120" w:line="276" w:lineRule="auto"/>
        <w:rPr>
          <w:rFonts w:asciiTheme="minorHAnsi" w:hAnsiTheme="minorHAnsi"/>
          <w:i/>
        </w:rPr>
      </w:pPr>
      <w:r w:rsidRPr="00105FFC">
        <w:rPr>
          <w:rFonts w:asciiTheme="minorHAnsi" w:hAnsiTheme="minorHAnsi"/>
          <w:b/>
          <w:i/>
        </w:rPr>
        <w:t>Data Source:</w:t>
      </w:r>
      <w:r w:rsidRPr="00105FFC">
        <w:rPr>
          <w:rFonts w:asciiTheme="minorHAnsi" w:hAnsiTheme="minorHAnsi"/>
          <w:i/>
        </w:rPr>
        <w:t xml:space="preserve">  </w:t>
      </w:r>
      <w:r w:rsidR="005C1613">
        <w:rPr>
          <w:rFonts w:asciiTheme="minorHAnsi" w:hAnsiTheme="minorHAnsi"/>
        </w:rPr>
        <w:t xml:space="preserve">For baseline analysis, </w:t>
      </w:r>
      <w:r w:rsidR="00891081" w:rsidRPr="00105FFC">
        <w:rPr>
          <w:rFonts w:asciiTheme="minorHAnsi" w:hAnsiTheme="minorHAnsi"/>
        </w:rPr>
        <w:t>Medi-Cal and Medicare fee schedules</w:t>
      </w:r>
      <w:r w:rsidR="005C1613">
        <w:rPr>
          <w:rFonts w:asciiTheme="minorHAnsi" w:hAnsiTheme="minorHAnsi"/>
        </w:rPr>
        <w:t xml:space="preserve">.  In the future, DHCS will work to compare to other Medicaid programs which reflect a more similar population and service delivery than Medicare. </w:t>
      </w:r>
    </w:p>
    <w:p w14:paraId="011F8053" w14:textId="77777777" w:rsidR="00817778" w:rsidRPr="00105FFC" w:rsidRDefault="00817778" w:rsidP="002D04DA">
      <w:pPr>
        <w:spacing w:after="120" w:line="276" w:lineRule="auto"/>
        <w:rPr>
          <w:rFonts w:asciiTheme="minorHAnsi" w:hAnsiTheme="minorHAnsi" w:cs="Arial"/>
        </w:rPr>
      </w:pPr>
      <w:r w:rsidRPr="00105FFC">
        <w:rPr>
          <w:rFonts w:asciiTheme="minorHAnsi" w:hAnsiTheme="minorHAnsi" w:cs="Arial"/>
        </w:rPr>
        <w:br w:type="page"/>
      </w:r>
    </w:p>
    <w:p w14:paraId="308AA9D9" w14:textId="77777777" w:rsidR="00E301F7" w:rsidRPr="00105FFC" w:rsidRDefault="00E301F7" w:rsidP="00680992">
      <w:pPr>
        <w:pStyle w:val="Heading1"/>
        <w:spacing w:before="0" w:after="120" w:line="276" w:lineRule="auto"/>
      </w:pPr>
      <w:bookmarkStart w:id="217" w:name="_Toc459287746"/>
      <w:r w:rsidRPr="00105FFC">
        <w:t>Access Monitoring Process</w:t>
      </w:r>
      <w:bookmarkEnd w:id="217"/>
    </w:p>
    <w:p w14:paraId="52A2BE6D"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Monitoring represents a special type of research. It is generally descriptive in nature, and does not readily result in identifying or explaining unknown causal pathways or mechanisms. In general, one cannot make specific statements or inferences regarding causality based on monitoring efforts alone. Therefore, it follows that specific interventions generally cannot be developed or implemented absent further investigation.</w:t>
      </w:r>
      <w:r w:rsidRPr="00105FFC">
        <w:rPr>
          <w:rFonts w:asciiTheme="minorHAnsi" w:hAnsiTheme="minorHAnsi" w:cs="Tahoma"/>
          <w:vertAlign w:val="superscript"/>
        </w:rPr>
        <w:footnoteReference w:id="16"/>
      </w:r>
    </w:p>
    <w:p w14:paraId="15E272B0" w14:textId="77777777" w:rsidR="00E301F7" w:rsidRPr="00105FFC" w:rsidRDefault="00E301F7" w:rsidP="00D75025">
      <w:pPr>
        <w:spacing w:after="120" w:line="276" w:lineRule="auto"/>
        <w:rPr>
          <w:rFonts w:asciiTheme="minorHAnsi" w:hAnsiTheme="minorHAnsi" w:cs="Tahoma"/>
        </w:rPr>
      </w:pPr>
      <w:r w:rsidRPr="00105FFC">
        <w:rPr>
          <w:rFonts w:asciiTheme="minorHAnsi" w:hAnsiTheme="minorHAnsi" w:cs="Tahoma"/>
        </w:rPr>
        <w:t xml:space="preserve">This does not mean that specific hypotheses or inferences cannot be proposed, but rather that these inferences or hypotheses will require deeper research and investigation to arrive at an informed conclusion. These investigational efforts will help those responsible for </w:t>
      </w:r>
      <w:r w:rsidR="0085402D" w:rsidRPr="00105FFC">
        <w:rPr>
          <w:rFonts w:asciiTheme="minorHAnsi" w:hAnsiTheme="minorHAnsi" w:cs="Tahoma"/>
        </w:rPr>
        <w:t>providing</w:t>
      </w:r>
      <w:r w:rsidRPr="00105FFC">
        <w:rPr>
          <w:rFonts w:asciiTheme="minorHAnsi" w:hAnsiTheme="minorHAnsi" w:cs="Tahoma"/>
        </w:rPr>
        <w:t xml:space="preserve"> access to health care services identify the causes of any access barriers and develop appropriate interventions.</w:t>
      </w:r>
      <w:r w:rsidR="00D75025" w:rsidRPr="00105FFC">
        <w:rPr>
          <w:rFonts w:asciiTheme="minorHAnsi" w:hAnsiTheme="minorHAnsi" w:cs="Tahoma"/>
        </w:rPr>
        <w:t xml:space="preserve"> </w:t>
      </w:r>
      <w:r w:rsidRPr="00105FFC">
        <w:rPr>
          <w:rFonts w:asciiTheme="minorHAnsi" w:hAnsiTheme="minorHAnsi" w:cs="Tahoma"/>
        </w:rPr>
        <w:t xml:space="preserve">DHCS’ </w:t>
      </w:r>
      <w:r w:rsidR="00891081" w:rsidRPr="00105FFC">
        <w:rPr>
          <w:rFonts w:asciiTheme="minorHAnsi" w:hAnsiTheme="minorHAnsi" w:cs="Tahoma"/>
        </w:rPr>
        <w:t>monitoring</w:t>
      </w:r>
      <w:r w:rsidRPr="00105FFC">
        <w:rPr>
          <w:rFonts w:asciiTheme="minorHAnsi" w:hAnsiTheme="minorHAnsi" w:cs="Tahoma"/>
        </w:rPr>
        <w:t xml:space="preserve"> of access to health care services encompasse</w:t>
      </w:r>
      <w:r w:rsidR="00680992" w:rsidRPr="00105FFC">
        <w:rPr>
          <w:rFonts w:asciiTheme="minorHAnsi" w:hAnsiTheme="minorHAnsi" w:cs="Tahoma"/>
        </w:rPr>
        <w:t>s four specific stages (Figure 20</w:t>
      </w:r>
      <w:r w:rsidRPr="00105FFC">
        <w:rPr>
          <w:rFonts w:asciiTheme="minorHAnsi" w:hAnsiTheme="minorHAnsi" w:cs="Tahoma"/>
        </w:rPr>
        <w:t>).</w:t>
      </w:r>
    </w:p>
    <w:p w14:paraId="2B568E0D" w14:textId="77777777" w:rsidR="00D75025" w:rsidRPr="00105FFC" w:rsidRDefault="00D75025" w:rsidP="00D75025">
      <w:pPr>
        <w:spacing w:line="276" w:lineRule="auto"/>
        <w:rPr>
          <w:rFonts w:asciiTheme="minorHAnsi" w:hAnsiTheme="minorHAnsi" w:cs="Tahoma"/>
        </w:rPr>
      </w:pPr>
    </w:p>
    <w:p w14:paraId="32944078" w14:textId="77777777" w:rsidR="00E301F7" w:rsidRPr="00105FFC" w:rsidRDefault="00E301F7" w:rsidP="00D75025">
      <w:pPr>
        <w:rPr>
          <w:rFonts w:asciiTheme="minorHAnsi" w:hAnsiTheme="minorHAnsi" w:cs="Tahoma"/>
          <w:b/>
          <w:bCs/>
          <w:sz w:val="20"/>
          <w:szCs w:val="20"/>
        </w:rPr>
      </w:pPr>
      <w:bookmarkStart w:id="218" w:name="_Toc458782958"/>
      <w:bookmarkStart w:id="219" w:name="_Toc459285069"/>
      <w:bookmarkStart w:id="220" w:name="_Toc459285260"/>
      <w:bookmarkStart w:id="221" w:name="_Toc459286701"/>
      <w:r w:rsidRPr="00105FFC">
        <w:rPr>
          <w:rFonts w:asciiTheme="minorHAnsi" w:hAnsiTheme="minorHAnsi"/>
          <w:b/>
          <w:bCs/>
          <w:sz w:val="20"/>
          <w:szCs w:val="20"/>
        </w:rPr>
        <w:t xml:space="preserve">Figure </w:t>
      </w:r>
      <w:r w:rsidRPr="00105FFC">
        <w:rPr>
          <w:rFonts w:asciiTheme="minorHAnsi" w:hAnsiTheme="minorHAnsi"/>
          <w:b/>
          <w:bCs/>
          <w:sz w:val="20"/>
          <w:szCs w:val="20"/>
        </w:rPr>
        <w:fldChar w:fldCharType="begin"/>
      </w:r>
      <w:r w:rsidRPr="00105FFC">
        <w:rPr>
          <w:rFonts w:asciiTheme="minorHAnsi" w:hAnsiTheme="minorHAnsi"/>
          <w:b/>
          <w:bCs/>
          <w:sz w:val="20"/>
          <w:szCs w:val="20"/>
        </w:rPr>
        <w:instrText xml:space="preserve"> SEQ Figure \* ARABIC </w:instrText>
      </w:r>
      <w:r w:rsidRPr="00105FFC">
        <w:rPr>
          <w:rFonts w:asciiTheme="minorHAnsi" w:hAnsiTheme="minorHAnsi"/>
          <w:b/>
          <w:bCs/>
          <w:sz w:val="20"/>
          <w:szCs w:val="20"/>
        </w:rPr>
        <w:fldChar w:fldCharType="separate"/>
      </w:r>
      <w:r w:rsidR="000E1B8E">
        <w:rPr>
          <w:rFonts w:asciiTheme="minorHAnsi" w:hAnsiTheme="minorHAnsi"/>
          <w:b/>
          <w:bCs/>
          <w:noProof/>
          <w:sz w:val="20"/>
          <w:szCs w:val="20"/>
        </w:rPr>
        <w:t>20</w:t>
      </w:r>
      <w:r w:rsidRPr="00105FFC">
        <w:rPr>
          <w:rFonts w:asciiTheme="minorHAnsi" w:hAnsiTheme="minorHAnsi"/>
          <w:b/>
          <w:bCs/>
          <w:noProof/>
          <w:sz w:val="20"/>
          <w:szCs w:val="20"/>
        </w:rPr>
        <w:fldChar w:fldCharType="end"/>
      </w:r>
      <w:r w:rsidRPr="00105FFC">
        <w:rPr>
          <w:rFonts w:asciiTheme="minorHAnsi" w:hAnsiTheme="minorHAnsi"/>
          <w:b/>
          <w:bCs/>
          <w:sz w:val="20"/>
          <w:szCs w:val="20"/>
        </w:rPr>
        <w:t xml:space="preserve">: </w:t>
      </w:r>
      <w:r w:rsidRPr="00105FFC">
        <w:rPr>
          <w:rFonts w:asciiTheme="minorHAnsi" w:hAnsiTheme="minorHAnsi" w:cs="Tahoma"/>
          <w:bCs/>
          <w:sz w:val="20"/>
          <w:szCs w:val="20"/>
        </w:rPr>
        <w:t>DHCS Access Monitoring Process</w:t>
      </w:r>
      <w:bookmarkEnd w:id="218"/>
      <w:bookmarkEnd w:id="219"/>
      <w:bookmarkEnd w:id="220"/>
      <w:bookmarkEnd w:id="221"/>
    </w:p>
    <w:p w14:paraId="7C7A1AD3" w14:textId="77777777" w:rsidR="00E301F7" w:rsidRPr="00105FFC" w:rsidRDefault="00E301F7" w:rsidP="00D85A0B">
      <w:pPr>
        <w:spacing w:line="276" w:lineRule="auto"/>
        <w:rPr>
          <w:rFonts w:asciiTheme="minorHAnsi" w:hAnsiTheme="minorHAnsi" w:cs="Tahoma"/>
          <w:sz w:val="16"/>
          <w:szCs w:val="16"/>
        </w:rPr>
      </w:pPr>
      <w:r w:rsidRPr="00105FFC">
        <w:rPr>
          <w:rFonts w:asciiTheme="minorHAnsi" w:hAnsiTheme="minorHAnsi"/>
          <w:noProof/>
        </w:rPr>
        <w:drawing>
          <wp:inline distT="0" distB="0" distL="0" distR="0" wp14:anchorId="2E559D3E" wp14:editId="257E281F">
            <wp:extent cx="6400800" cy="2619375"/>
            <wp:effectExtent l="0" t="0" r="19050" b="28575"/>
            <wp:docPr id="3" name="Diagram 3" descr="“DHCS’ access monitoring process entails the following four stages:&#10;Stage 1: Monitor access to health care services. Identify areas that may require further investigation/research. Stage 2: Develop a plan to identify causal pathways and perform research to arrive at conclusions. Stage 3: Consider, select, and implement interventions. Stage 4: Evaluate the interventions and make modifications if necessary.”&#10;" title="DHCS access monitoring proces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Pr="00105FFC">
        <w:rPr>
          <w:rFonts w:asciiTheme="minorHAnsi" w:hAnsiTheme="minorHAnsi"/>
          <w:b/>
          <w:sz w:val="16"/>
          <w:szCs w:val="16"/>
        </w:rPr>
        <w:t>Source:</w:t>
      </w:r>
      <w:r w:rsidRPr="00105FFC">
        <w:rPr>
          <w:rFonts w:asciiTheme="minorHAnsi" w:hAnsiTheme="minorHAnsi"/>
          <w:sz w:val="16"/>
          <w:szCs w:val="16"/>
        </w:rPr>
        <w:t xml:space="preserve"> Created by DHCS Research and Analytic Studies Division.</w:t>
      </w:r>
    </w:p>
    <w:p w14:paraId="73640BAF" w14:textId="77777777" w:rsidR="00D85A0B" w:rsidRPr="00105FFC" w:rsidRDefault="00D85A0B" w:rsidP="002D04DA">
      <w:pPr>
        <w:spacing w:after="120" w:line="276" w:lineRule="auto"/>
        <w:rPr>
          <w:rFonts w:asciiTheme="minorHAnsi" w:hAnsiTheme="minorHAnsi" w:cs="Tahoma"/>
        </w:rPr>
      </w:pPr>
    </w:p>
    <w:p w14:paraId="60211C4D"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The process of monitoring health care access includes the collection and analysis of data, and the interpretation of trends. Once in place, data collected from the access measures may reveal problem areas or concerns affecting the appropriate use or underuse of health care services.  What is needed is a systematic and solution-oriented process to investigate such data variations, as well as a process to evaluate actions taken in response to problem-solving initiatives. These stages include defining the problem area, undertaking investigations to identify the root cause of data variations, implementing solutions, and evaluating the effectiveness of these solutions.</w:t>
      </w:r>
    </w:p>
    <w:p w14:paraId="7147AD2E"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The first stage in the investigation process is to describe the data variations and any possible explanatory factors, and assess whether a problem exists. Can the changes observed in the data be a systematic error or bias? For example, can a sudden change in patient/provider ratios be explained by changes in the data collection system, or a change in how “primary care provider” has been defined? Are the changes in data of a magnitude to warrant further investigation?</w:t>
      </w:r>
    </w:p>
    <w:p w14:paraId="65CBBD89"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Once it is decided that a real problem exists, further data is needed to describe the problem.  Which subgroups (e.g., age, race/ethnicity, aid groups) of the population are affected? Does the problem exist only in certain counties, rural/urban communities, or health care settings? When did the problem first surface? Were there any significant events that occurred at the same time?  Any unusual patterns identified in this stage will help define the problem and aid in formulating a hypothesis regarding the causes or determinants of the problem.</w:t>
      </w:r>
    </w:p>
    <w:p w14:paraId="54332C7A"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The second stage in investigating health care access deficiencies is an in-depth analysis of the hypothesis entailing further observational or experimental studies, literature reviews, informant interviews, and/or implementation of surveys. The aim of hypothesis testing is to identify factors associated with the problem. The definition of the problem will determine the approaches employed in hypothesis testing and the areas of focus (specific subgroups, locations, etc.).  Selecting an approach and specific study design will further be influenced by the strengths and weaknesses of the available methods and the availability of resources.</w:t>
      </w:r>
    </w:p>
    <w:p w14:paraId="4A3E19E3"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When factors associated with the access problem are identified, information evaluating a variety of programmatic solutions and their likely success is needed. The strategies employed to improve health care access may include the development of new regulations, the modification or development of new direct service programs, or the alteration of program policies (Figure 2</w:t>
      </w:r>
      <w:r w:rsidR="00680992" w:rsidRPr="00105FFC">
        <w:rPr>
          <w:rFonts w:asciiTheme="minorHAnsi" w:hAnsiTheme="minorHAnsi" w:cs="Tahoma"/>
        </w:rPr>
        <w:t>1</w:t>
      </w:r>
      <w:r w:rsidRPr="00105FFC">
        <w:rPr>
          <w:rFonts w:asciiTheme="minorHAnsi" w:hAnsiTheme="minorHAnsi" w:cs="Tahoma"/>
        </w:rPr>
        <w:t>).</w:t>
      </w:r>
    </w:p>
    <w:p w14:paraId="4B7403F0" w14:textId="77777777" w:rsidR="00E301F7" w:rsidRPr="00105FFC" w:rsidRDefault="00E301F7" w:rsidP="002D04DA">
      <w:pPr>
        <w:spacing w:after="120" w:line="276" w:lineRule="auto"/>
        <w:rPr>
          <w:rFonts w:asciiTheme="minorHAnsi" w:hAnsiTheme="minorHAnsi" w:cs="Tahoma"/>
          <w:sz w:val="22"/>
          <w:szCs w:val="22"/>
        </w:rPr>
      </w:pPr>
      <w:r w:rsidRPr="00105FFC">
        <w:rPr>
          <w:rFonts w:asciiTheme="minorHAnsi" w:hAnsiTheme="minorHAnsi" w:cs="Tahoma"/>
          <w:sz w:val="22"/>
          <w:szCs w:val="22"/>
        </w:rPr>
        <w:br w:type="page"/>
      </w:r>
    </w:p>
    <w:p w14:paraId="3CC7EC4C" w14:textId="77777777" w:rsidR="00E301F7" w:rsidRPr="00105FFC" w:rsidRDefault="00E301F7" w:rsidP="00D75025">
      <w:pPr>
        <w:rPr>
          <w:rFonts w:asciiTheme="minorHAnsi" w:hAnsiTheme="minorHAnsi" w:cs="Tahoma"/>
          <w:b/>
          <w:bCs/>
          <w:sz w:val="20"/>
          <w:szCs w:val="20"/>
        </w:rPr>
      </w:pPr>
      <w:bookmarkStart w:id="222" w:name="_Toc458782959"/>
      <w:bookmarkStart w:id="223" w:name="_Toc459285070"/>
      <w:bookmarkStart w:id="224" w:name="_Toc459285261"/>
      <w:bookmarkStart w:id="225" w:name="_Toc459286702"/>
      <w:r w:rsidRPr="00105FFC">
        <w:rPr>
          <w:rFonts w:asciiTheme="minorHAnsi" w:hAnsiTheme="minorHAnsi"/>
          <w:b/>
          <w:bCs/>
          <w:sz w:val="20"/>
          <w:szCs w:val="20"/>
        </w:rPr>
        <w:t xml:space="preserve">Figure </w:t>
      </w:r>
      <w:r w:rsidRPr="00105FFC">
        <w:rPr>
          <w:rFonts w:asciiTheme="minorHAnsi" w:hAnsiTheme="minorHAnsi"/>
          <w:b/>
          <w:bCs/>
          <w:sz w:val="20"/>
          <w:szCs w:val="20"/>
        </w:rPr>
        <w:fldChar w:fldCharType="begin"/>
      </w:r>
      <w:r w:rsidRPr="00105FFC">
        <w:rPr>
          <w:rFonts w:asciiTheme="minorHAnsi" w:hAnsiTheme="minorHAnsi"/>
          <w:b/>
          <w:bCs/>
          <w:sz w:val="20"/>
          <w:szCs w:val="20"/>
        </w:rPr>
        <w:instrText xml:space="preserve"> SEQ Figure \* ARABIC </w:instrText>
      </w:r>
      <w:r w:rsidRPr="00105FFC">
        <w:rPr>
          <w:rFonts w:asciiTheme="minorHAnsi" w:hAnsiTheme="minorHAnsi"/>
          <w:b/>
          <w:bCs/>
          <w:sz w:val="20"/>
          <w:szCs w:val="20"/>
        </w:rPr>
        <w:fldChar w:fldCharType="separate"/>
      </w:r>
      <w:r w:rsidR="000E1B8E">
        <w:rPr>
          <w:rFonts w:asciiTheme="minorHAnsi" w:hAnsiTheme="minorHAnsi"/>
          <w:b/>
          <w:bCs/>
          <w:noProof/>
          <w:sz w:val="20"/>
          <w:szCs w:val="20"/>
        </w:rPr>
        <w:t>21</w:t>
      </w:r>
      <w:r w:rsidRPr="00105FFC">
        <w:rPr>
          <w:rFonts w:asciiTheme="minorHAnsi" w:hAnsiTheme="minorHAnsi"/>
          <w:b/>
          <w:bCs/>
          <w:noProof/>
          <w:sz w:val="20"/>
          <w:szCs w:val="20"/>
        </w:rPr>
        <w:fldChar w:fldCharType="end"/>
      </w:r>
      <w:r w:rsidRPr="00105FFC">
        <w:rPr>
          <w:rFonts w:asciiTheme="minorHAnsi" w:hAnsiTheme="minorHAnsi"/>
          <w:b/>
          <w:bCs/>
          <w:sz w:val="20"/>
          <w:szCs w:val="20"/>
        </w:rPr>
        <w:t xml:space="preserve">: </w:t>
      </w:r>
      <w:r w:rsidRPr="00105FFC">
        <w:rPr>
          <w:rFonts w:asciiTheme="minorHAnsi" w:hAnsiTheme="minorHAnsi" w:cs="Tahoma"/>
          <w:bCs/>
          <w:sz w:val="20"/>
          <w:szCs w:val="20"/>
        </w:rPr>
        <w:t>DHCS Access Monitoring Process Flow</w:t>
      </w:r>
      <w:bookmarkEnd w:id="222"/>
      <w:bookmarkEnd w:id="223"/>
      <w:bookmarkEnd w:id="224"/>
      <w:bookmarkEnd w:id="225"/>
    </w:p>
    <w:p w14:paraId="5CC0FED8" w14:textId="77777777" w:rsidR="00E301F7" w:rsidRPr="00105FFC" w:rsidRDefault="00E301F7" w:rsidP="00D85A0B">
      <w:pPr>
        <w:spacing w:line="276" w:lineRule="auto"/>
        <w:rPr>
          <w:rFonts w:asciiTheme="minorHAnsi" w:hAnsiTheme="minorHAnsi" w:cs="Tahoma"/>
          <w:sz w:val="22"/>
          <w:szCs w:val="22"/>
        </w:rPr>
      </w:pPr>
      <w:r w:rsidRPr="00105FFC">
        <w:rPr>
          <w:rFonts w:asciiTheme="minorHAnsi" w:hAnsiTheme="minorHAnsi" w:cs="Tahoma"/>
          <w:noProof/>
          <w:sz w:val="22"/>
          <w:szCs w:val="22"/>
        </w:rPr>
        <w:drawing>
          <wp:inline distT="0" distB="0" distL="0" distR="0" wp14:anchorId="73D5E382" wp14:editId="6F85DF8B">
            <wp:extent cx="6524625" cy="4210050"/>
            <wp:effectExtent l="19050" t="19050" r="28575" b="19050"/>
            <wp:docPr id="7" name="Picture 7" descr="Visual depiction of access monitoring process flow described on pages 79-80" title="Access Monitoring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30537" cy="4213865"/>
                    </a:xfrm>
                    <a:prstGeom prst="rect">
                      <a:avLst/>
                    </a:prstGeom>
                    <a:noFill/>
                    <a:ln>
                      <a:solidFill>
                        <a:sysClr val="windowText" lastClr="000000"/>
                      </a:solidFill>
                    </a:ln>
                  </pic:spPr>
                </pic:pic>
              </a:graphicData>
            </a:graphic>
          </wp:inline>
        </w:drawing>
      </w:r>
    </w:p>
    <w:p w14:paraId="72FD7923" w14:textId="77777777" w:rsidR="00E301F7" w:rsidRPr="00105FFC" w:rsidRDefault="00E301F7" w:rsidP="00D75025">
      <w:pPr>
        <w:rPr>
          <w:rFonts w:asciiTheme="minorHAnsi" w:hAnsiTheme="minorHAnsi" w:cs="Tahoma"/>
          <w:sz w:val="16"/>
          <w:szCs w:val="16"/>
        </w:rPr>
      </w:pPr>
      <w:r w:rsidRPr="00105FFC">
        <w:rPr>
          <w:rFonts w:asciiTheme="minorHAnsi" w:hAnsiTheme="minorHAnsi"/>
          <w:b/>
          <w:sz w:val="16"/>
          <w:szCs w:val="16"/>
        </w:rPr>
        <w:t>Source:</w:t>
      </w:r>
      <w:r w:rsidRPr="00105FFC">
        <w:rPr>
          <w:rFonts w:asciiTheme="minorHAnsi" w:hAnsiTheme="minorHAnsi"/>
          <w:sz w:val="16"/>
          <w:szCs w:val="16"/>
        </w:rPr>
        <w:t xml:space="preserve"> Created by DHCS Research and Analytic Studies Division.</w:t>
      </w:r>
    </w:p>
    <w:p w14:paraId="011D174C" w14:textId="77777777" w:rsidR="00D75025" w:rsidRPr="00105FFC" w:rsidRDefault="00D75025" w:rsidP="00D75025">
      <w:pPr>
        <w:spacing w:line="276" w:lineRule="auto"/>
        <w:rPr>
          <w:rFonts w:asciiTheme="minorHAnsi" w:hAnsiTheme="minorHAnsi" w:cs="Tahoma"/>
        </w:rPr>
      </w:pPr>
    </w:p>
    <w:p w14:paraId="54138185"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Though epidemiology and health services research may not contribute largely to the identification and implementation of programmatic solutions, these disciplines do play an important role in communicating their findings to health program and health policy leaders. Using results from Stages 1 and 2, researchers can convey the significance of the health care access problem to those on the leadership team whose role it is to find appropriate solutions to address the problem.</w:t>
      </w:r>
    </w:p>
    <w:p w14:paraId="0B5CAD07"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Data presented for this purpose should help tailor the solutions to the specific communities and populations affected. Once the programmatic solutions are implemented, the monitoring of health care access must continue and, where appropriate, focused evaluation studies that measure the success or failure of these solutions must be employed.</w:t>
      </w:r>
    </w:p>
    <w:p w14:paraId="7D669F16" w14:textId="77777777" w:rsidR="00E301F7" w:rsidRPr="00105FFC" w:rsidRDefault="00E301F7" w:rsidP="00680992">
      <w:pPr>
        <w:pStyle w:val="Heading3"/>
        <w:spacing w:before="0" w:after="120" w:line="276" w:lineRule="auto"/>
      </w:pPr>
      <w:bookmarkStart w:id="226" w:name="_Toc459287747"/>
      <w:r w:rsidRPr="00105FFC">
        <w:t>Understanding the Monitoring Process</w:t>
      </w:r>
      <w:bookmarkEnd w:id="226"/>
    </w:p>
    <w:p w14:paraId="64F1FC03"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To fully understand access monitoring activities and limitations, it is useful to provide an analogy.</w:t>
      </w:r>
    </w:p>
    <w:p w14:paraId="325DE405"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 xml:space="preserve">Consider the process of driving a car. When operating a vehicle, a driver is provided with a dashboard of gauges that indicate engine temperature, fuel levels, whether the door is ajar, etc. These gauges represent devices designed to allow the driver to monitor aspects of the vehicle’s performance. </w:t>
      </w:r>
    </w:p>
    <w:p w14:paraId="570160FE"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If a driver is alerted by the temperature gauge that their engine is hot, the driver must make a decision. At this point, the driver is simply alerted to the fact that the engine is hot, but does not know what is causing the rise in temperature. The driver has two options: (1) Keep driving and hope that the engine will not be damaged; or (2) Pull over and inspect the engine. It is important to point out that the monitoring stage in this case only provided the driver with a warning or cause for concern; the driver does not know the cause of the high temperature reading and cannot decide on an intervention at this point. The identification of this potential problem requires further evaluation.</w:t>
      </w:r>
    </w:p>
    <w:p w14:paraId="6AF2CD8F"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In Stage 2, the driver now must take a closer look and perform some research. The problem might be related to the radiator hose, a stuck thermostat, an oil leak, or a defective temperature gauge. Further investigation will help the driver definitively identify if and why the engine is hot.</w:t>
      </w:r>
    </w:p>
    <w:p w14:paraId="7FC4C641"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Assuming that research uncovers a radiator hose leak, and that the driver just happens to have a spare and all of the tools necessary to change it, they are now ready to move into the interventions of Stage 3. In this stage, the driver can fix the identified problem by replacing the radiator hose.</w:t>
      </w:r>
    </w:p>
    <w:p w14:paraId="3AF6AD9D"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At this point in the process, the driver was alerted to a possible problem by monitoring the dashboard gauges, identified the likely cause for the overheating engine through research, and then selected an intervention. They are ready to move onto the final stage: evaluating the effects of the intervention. Now that the hose has been changed, the driver must monitor the temperature gauge in order to evaluate whether the intervention is actually lowering the engine temperature and achieving the expected result. Once the intervention is determined to be successful, the driver is ready to resume driving.</w:t>
      </w:r>
    </w:p>
    <w:p w14:paraId="246F3F92" w14:textId="77777777" w:rsidR="00E301F7" w:rsidRPr="00105FFC" w:rsidRDefault="00E301F7" w:rsidP="00680992">
      <w:pPr>
        <w:pStyle w:val="Heading3"/>
        <w:spacing w:before="0" w:after="120" w:line="276" w:lineRule="auto"/>
      </w:pPr>
      <w:bookmarkStart w:id="227" w:name="_Toc459287748"/>
      <w:r w:rsidRPr="00105FFC">
        <w:t>Limitations of the Initial Monitoring Stage</w:t>
      </w:r>
      <w:bookmarkEnd w:id="227"/>
    </w:p>
    <w:p w14:paraId="5AE68E37"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In terms of monitoring access to health care services, this report represents Stage 1. At this point, one cannot readily identify causal relationships or determine why a particular outcome has occurred. Like the temperature gauge in the previous driving analogy, access monitoring activities provide decision-makers with a set of gauges but do not identify why a particular outcome is occurring. They may cause one to pause and further evaluate or research a particular area, but the monitoring activities in and of themselves do not allow one to develop causal relationships.</w:t>
      </w:r>
    </w:p>
    <w:p w14:paraId="59EACD70"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For example, consider the issue of emergency department (ED) utilization. Is a high rate of ED visits caused by medical conditions warranting such a rate? Is it caused by a lack of ambulatory care providers in the community, or health care needs arising after hours? Is it caused by a belief that ED providers render superior care compared to ambulatory care providers? Each of these potential drivers of ED use requires different interventions. In some cases, additional options for accessing primary care may suffice, while in other cases patient education is warranted.</w:t>
      </w:r>
    </w:p>
    <w:p w14:paraId="1FD82C63" w14:textId="77777777" w:rsidR="00E301F7" w:rsidRPr="00105FFC" w:rsidRDefault="00E301F7" w:rsidP="00D75025">
      <w:pPr>
        <w:spacing w:line="276" w:lineRule="auto"/>
        <w:rPr>
          <w:rFonts w:asciiTheme="minorHAnsi" w:hAnsiTheme="minorHAnsi" w:cs="Tahoma"/>
        </w:rPr>
      </w:pPr>
      <w:r w:rsidRPr="00105FFC">
        <w:rPr>
          <w:rFonts w:asciiTheme="minorHAnsi" w:hAnsiTheme="minorHAnsi" w:cs="Tahoma"/>
        </w:rPr>
        <w:t xml:space="preserve">It is vitally important that those charged with </w:t>
      </w:r>
      <w:r w:rsidR="0085402D" w:rsidRPr="00105FFC">
        <w:rPr>
          <w:rFonts w:asciiTheme="minorHAnsi" w:hAnsiTheme="minorHAnsi" w:cs="Tahoma"/>
        </w:rPr>
        <w:t>providing</w:t>
      </w:r>
      <w:r w:rsidRPr="00105FFC">
        <w:rPr>
          <w:rFonts w:asciiTheme="minorHAnsi" w:hAnsiTheme="minorHAnsi" w:cs="Tahoma"/>
        </w:rPr>
        <w:t xml:space="preserve"> access to health care services understand the importance of access monitoring, as well as its limitations. Readers of this report must recognize that while access monitoring identifies areas for further research, it is the further research in Stage 2 that will identify causal pathways and produce the most important knowledge regarding access to health care services. Through this research, specific interventions can be developed and directed at problem areas. Proper interventions can only be designed once we have correctly defined and documented barriers to access.</w:t>
      </w:r>
    </w:p>
    <w:p w14:paraId="432B9E9E" w14:textId="77777777" w:rsidR="00D75025" w:rsidRPr="00105FFC" w:rsidRDefault="00D75025" w:rsidP="00D75025">
      <w:pPr>
        <w:pStyle w:val="Heading3"/>
        <w:spacing w:before="0" w:line="276" w:lineRule="auto"/>
      </w:pPr>
      <w:bookmarkStart w:id="228" w:name="_Toc305586835"/>
    </w:p>
    <w:p w14:paraId="7B70E644" w14:textId="77777777" w:rsidR="00E301F7" w:rsidRPr="00105FFC" w:rsidRDefault="00E301F7" w:rsidP="00D75025">
      <w:pPr>
        <w:pStyle w:val="Heading3"/>
        <w:spacing w:before="0" w:line="276" w:lineRule="auto"/>
      </w:pPr>
      <w:bookmarkStart w:id="229" w:name="_Toc459287749"/>
      <w:r w:rsidRPr="00105FFC">
        <w:t>Procedures for Continued Access Monitoring</w:t>
      </w:r>
      <w:bookmarkEnd w:id="229"/>
    </w:p>
    <w:p w14:paraId="353EBADC" w14:textId="77777777" w:rsidR="00D75025" w:rsidRPr="00105FFC" w:rsidRDefault="00D75025" w:rsidP="00D75025">
      <w:pPr>
        <w:spacing w:line="276" w:lineRule="auto"/>
        <w:rPr>
          <w:rFonts w:asciiTheme="minorHAnsi" w:hAnsiTheme="minorHAnsi" w:cs="Tahoma"/>
        </w:rPr>
      </w:pPr>
    </w:p>
    <w:p w14:paraId="42936303" w14:textId="77777777" w:rsidR="00E301F7" w:rsidRPr="00105FFC" w:rsidRDefault="00D665F6" w:rsidP="00D75025">
      <w:pPr>
        <w:spacing w:line="276" w:lineRule="auto"/>
        <w:rPr>
          <w:rFonts w:asciiTheme="minorHAnsi" w:hAnsiTheme="minorHAnsi" w:cs="Tahoma"/>
        </w:rPr>
      </w:pPr>
      <w:r w:rsidRPr="00105FFC">
        <w:rPr>
          <w:rFonts w:asciiTheme="minorHAnsi" w:hAnsiTheme="minorHAnsi" w:cs="Tahoma"/>
        </w:rPr>
        <w:t xml:space="preserve">In order to satisfy the requirements of CMS’ final rule on monitoring access to health care services in states’ FFS delivery systems, updated data and analysis pertaining to all access measures will be incorporated into DHCS’ FFS access monitoring review plan every three years, or more frequently as required under 42 CFR Part 447. Additionally, DHCS will have ongoing mechanisms in place for public input via hotlines, the Office of the Ombudsman, and a specific website with a dedicated email box.  DHCS will respond to public input with appropriate investigation, analysis, and response, and will maintain a record of input and the nature of the Department’s response, to be posted on the public input website. </w:t>
      </w:r>
    </w:p>
    <w:p w14:paraId="2B4A42CE" w14:textId="77777777" w:rsidR="00D75025" w:rsidRPr="00105FFC" w:rsidRDefault="00D75025" w:rsidP="00D75025">
      <w:pPr>
        <w:pStyle w:val="Heading4"/>
        <w:spacing w:before="0" w:line="276" w:lineRule="auto"/>
      </w:pPr>
    </w:p>
    <w:p w14:paraId="5AF1B512" w14:textId="77777777" w:rsidR="00E301F7" w:rsidRPr="00105FFC" w:rsidRDefault="00E301F7" w:rsidP="00D75025">
      <w:pPr>
        <w:pStyle w:val="Heading4"/>
        <w:spacing w:before="0" w:line="276" w:lineRule="auto"/>
      </w:pPr>
      <w:r w:rsidRPr="00105FFC">
        <w:t>Addressing Access Issues</w:t>
      </w:r>
    </w:p>
    <w:p w14:paraId="05BC6463" w14:textId="77777777" w:rsidR="00D75025" w:rsidRPr="00105FFC" w:rsidRDefault="00D75025" w:rsidP="00D75025">
      <w:pPr>
        <w:spacing w:line="276" w:lineRule="auto"/>
        <w:rPr>
          <w:rFonts w:asciiTheme="minorHAnsi" w:hAnsiTheme="minorHAnsi" w:cs="Tahoma"/>
        </w:rPr>
      </w:pPr>
    </w:p>
    <w:p w14:paraId="2763CC35"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In the event that potential access deficiencies are identified through data analysis, and are determined through further investigation to represent genuine access issues, DHCS will submit a corrective action plan to CMS within 90 days of identifying these issues.</w:t>
      </w:r>
    </w:p>
    <w:p w14:paraId="3A9DE778"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The Department will include specific steps and timelines to address the issues, and remediation of the deficiencies will be made within 12 months. Remediation efforts may include: modifying payment rates; improving outreach to providers; reducing barriers to provider enrollment; providing additional transportation to services; and improving care coordination. Resulting improvements will be designed to be measurable and sustainable.</w:t>
      </w:r>
    </w:p>
    <w:p w14:paraId="56C5B4BE"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Part of this exploration process will involve soliciting input from the Department’s stakeholders on the possible causes of health care access problems, and working with stakeholders to identify innovative solutions. DHCS also proposes to notify CMS of any access issues uncovered in its monitoring process. As a part of this process, DHCS will involve a variety of stakeholders including beneficiaries, health advocacy organizations, physicians, clinics, hospitals, other affected provider types, and other interested parties.</w:t>
      </w:r>
    </w:p>
    <w:p w14:paraId="79B3C82B" w14:textId="77777777" w:rsidR="00E301F7" w:rsidRPr="00105FFC" w:rsidRDefault="00E301F7" w:rsidP="00D75025">
      <w:pPr>
        <w:spacing w:line="276" w:lineRule="auto"/>
        <w:rPr>
          <w:rFonts w:asciiTheme="minorHAnsi" w:hAnsiTheme="minorHAnsi" w:cs="Tahoma"/>
        </w:rPr>
      </w:pPr>
      <w:r w:rsidRPr="00105FFC">
        <w:rPr>
          <w:rFonts w:asciiTheme="minorHAnsi" w:hAnsiTheme="minorHAnsi" w:cs="Tahoma"/>
        </w:rPr>
        <w:t>If the Department cannot definitively conclude that an access problem exists, we will develop a specific plan of action that will be provided to CMS and stakeholders that will include how we plan to continue to monitor and assess the specific situation, including the specific analyses and other steps to be taken.</w:t>
      </w:r>
    </w:p>
    <w:p w14:paraId="01131016" w14:textId="77777777" w:rsidR="00D75025" w:rsidRPr="00105FFC" w:rsidRDefault="00D75025" w:rsidP="00D75025">
      <w:pPr>
        <w:pStyle w:val="Heading4"/>
        <w:spacing w:before="0" w:line="276" w:lineRule="auto"/>
      </w:pPr>
    </w:p>
    <w:p w14:paraId="535CD636" w14:textId="77777777" w:rsidR="00E301F7" w:rsidRPr="00105FFC" w:rsidRDefault="001C5CEE" w:rsidP="00D75025">
      <w:pPr>
        <w:pStyle w:val="Heading4"/>
        <w:spacing w:before="0" w:line="276" w:lineRule="auto"/>
      </w:pPr>
      <w:r w:rsidRPr="00105FFC">
        <w:t>Proposing State Plan Amendments to Reduce or Restructure Provider Payments</w:t>
      </w:r>
    </w:p>
    <w:p w14:paraId="2B92B4A1" w14:textId="77777777" w:rsidR="00D75025" w:rsidRPr="00105FFC" w:rsidRDefault="00D75025" w:rsidP="00D75025">
      <w:pPr>
        <w:rPr>
          <w:rFonts w:asciiTheme="minorHAnsi" w:hAnsiTheme="minorHAnsi"/>
        </w:rPr>
      </w:pPr>
    </w:p>
    <w:p w14:paraId="36284FB8" w14:textId="77777777" w:rsidR="001C5CEE" w:rsidRPr="00105FFC" w:rsidRDefault="001C5CEE" w:rsidP="001C5CEE">
      <w:pPr>
        <w:spacing w:line="276" w:lineRule="auto"/>
        <w:rPr>
          <w:rFonts w:asciiTheme="minorHAnsi" w:hAnsiTheme="minorHAnsi" w:cs="Tahoma"/>
        </w:rPr>
      </w:pPr>
      <w:r w:rsidRPr="00105FFC">
        <w:rPr>
          <w:rFonts w:asciiTheme="minorHAnsi" w:hAnsiTheme="minorHAnsi" w:cs="Tahoma"/>
        </w:rPr>
        <w:t xml:space="preserve">In the event that the State intends to submit a </w:t>
      </w:r>
      <w:r w:rsidRPr="00105FFC">
        <w:rPr>
          <w:rFonts w:asciiTheme="minorHAnsi" w:eastAsiaTheme="minorHAnsi" w:hAnsiTheme="minorHAnsi" w:cs="Arial"/>
          <w:color w:val="000000"/>
        </w:rPr>
        <w:t xml:space="preserve">State Plan Amendment (SPA) </w:t>
      </w:r>
      <w:r w:rsidRPr="00105FFC">
        <w:rPr>
          <w:rFonts w:asciiTheme="minorHAnsi" w:hAnsiTheme="minorHAnsi" w:cs="Tahoma"/>
        </w:rPr>
        <w:t xml:space="preserve">to reduce or restructure FFS Medi-Cal payment rates, and such changes could result in diminished access, the State will conduct an access review in accordance with the procedures outlined in this access monitoring plan.  As a part of any such access reviews, DHCS will take into account relevant input from beneficiaries, providers, and other stakeholders on access to the affected services and the impact of the proposed action on continued access. On a dedicated access webpage, </w:t>
      </w:r>
      <w:r w:rsidRPr="00105FFC">
        <w:rPr>
          <w:rFonts w:asciiTheme="minorHAnsi" w:eastAsiaTheme="minorHAnsi" w:hAnsiTheme="minorHAnsi" w:cs="Arial"/>
          <w:iCs/>
          <w:color w:val="000000"/>
        </w:rPr>
        <w:t xml:space="preserve">DHCS </w:t>
      </w:r>
      <w:r w:rsidRPr="00105FFC">
        <w:rPr>
          <w:rFonts w:asciiTheme="minorHAnsi" w:eastAsiaTheme="minorHAnsi" w:hAnsiTheme="minorHAnsi" w:cs="Arial"/>
        </w:rPr>
        <w:t xml:space="preserve">will provide electronic notice for applicable SPA proposals, post </w:t>
      </w:r>
      <w:r w:rsidR="00160440" w:rsidRPr="00105FFC">
        <w:rPr>
          <w:rFonts w:asciiTheme="minorHAnsi" w:eastAsiaTheme="minorHAnsi" w:hAnsiTheme="minorHAnsi" w:cs="Arial"/>
        </w:rPr>
        <w:t xml:space="preserve">the </w:t>
      </w:r>
      <w:r w:rsidRPr="00105FFC">
        <w:rPr>
          <w:rFonts w:asciiTheme="minorHAnsi" w:eastAsiaTheme="minorHAnsi" w:hAnsiTheme="minorHAnsi" w:cs="Arial"/>
        </w:rPr>
        <w:t xml:space="preserve">proposed SPA language prior to submission to CMS, and allow the public to submit input to DHCS via a dedicated email address.   </w:t>
      </w:r>
      <w:r w:rsidRPr="00105FFC">
        <w:rPr>
          <w:rFonts w:asciiTheme="minorHAnsi" w:hAnsiTheme="minorHAnsi" w:cs="Tahoma"/>
        </w:rPr>
        <w:t>DHCS will maintain a record of the volume of input, the nature of the feedback received, and how DHCS responded to such input, as appropriate.</w:t>
      </w:r>
    </w:p>
    <w:p w14:paraId="43870768" w14:textId="77777777" w:rsidR="001C5CEE" w:rsidRPr="00105FFC" w:rsidRDefault="001C5CEE" w:rsidP="001C5CEE">
      <w:pPr>
        <w:spacing w:line="276" w:lineRule="auto"/>
        <w:rPr>
          <w:rFonts w:asciiTheme="minorHAnsi" w:hAnsiTheme="minorHAnsi" w:cs="Tahoma"/>
        </w:rPr>
      </w:pPr>
    </w:p>
    <w:p w14:paraId="2E33F826" w14:textId="77777777" w:rsidR="00E301F7" w:rsidRPr="00105FFC" w:rsidRDefault="001C5CEE" w:rsidP="001C5CEE">
      <w:pPr>
        <w:spacing w:line="276" w:lineRule="auto"/>
        <w:rPr>
          <w:rFonts w:asciiTheme="minorHAnsi" w:hAnsiTheme="minorHAnsi" w:cs="Tahoma"/>
        </w:rPr>
      </w:pPr>
      <w:r w:rsidRPr="00105FFC">
        <w:rPr>
          <w:rFonts w:asciiTheme="minorHAnsi" w:eastAsiaTheme="minorHAnsi" w:hAnsiTheme="minorHAnsi" w:cs="Arial"/>
          <w:iCs/>
          <w:color w:val="000000"/>
        </w:rPr>
        <w:t>For any proposed SPAs affecting payment rates, DHCS will provide CMS with the most recent access monitoring review</w:t>
      </w:r>
      <w:r w:rsidR="00160440" w:rsidRPr="00105FFC">
        <w:rPr>
          <w:rFonts w:asciiTheme="minorHAnsi" w:eastAsiaTheme="minorHAnsi" w:hAnsiTheme="minorHAnsi" w:cs="Arial"/>
          <w:iCs/>
          <w:color w:val="000000"/>
        </w:rPr>
        <w:t xml:space="preserve"> for the service at</w:t>
      </w:r>
      <w:r w:rsidRPr="00105FFC">
        <w:rPr>
          <w:rFonts w:asciiTheme="minorHAnsi" w:eastAsiaTheme="minorHAnsi" w:hAnsiTheme="minorHAnsi" w:cs="Arial"/>
          <w:iCs/>
          <w:color w:val="000000"/>
        </w:rPr>
        <w:t xml:space="preserve"> issue, an analysis of the effect of the proposed change access, and a specific analysis of any information and/or concerns expressed in input from affected stakeholders.  Additionally, t</w:t>
      </w:r>
      <w:r w:rsidRPr="00105FFC">
        <w:rPr>
          <w:rFonts w:asciiTheme="minorHAnsi" w:hAnsiTheme="minorHAnsi" w:cs="Tahoma"/>
        </w:rPr>
        <w:t>he Department will establish procedures to monitor access after implementation of a rate reduction or restructuring, as required in 42 CFR Part 447. These procedures will include an annual review of impacted providers and services – with defined measures, baseline data, and thresholds – to remain in place for at least three years following the effective date of the SPA.</w:t>
      </w:r>
      <w:r w:rsidR="00E301F7" w:rsidRPr="00105FFC">
        <w:rPr>
          <w:rFonts w:asciiTheme="minorHAnsi" w:hAnsiTheme="minorHAnsi" w:cs="Tahoma"/>
        </w:rPr>
        <w:t xml:space="preserve"> </w:t>
      </w:r>
    </w:p>
    <w:p w14:paraId="1AC39BB4" w14:textId="77777777" w:rsidR="00237A67" w:rsidRPr="00105FFC" w:rsidRDefault="00237A67" w:rsidP="00126CA8">
      <w:pPr>
        <w:spacing w:line="276" w:lineRule="auto"/>
        <w:rPr>
          <w:rFonts w:asciiTheme="minorHAnsi" w:hAnsiTheme="minorHAnsi" w:cs="Tahoma"/>
        </w:rPr>
      </w:pPr>
    </w:p>
    <w:p w14:paraId="5D391052" w14:textId="77777777" w:rsidR="00E301F7" w:rsidRPr="00105FFC" w:rsidRDefault="00E301F7" w:rsidP="00680992">
      <w:pPr>
        <w:pStyle w:val="Heading4"/>
        <w:spacing w:before="0" w:after="120" w:line="276" w:lineRule="auto"/>
      </w:pPr>
      <w:bookmarkStart w:id="230" w:name="_Toc305586838"/>
      <w:r w:rsidRPr="00105FFC">
        <w:t>Monitoring Plan Refinements</w:t>
      </w:r>
      <w:bookmarkEnd w:id="230"/>
    </w:p>
    <w:bookmarkEnd w:id="228"/>
    <w:p w14:paraId="71340203"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The health care access monitoring plan presented in this document proposes an initial set of measures based on data readily available to the Department. The bulk of the proposed access measures can be analyzed using administrative data sources that currently offer the best information pertaining to beneficiary characteristics, provider availabi</w:t>
      </w:r>
      <w:r w:rsidR="001F66E4" w:rsidRPr="00105FFC">
        <w:rPr>
          <w:rFonts w:asciiTheme="minorHAnsi" w:hAnsiTheme="minorHAnsi" w:cs="Tahoma"/>
        </w:rPr>
        <w:t xml:space="preserve">lity, and service utilization. </w:t>
      </w:r>
    </w:p>
    <w:p w14:paraId="733E2054"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The development of the FFS Medi-Cal health care access monitoring plan should be viewed as a long-term iterative process that will evolve over time as new measures are developed, monitoring priorities shift, and techniques necessary for calculating these measures are refined. Interpreting meas</w:t>
      </w:r>
      <w:r w:rsidR="001F66E4" w:rsidRPr="00105FFC">
        <w:rPr>
          <w:rFonts w:asciiTheme="minorHAnsi" w:hAnsiTheme="minorHAnsi" w:cs="Tahoma"/>
        </w:rPr>
        <w:t>ures of utilization from the per</w:t>
      </w:r>
      <w:r w:rsidRPr="00105FFC">
        <w:rPr>
          <w:rFonts w:asciiTheme="minorHAnsi" w:hAnsiTheme="minorHAnsi" w:cs="Tahoma"/>
        </w:rPr>
        <w:t xml:space="preserve">spective of access is a challenging endeavor as use is affected by many factors, only some of which policymakers and program administrators can control.   </w:t>
      </w:r>
    </w:p>
    <w:p w14:paraId="316B1E71" w14:textId="77777777" w:rsidR="00E301F7" w:rsidRPr="00105FFC" w:rsidRDefault="00E301F7" w:rsidP="002D04DA">
      <w:pPr>
        <w:spacing w:after="120" w:line="276" w:lineRule="auto"/>
        <w:rPr>
          <w:rFonts w:asciiTheme="minorHAnsi" w:hAnsiTheme="minorHAnsi" w:cs="Tahoma"/>
        </w:rPr>
      </w:pPr>
      <w:r w:rsidRPr="00105FFC">
        <w:rPr>
          <w:rFonts w:asciiTheme="minorHAnsi" w:hAnsiTheme="minorHAnsi" w:cs="Tahoma"/>
        </w:rPr>
        <w:t>Throughout the year, DHCS will review the literature and look for new and innovative ways of monitoring and measuring access to health care services. This monitoring refinement process will include assessing changes in available data as well as changes in national benchmarks for access.  If as a result of this refinement process DHCS determines that measures need to be changed, added or removed, DHCS will document the changes.</w:t>
      </w:r>
    </w:p>
    <w:p w14:paraId="757BAC7D" w14:textId="77777777" w:rsidR="00FE00B5" w:rsidRPr="00105FFC" w:rsidRDefault="00817778" w:rsidP="00E34E39">
      <w:pPr>
        <w:rPr>
          <w:rFonts w:asciiTheme="minorHAnsi" w:hAnsiTheme="minorHAnsi"/>
          <w:b/>
          <w:bCs/>
          <w:color w:val="365F91"/>
          <w:sz w:val="28"/>
          <w:szCs w:val="28"/>
        </w:rPr>
      </w:pPr>
      <w:r w:rsidRPr="00105FFC">
        <w:rPr>
          <w:rFonts w:asciiTheme="minorHAnsi" w:hAnsiTheme="minorHAnsi"/>
        </w:rPr>
        <w:br w:type="page"/>
      </w:r>
    </w:p>
    <w:p w14:paraId="249536A4" w14:textId="77777777" w:rsidR="00073BFC" w:rsidRPr="00105FFC" w:rsidRDefault="00073BFC" w:rsidP="00237A67">
      <w:pPr>
        <w:pStyle w:val="Heading1"/>
        <w:spacing w:before="0" w:after="120" w:line="276" w:lineRule="auto"/>
      </w:pPr>
      <w:bookmarkStart w:id="231" w:name="_Appendix_I_–"/>
      <w:bookmarkStart w:id="232" w:name="_Appendix_A:_Baseline"/>
      <w:bookmarkStart w:id="233" w:name="_Toc459287750"/>
      <w:bookmarkEnd w:id="231"/>
      <w:bookmarkEnd w:id="232"/>
      <w:r w:rsidRPr="00105FFC">
        <w:t>Appendix</w:t>
      </w:r>
      <w:r w:rsidR="00E845E7" w:rsidRPr="00105FFC">
        <w:t xml:space="preserve"> A</w:t>
      </w:r>
      <w:r w:rsidRPr="00105FFC">
        <w:t>: Baseline Anal</w:t>
      </w:r>
      <w:r w:rsidR="00802F4A" w:rsidRPr="00105FFC">
        <w:t>ysis</w:t>
      </w:r>
      <w:bookmarkEnd w:id="233"/>
    </w:p>
    <w:p w14:paraId="0B5DF58B" w14:textId="77777777" w:rsidR="00574A88" w:rsidRPr="00105FFC" w:rsidRDefault="00E52A40" w:rsidP="008D3218">
      <w:pPr>
        <w:pStyle w:val="Heading2"/>
        <w:spacing w:before="0"/>
        <w:rPr>
          <w:rFonts w:asciiTheme="minorHAnsi" w:hAnsiTheme="minorHAnsi"/>
          <w:color w:val="auto"/>
        </w:rPr>
      </w:pPr>
      <w:bookmarkStart w:id="234" w:name="_Toc459287751"/>
      <w:r w:rsidRPr="00105FFC">
        <w:rPr>
          <w:rFonts w:asciiTheme="minorHAnsi" w:hAnsiTheme="minorHAnsi"/>
          <w:color w:val="auto"/>
        </w:rPr>
        <w:t>Domain</w:t>
      </w:r>
      <w:r w:rsidR="00574A88" w:rsidRPr="00105FFC">
        <w:rPr>
          <w:rFonts w:asciiTheme="minorHAnsi" w:hAnsiTheme="minorHAnsi"/>
          <w:color w:val="auto"/>
        </w:rPr>
        <w:t>: Beneficiary Participation</w:t>
      </w:r>
      <w:bookmarkEnd w:id="234"/>
    </w:p>
    <w:p w14:paraId="2EA17F4F" w14:textId="77777777" w:rsidR="00574A88" w:rsidRPr="00105FFC" w:rsidRDefault="00574A88" w:rsidP="008D3218">
      <w:pPr>
        <w:pStyle w:val="Heading3"/>
      </w:pPr>
      <w:bookmarkStart w:id="235" w:name="_Toc459287752"/>
      <w:r w:rsidRPr="00105FFC">
        <w:t>Introduction</w:t>
      </w:r>
      <w:bookmarkEnd w:id="235"/>
    </w:p>
    <w:p w14:paraId="049DBAD1" w14:textId="77777777" w:rsidR="003D23C3" w:rsidRPr="00105FFC" w:rsidRDefault="00022579" w:rsidP="00574A88">
      <w:pPr>
        <w:spacing w:before="120" w:after="120" w:line="276" w:lineRule="auto"/>
        <w:rPr>
          <w:rFonts w:asciiTheme="minorHAnsi" w:eastAsia="Calibri" w:hAnsiTheme="minorHAnsi"/>
        </w:rPr>
      </w:pPr>
      <w:r w:rsidRPr="00105FFC">
        <w:rPr>
          <w:rFonts w:asciiTheme="minorHAnsi" w:eastAsia="Calibri" w:hAnsiTheme="minorHAnsi"/>
        </w:rPr>
        <w:t xml:space="preserve">The Beneficiary Participation </w:t>
      </w:r>
      <w:r w:rsidR="00E52A40" w:rsidRPr="00105FFC">
        <w:rPr>
          <w:rFonts w:asciiTheme="minorHAnsi" w:eastAsia="Calibri" w:hAnsiTheme="minorHAnsi"/>
        </w:rPr>
        <w:t>domain</w:t>
      </w:r>
      <w:r w:rsidRPr="00105FFC">
        <w:rPr>
          <w:rFonts w:asciiTheme="minorHAnsi" w:eastAsia="Calibri" w:hAnsiTheme="minorHAnsi"/>
        </w:rPr>
        <w:t xml:space="preserve"> is designed to describe the characteristics of Medi-Cal’s FFS participants.  This includes evaluations </w:t>
      </w:r>
      <w:r w:rsidR="00574A88" w:rsidRPr="00105FFC">
        <w:rPr>
          <w:rFonts w:asciiTheme="minorHAnsi" w:eastAsia="Calibri" w:hAnsiTheme="minorHAnsi"/>
        </w:rPr>
        <w:t>by length of enrollment, age group, aid category, gender, geographic region, race/ethnicity, and primary language. The baseline study period</w:t>
      </w:r>
      <w:r w:rsidRPr="00105FFC">
        <w:rPr>
          <w:rFonts w:asciiTheme="minorHAnsi" w:eastAsia="Calibri" w:hAnsiTheme="minorHAnsi"/>
        </w:rPr>
        <w:t>s</w:t>
      </w:r>
      <w:r w:rsidR="00574A88" w:rsidRPr="00105FFC">
        <w:rPr>
          <w:rFonts w:asciiTheme="minorHAnsi" w:eastAsia="Calibri" w:hAnsiTheme="minorHAnsi"/>
        </w:rPr>
        <w:t xml:space="preserve"> </w:t>
      </w:r>
      <w:r w:rsidRPr="00105FFC">
        <w:rPr>
          <w:rFonts w:asciiTheme="minorHAnsi" w:eastAsia="Calibri" w:hAnsiTheme="minorHAnsi"/>
        </w:rPr>
        <w:t xml:space="preserve">are </w:t>
      </w:r>
      <w:r w:rsidR="00574A88" w:rsidRPr="00105FFC">
        <w:rPr>
          <w:rFonts w:asciiTheme="minorHAnsi" w:eastAsia="Calibri" w:hAnsiTheme="minorHAnsi"/>
        </w:rPr>
        <w:t>State Fiscal Years (SFY) 2013-14 and 2014-15. Most analyses in the B</w:t>
      </w:r>
      <w:r w:rsidR="00957E1E" w:rsidRPr="00105FFC">
        <w:rPr>
          <w:rFonts w:asciiTheme="minorHAnsi" w:eastAsia="Calibri" w:hAnsiTheme="minorHAnsi"/>
        </w:rPr>
        <w:t>eneficiary Participation evaluation domain</w:t>
      </w:r>
      <w:r w:rsidR="00574A88" w:rsidRPr="00105FFC">
        <w:rPr>
          <w:rFonts w:asciiTheme="minorHAnsi" w:eastAsia="Calibri" w:hAnsiTheme="minorHAnsi"/>
        </w:rPr>
        <w:t xml:space="preserve"> reflect only beneficiaries who were certified eligible for Medi-Cal for at least 11 months in either SFY 2013-14 or 2014-15.</w:t>
      </w:r>
    </w:p>
    <w:p w14:paraId="3214917C" w14:textId="77777777" w:rsidR="003D23C3" w:rsidRPr="00105FFC" w:rsidRDefault="003D23C3" w:rsidP="003D23C3">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In this section, Medi-Cal’s FFS population will be evaluated along several dimensions.  These include: </w:t>
      </w:r>
    </w:p>
    <w:p w14:paraId="5A1E064E" w14:textId="77777777" w:rsidR="00A95967" w:rsidRPr="00085BCA" w:rsidRDefault="00A95967" w:rsidP="00085BCA">
      <w:pPr>
        <w:pStyle w:val="ListParagraph"/>
        <w:numPr>
          <w:ilvl w:val="0"/>
          <w:numId w:val="44"/>
        </w:numPr>
        <w:rPr>
          <w:rFonts w:asciiTheme="minorHAnsi" w:hAnsiTheme="minorHAnsi"/>
        </w:rPr>
      </w:pPr>
      <w:bookmarkStart w:id="236" w:name="_Toc458518981"/>
      <w:bookmarkStart w:id="237" w:name="_Toc458526559"/>
      <w:bookmarkStart w:id="238" w:name="_Toc458526693"/>
      <w:bookmarkStart w:id="239" w:name="_Toc458782877"/>
      <w:r w:rsidRPr="00085BCA">
        <w:rPr>
          <w:rFonts w:asciiTheme="minorHAnsi" w:hAnsiTheme="minorHAnsi"/>
        </w:rPr>
        <w:t>the trend in FFS Medi-Cal participation,</w:t>
      </w:r>
      <w:bookmarkEnd w:id="236"/>
      <w:bookmarkEnd w:id="237"/>
      <w:bookmarkEnd w:id="238"/>
      <w:bookmarkEnd w:id="239"/>
    </w:p>
    <w:p w14:paraId="4CE4CA62" w14:textId="77777777" w:rsidR="003D23C3" w:rsidRPr="00085BCA" w:rsidRDefault="00A95967" w:rsidP="00085BCA">
      <w:pPr>
        <w:pStyle w:val="ListParagraph"/>
        <w:numPr>
          <w:ilvl w:val="0"/>
          <w:numId w:val="44"/>
        </w:numPr>
        <w:rPr>
          <w:rFonts w:asciiTheme="minorHAnsi" w:hAnsiTheme="minorHAnsi"/>
        </w:rPr>
      </w:pPr>
      <w:bookmarkStart w:id="240" w:name="_Toc458518982"/>
      <w:bookmarkStart w:id="241" w:name="_Toc458526560"/>
      <w:bookmarkStart w:id="242" w:name="_Toc458526694"/>
      <w:bookmarkStart w:id="243" w:name="_Toc458782878"/>
      <w:r w:rsidRPr="00085BCA">
        <w:rPr>
          <w:rFonts w:asciiTheme="minorHAnsi" w:hAnsiTheme="minorHAnsi"/>
        </w:rPr>
        <w:t>t</w:t>
      </w:r>
      <w:r w:rsidR="003D23C3" w:rsidRPr="00085BCA">
        <w:rPr>
          <w:rFonts w:asciiTheme="minorHAnsi" w:hAnsiTheme="minorHAnsi"/>
        </w:rPr>
        <w:t>he distribution of FFS Medi-Cal beneficiaries by length of enrollment,</w:t>
      </w:r>
      <w:bookmarkEnd w:id="240"/>
      <w:bookmarkEnd w:id="241"/>
      <w:bookmarkEnd w:id="242"/>
      <w:bookmarkEnd w:id="243"/>
    </w:p>
    <w:p w14:paraId="0034E899" w14:textId="77777777" w:rsidR="00957E1E" w:rsidRPr="00085BCA" w:rsidRDefault="00957E1E" w:rsidP="00085BCA">
      <w:pPr>
        <w:pStyle w:val="ListParagraph"/>
        <w:numPr>
          <w:ilvl w:val="0"/>
          <w:numId w:val="44"/>
        </w:numPr>
        <w:rPr>
          <w:rFonts w:asciiTheme="minorHAnsi" w:hAnsiTheme="minorHAnsi"/>
        </w:rPr>
      </w:pPr>
      <w:bookmarkStart w:id="244" w:name="_Toc458518983"/>
      <w:bookmarkStart w:id="245" w:name="_Toc458526561"/>
      <w:bookmarkStart w:id="246" w:name="_Toc458526695"/>
      <w:bookmarkStart w:id="247" w:name="_Toc458782879"/>
      <w:r w:rsidRPr="00085BCA">
        <w:rPr>
          <w:rFonts w:asciiTheme="minorHAnsi" w:hAnsiTheme="minorHAnsi"/>
        </w:rPr>
        <w:t>the distribution of FFS Medi-Cal beneficiaries by age group,</w:t>
      </w:r>
      <w:bookmarkEnd w:id="244"/>
      <w:bookmarkEnd w:id="245"/>
      <w:bookmarkEnd w:id="246"/>
      <w:bookmarkEnd w:id="247"/>
    </w:p>
    <w:p w14:paraId="08CBE4A4" w14:textId="77777777" w:rsidR="003D23C3" w:rsidRPr="00085BCA" w:rsidRDefault="00A95967" w:rsidP="00085BCA">
      <w:pPr>
        <w:pStyle w:val="ListParagraph"/>
        <w:numPr>
          <w:ilvl w:val="0"/>
          <w:numId w:val="44"/>
        </w:numPr>
        <w:rPr>
          <w:rFonts w:asciiTheme="minorHAnsi" w:hAnsiTheme="minorHAnsi"/>
        </w:rPr>
      </w:pPr>
      <w:bookmarkStart w:id="248" w:name="_Toc458518984"/>
      <w:bookmarkStart w:id="249" w:name="_Toc458526562"/>
      <w:bookmarkStart w:id="250" w:name="_Toc458526696"/>
      <w:bookmarkStart w:id="251" w:name="_Toc458782880"/>
      <w:r w:rsidRPr="00085BCA">
        <w:rPr>
          <w:rFonts w:asciiTheme="minorHAnsi" w:hAnsiTheme="minorHAnsi"/>
        </w:rPr>
        <w:t>t</w:t>
      </w:r>
      <w:r w:rsidR="003D23C3" w:rsidRPr="00085BCA">
        <w:rPr>
          <w:rFonts w:asciiTheme="minorHAnsi" w:hAnsiTheme="minorHAnsi"/>
        </w:rPr>
        <w:t xml:space="preserve">he distribution of FFS Medi-Cal beneficiaries by </w:t>
      </w:r>
      <w:r w:rsidR="00957E1E" w:rsidRPr="00085BCA">
        <w:rPr>
          <w:rFonts w:asciiTheme="minorHAnsi" w:hAnsiTheme="minorHAnsi"/>
        </w:rPr>
        <w:t>aid category</w:t>
      </w:r>
      <w:r w:rsidR="003D23C3" w:rsidRPr="00085BCA">
        <w:rPr>
          <w:rFonts w:asciiTheme="minorHAnsi" w:hAnsiTheme="minorHAnsi"/>
        </w:rPr>
        <w:t>,</w:t>
      </w:r>
      <w:bookmarkEnd w:id="248"/>
      <w:bookmarkEnd w:id="249"/>
      <w:bookmarkEnd w:id="250"/>
      <w:bookmarkEnd w:id="251"/>
    </w:p>
    <w:p w14:paraId="110F1DC2" w14:textId="77777777" w:rsidR="003D23C3" w:rsidRPr="00085BCA" w:rsidRDefault="00A95967" w:rsidP="00085BCA">
      <w:pPr>
        <w:pStyle w:val="ListParagraph"/>
        <w:numPr>
          <w:ilvl w:val="0"/>
          <w:numId w:val="44"/>
        </w:numPr>
        <w:rPr>
          <w:rFonts w:asciiTheme="minorHAnsi" w:hAnsiTheme="minorHAnsi"/>
        </w:rPr>
      </w:pPr>
      <w:bookmarkStart w:id="252" w:name="_Toc458518985"/>
      <w:bookmarkStart w:id="253" w:name="_Toc458526563"/>
      <w:bookmarkStart w:id="254" w:name="_Toc458526697"/>
      <w:bookmarkStart w:id="255" w:name="_Toc458782881"/>
      <w:r w:rsidRPr="00085BCA">
        <w:rPr>
          <w:rFonts w:asciiTheme="minorHAnsi" w:hAnsiTheme="minorHAnsi"/>
        </w:rPr>
        <w:t>t</w:t>
      </w:r>
      <w:r w:rsidR="003D23C3" w:rsidRPr="00085BCA">
        <w:rPr>
          <w:rFonts w:asciiTheme="minorHAnsi" w:hAnsiTheme="minorHAnsi"/>
        </w:rPr>
        <w:t>he distribution of FFS Medi-Cal beneficiaries by gender,</w:t>
      </w:r>
      <w:bookmarkEnd w:id="252"/>
      <w:bookmarkEnd w:id="253"/>
      <w:bookmarkEnd w:id="254"/>
      <w:bookmarkEnd w:id="255"/>
    </w:p>
    <w:p w14:paraId="0BF5437B" w14:textId="77777777" w:rsidR="00957E1E" w:rsidRPr="00085BCA" w:rsidRDefault="00957E1E" w:rsidP="00085BCA">
      <w:pPr>
        <w:pStyle w:val="ListParagraph"/>
        <w:numPr>
          <w:ilvl w:val="0"/>
          <w:numId w:val="44"/>
        </w:numPr>
        <w:rPr>
          <w:rFonts w:asciiTheme="minorHAnsi" w:hAnsiTheme="minorHAnsi"/>
        </w:rPr>
      </w:pPr>
      <w:bookmarkStart w:id="256" w:name="_Toc458518986"/>
      <w:bookmarkStart w:id="257" w:name="_Toc458526564"/>
      <w:bookmarkStart w:id="258" w:name="_Toc458526698"/>
      <w:bookmarkStart w:id="259" w:name="_Toc458782882"/>
      <w:r w:rsidRPr="00085BCA">
        <w:rPr>
          <w:rFonts w:asciiTheme="minorHAnsi" w:hAnsiTheme="minorHAnsi"/>
        </w:rPr>
        <w:t>the distribution of FFS Medi-Cal women ages 15-44 by aid category,</w:t>
      </w:r>
      <w:bookmarkEnd w:id="256"/>
      <w:bookmarkEnd w:id="257"/>
      <w:bookmarkEnd w:id="258"/>
      <w:bookmarkEnd w:id="259"/>
    </w:p>
    <w:p w14:paraId="5B2A9020" w14:textId="77777777" w:rsidR="003D23C3" w:rsidRPr="00085BCA" w:rsidRDefault="00A95967" w:rsidP="00085BCA">
      <w:pPr>
        <w:pStyle w:val="ListParagraph"/>
        <w:numPr>
          <w:ilvl w:val="0"/>
          <w:numId w:val="44"/>
        </w:numPr>
        <w:rPr>
          <w:rFonts w:asciiTheme="minorHAnsi" w:hAnsiTheme="minorHAnsi"/>
        </w:rPr>
      </w:pPr>
      <w:bookmarkStart w:id="260" w:name="_Toc458518987"/>
      <w:bookmarkStart w:id="261" w:name="_Toc458526565"/>
      <w:bookmarkStart w:id="262" w:name="_Toc458526699"/>
      <w:bookmarkStart w:id="263" w:name="_Toc458782883"/>
      <w:r w:rsidRPr="00085BCA">
        <w:rPr>
          <w:rFonts w:asciiTheme="minorHAnsi" w:hAnsiTheme="minorHAnsi"/>
        </w:rPr>
        <w:t>t</w:t>
      </w:r>
      <w:r w:rsidR="003D23C3" w:rsidRPr="00085BCA">
        <w:rPr>
          <w:rFonts w:asciiTheme="minorHAnsi" w:hAnsiTheme="minorHAnsi"/>
        </w:rPr>
        <w:t>he distribution of FFS Medi-Cal beneficiaries by geographic region,</w:t>
      </w:r>
      <w:bookmarkEnd w:id="260"/>
      <w:bookmarkEnd w:id="261"/>
      <w:bookmarkEnd w:id="262"/>
      <w:bookmarkEnd w:id="263"/>
    </w:p>
    <w:p w14:paraId="0AE7F3EE" w14:textId="77777777" w:rsidR="001803BB" w:rsidRPr="00085BCA" w:rsidRDefault="00A95967" w:rsidP="00085BCA">
      <w:pPr>
        <w:pStyle w:val="ListParagraph"/>
        <w:numPr>
          <w:ilvl w:val="0"/>
          <w:numId w:val="44"/>
        </w:numPr>
        <w:rPr>
          <w:rFonts w:asciiTheme="minorHAnsi" w:hAnsiTheme="minorHAnsi"/>
        </w:rPr>
      </w:pPr>
      <w:bookmarkStart w:id="264" w:name="_Toc458518988"/>
      <w:bookmarkStart w:id="265" w:name="_Toc458526566"/>
      <w:bookmarkStart w:id="266" w:name="_Toc458526700"/>
      <w:bookmarkStart w:id="267" w:name="_Toc458782884"/>
      <w:r w:rsidRPr="00085BCA">
        <w:rPr>
          <w:rFonts w:asciiTheme="minorHAnsi" w:hAnsiTheme="minorHAnsi"/>
        </w:rPr>
        <w:t>t</w:t>
      </w:r>
      <w:r w:rsidR="001803BB" w:rsidRPr="00085BCA">
        <w:rPr>
          <w:rFonts w:asciiTheme="minorHAnsi" w:hAnsiTheme="minorHAnsi"/>
        </w:rPr>
        <w:t xml:space="preserve">he distribution of FFS Medi-Cal beneficiaries by </w:t>
      </w:r>
      <w:r w:rsidR="00957E1E" w:rsidRPr="00085BCA">
        <w:rPr>
          <w:rFonts w:asciiTheme="minorHAnsi" w:hAnsiTheme="minorHAnsi"/>
        </w:rPr>
        <w:t>race/</w:t>
      </w:r>
      <w:r w:rsidR="001803BB" w:rsidRPr="00085BCA">
        <w:rPr>
          <w:rFonts w:asciiTheme="minorHAnsi" w:hAnsiTheme="minorHAnsi"/>
        </w:rPr>
        <w:t>ethnicity,</w:t>
      </w:r>
      <w:bookmarkEnd w:id="264"/>
      <w:bookmarkEnd w:id="265"/>
      <w:bookmarkEnd w:id="266"/>
      <w:bookmarkEnd w:id="267"/>
    </w:p>
    <w:p w14:paraId="7F85BA96" w14:textId="77777777" w:rsidR="00070877" w:rsidRPr="00085BCA" w:rsidRDefault="00A95967" w:rsidP="00085BCA">
      <w:pPr>
        <w:pStyle w:val="ListParagraph"/>
        <w:numPr>
          <w:ilvl w:val="0"/>
          <w:numId w:val="44"/>
        </w:numPr>
        <w:rPr>
          <w:rFonts w:asciiTheme="minorHAnsi" w:hAnsiTheme="minorHAnsi"/>
        </w:rPr>
      </w:pPr>
      <w:bookmarkStart w:id="268" w:name="_Toc458518989"/>
      <w:bookmarkStart w:id="269" w:name="_Toc458526567"/>
      <w:bookmarkStart w:id="270" w:name="_Toc458526701"/>
      <w:bookmarkStart w:id="271" w:name="_Toc458782885"/>
      <w:r w:rsidRPr="00085BCA">
        <w:rPr>
          <w:rFonts w:asciiTheme="minorHAnsi" w:hAnsiTheme="minorHAnsi"/>
        </w:rPr>
        <w:t>t</w:t>
      </w:r>
      <w:r w:rsidR="001803BB" w:rsidRPr="00085BCA">
        <w:rPr>
          <w:rFonts w:asciiTheme="minorHAnsi" w:hAnsiTheme="minorHAnsi"/>
        </w:rPr>
        <w:t>he distribution of FFS Medi-Cal beneficiaries by primary language spoken.</w:t>
      </w:r>
      <w:bookmarkEnd w:id="268"/>
      <w:bookmarkEnd w:id="269"/>
      <w:bookmarkEnd w:id="270"/>
      <w:bookmarkEnd w:id="271"/>
    </w:p>
    <w:p w14:paraId="4854177C" w14:textId="77777777" w:rsidR="00070877" w:rsidRPr="00105FFC" w:rsidRDefault="00070877" w:rsidP="00D75025">
      <w:pPr>
        <w:keepNext/>
        <w:keepLines/>
        <w:outlineLvl w:val="2"/>
        <w:rPr>
          <w:rFonts w:asciiTheme="minorHAnsi" w:hAnsiTheme="minorHAnsi"/>
          <w:bCs/>
          <w:color w:val="000000"/>
        </w:rPr>
      </w:pPr>
    </w:p>
    <w:p w14:paraId="5D15C7C9" w14:textId="77777777" w:rsidR="00070877" w:rsidRPr="00105FFC" w:rsidRDefault="00070877" w:rsidP="008D3218">
      <w:pPr>
        <w:pStyle w:val="Heading3"/>
        <w:spacing w:before="0"/>
      </w:pPr>
      <w:bookmarkStart w:id="272" w:name="_Toc459287753"/>
      <w:r w:rsidRPr="00105FFC">
        <w:t>Trend in Overall Medi-Cal Enrollment, 2008-2016</w:t>
      </w:r>
      <w:bookmarkEnd w:id="272"/>
    </w:p>
    <w:p w14:paraId="279E5EC2" w14:textId="77777777" w:rsidR="00D75025" w:rsidRPr="00105FFC" w:rsidRDefault="00D75025" w:rsidP="00D75025">
      <w:pPr>
        <w:spacing w:line="276" w:lineRule="auto"/>
        <w:rPr>
          <w:rFonts w:asciiTheme="minorHAnsi" w:eastAsiaTheme="minorHAnsi" w:hAnsiTheme="minorHAnsi" w:cs="Arial"/>
        </w:rPr>
      </w:pPr>
    </w:p>
    <w:p w14:paraId="01A6122B" w14:textId="77777777" w:rsidR="003D23C3" w:rsidRPr="00105FFC" w:rsidRDefault="00070877" w:rsidP="00070877">
      <w:pPr>
        <w:spacing w:after="120" w:line="276" w:lineRule="auto"/>
        <w:rPr>
          <w:rFonts w:asciiTheme="minorHAnsi" w:eastAsiaTheme="minorHAnsi" w:hAnsiTheme="minorHAnsi" w:cs="Arial"/>
        </w:rPr>
      </w:pPr>
      <w:r w:rsidRPr="00105FFC">
        <w:rPr>
          <w:rFonts w:asciiTheme="minorHAnsi" w:eastAsiaTheme="minorHAnsi" w:hAnsiTheme="minorHAnsi" w:cs="Arial"/>
        </w:rPr>
        <w:t xml:space="preserve">In January 2008, Medi-Cal’s 6.6 million certified eligible beneficiaries were evenly split between the two delivery systems, with managed care and FFS serving approximately 3.3 million beneficiaries each. But by January 2016, even as the overall Medi-Cal program had soared to cover roughly 13.5 million Californians, only 3.1 million individuals participated in the FFS system. Of all Medi-Cal beneficiaries, nearly 77% were enrolled in managed care, while </w:t>
      </w:r>
      <w:r w:rsidR="00DA0F18" w:rsidRPr="00105FFC">
        <w:rPr>
          <w:rFonts w:asciiTheme="minorHAnsi" w:eastAsiaTheme="minorHAnsi" w:hAnsiTheme="minorHAnsi" w:cs="Arial"/>
        </w:rPr>
        <w:t xml:space="preserve">only </w:t>
      </w:r>
      <w:r w:rsidRPr="00105FFC">
        <w:rPr>
          <w:rFonts w:asciiTheme="minorHAnsi" w:eastAsiaTheme="minorHAnsi" w:hAnsiTheme="minorHAnsi" w:cs="Arial"/>
        </w:rPr>
        <w:t xml:space="preserve">23% were enrolled in FFS (Figure </w:t>
      </w:r>
      <w:r w:rsidR="00D75025" w:rsidRPr="00105FFC">
        <w:rPr>
          <w:rFonts w:asciiTheme="minorHAnsi" w:eastAsiaTheme="minorHAnsi" w:hAnsiTheme="minorHAnsi" w:cs="Arial"/>
        </w:rPr>
        <w:t>22</w:t>
      </w:r>
      <w:r w:rsidRPr="00105FFC">
        <w:rPr>
          <w:rFonts w:asciiTheme="minorHAnsi" w:eastAsiaTheme="minorHAnsi" w:hAnsiTheme="minorHAnsi" w:cs="Arial"/>
        </w:rPr>
        <w:t>).</w:t>
      </w:r>
    </w:p>
    <w:p w14:paraId="5B13BF5B" w14:textId="77777777" w:rsidR="00D75025" w:rsidRPr="00105FFC" w:rsidRDefault="00D75025">
      <w:pPr>
        <w:spacing w:after="200" w:line="276" w:lineRule="auto"/>
        <w:rPr>
          <w:rFonts w:asciiTheme="minorHAnsi" w:eastAsiaTheme="minorHAnsi" w:hAnsiTheme="minorHAnsi" w:cs="Arial"/>
        </w:rPr>
      </w:pPr>
      <w:r w:rsidRPr="00105FFC">
        <w:rPr>
          <w:rFonts w:asciiTheme="minorHAnsi" w:eastAsiaTheme="minorHAnsi" w:hAnsiTheme="minorHAnsi" w:cs="Arial"/>
        </w:rPr>
        <w:br w:type="page"/>
      </w:r>
    </w:p>
    <w:p w14:paraId="1FA0E7B2" w14:textId="77777777" w:rsidR="00070877" w:rsidRPr="00105FFC" w:rsidRDefault="00070877" w:rsidP="00D75025">
      <w:pPr>
        <w:pStyle w:val="Caption"/>
        <w:spacing w:after="0" w:line="276" w:lineRule="auto"/>
        <w:rPr>
          <w:rFonts w:asciiTheme="minorHAnsi" w:eastAsiaTheme="minorHAnsi" w:hAnsiTheme="minorHAnsi" w:cs="Arial"/>
          <w:sz w:val="20"/>
          <w:szCs w:val="20"/>
        </w:rPr>
      </w:pPr>
      <w:bookmarkStart w:id="273" w:name="_Toc458782960"/>
      <w:bookmarkStart w:id="274" w:name="_Toc459285071"/>
      <w:bookmarkStart w:id="275" w:name="_Toc459285262"/>
      <w:bookmarkStart w:id="276" w:name="_Toc459286703"/>
      <w:r w:rsidRPr="00105FFC">
        <w:rPr>
          <w:rFonts w:asciiTheme="minorHAnsi" w:hAnsiTheme="minorHAnsi"/>
          <w:color w:val="auto"/>
        </w:rPr>
        <w:t xml:space="preserve">Figure </w:t>
      </w:r>
      <w:r w:rsidRPr="00105FFC">
        <w:rPr>
          <w:rFonts w:asciiTheme="minorHAnsi" w:hAnsiTheme="minorHAnsi"/>
          <w:color w:val="auto"/>
        </w:rPr>
        <w:fldChar w:fldCharType="begin"/>
      </w:r>
      <w:r w:rsidRPr="00105FFC">
        <w:rPr>
          <w:rFonts w:asciiTheme="minorHAnsi" w:hAnsiTheme="minorHAnsi"/>
          <w:color w:val="auto"/>
        </w:rPr>
        <w:instrText xml:space="preserve"> SEQ Figure \* ARABIC </w:instrText>
      </w:r>
      <w:r w:rsidRPr="00105FFC">
        <w:rPr>
          <w:rFonts w:asciiTheme="minorHAnsi" w:hAnsiTheme="minorHAnsi"/>
          <w:color w:val="auto"/>
        </w:rPr>
        <w:fldChar w:fldCharType="separate"/>
      </w:r>
      <w:r w:rsidR="000E1B8E">
        <w:rPr>
          <w:rFonts w:asciiTheme="minorHAnsi" w:hAnsiTheme="minorHAnsi"/>
          <w:noProof/>
          <w:color w:val="auto"/>
        </w:rPr>
        <w:t>22</w:t>
      </w:r>
      <w:r w:rsidRPr="00105FFC">
        <w:rPr>
          <w:rFonts w:asciiTheme="minorHAnsi" w:hAnsiTheme="minorHAnsi"/>
          <w:color w:val="auto"/>
        </w:rPr>
        <w:fldChar w:fldCharType="end"/>
      </w:r>
      <w:r w:rsidRPr="00105FFC">
        <w:rPr>
          <w:rFonts w:asciiTheme="minorHAnsi" w:hAnsiTheme="minorHAnsi"/>
          <w:color w:val="auto"/>
        </w:rPr>
        <w:t xml:space="preserve">: </w:t>
      </w:r>
      <w:r w:rsidRPr="00105FFC">
        <w:rPr>
          <w:rFonts w:asciiTheme="minorHAnsi" w:eastAsiaTheme="minorHAnsi" w:hAnsiTheme="minorHAnsi" w:cs="Arial"/>
          <w:b w:val="0"/>
          <w:color w:val="auto"/>
          <w:sz w:val="20"/>
          <w:szCs w:val="20"/>
        </w:rPr>
        <w:t>Biannual Trend in Medi-Cal FFS and Managed Care Participation from January 2008-January 2016</w:t>
      </w:r>
      <w:bookmarkEnd w:id="273"/>
      <w:bookmarkEnd w:id="274"/>
      <w:bookmarkEnd w:id="275"/>
      <w:bookmarkEnd w:id="276"/>
    </w:p>
    <w:p w14:paraId="7AE54A3D" w14:textId="77777777" w:rsidR="00070877" w:rsidRPr="00105FFC" w:rsidRDefault="00070877" w:rsidP="00070877">
      <w:pPr>
        <w:spacing w:after="120" w:line="276" w:lineRule="auto"/>
        <w:rPr>
          <w:rFonts w:asciiTheme="minorHAnsi" w:eastAsiaTheme="minorHAnsi" w:hAnsiTheme="minorHAnsi" w:cs="Arial"/>
          <w:sz w:val="20"/>
          <w:szCs w:val="20"/>
        </w:rPr>
      </w:pPr>
      <w:r w:rsidRPr="00105FFC">
        <w:rPr>
          <w:rFonts w:asciiTheme="minorHAnsi" w:eastAsiaTheme="minorHAnsi" w:hAnsiTheme="minorHAnsi" w:cs="Arial"/>
          <w:noProof/>
        </w:rPr>
        <w:drawing>
          <wp:inline distT="0" distB="0" distL="0" distR="0" wp14:anchorId="7DDDD84B" wp14:editId="42BFBEBD">
            <wp:extent cx="5943600" cy="2468880"/>
            <wp:effectExtent l="0" t="0" r="0" b="7620"/>
            <wp:docPr id="12" name="Chart 12" descr="2008-01: FFS 3,303,011 Managed Care 3,299,030 &#10;2008-07: FFS 3,320,759 Managed Care 3,400,244 &#10;2009-01: FFS 3,375,203 Managed Care 3,481,998 &#10;2009-07: FFS 3,446,779 Managed Care 3,642,408 &#10;2010-01: FFS 3,368,757 Managed Care 3,875,201 &#10;2010-07: FFS 3,384,479 Managed Care 4,008,010 &#10;2011-01: FFS 3,333,493 Managed Care 4,167,274 &#10;2011-07: FFS 3,063,844 Managed Care 4,526,737 &#10;2012-01: FFS 2,849,974 Managed Care 4,745,533 &#10;2012-07: FFS 2,773,312 Managed Care 4,852,642 &#10;2013-01: FFS 2,801,272 Managed Care 5,063,693 &#10;2013-07: FFS 2,780,023 Managed Care 5,688,965 &#10;2014-01: FFS 3,177,683 Managed Care 6,730,074 &#10;2014-07: FFS 3,670,453 Managed Care 7,852,247 &#10;2015-01 FFS 3,138,954 Managed Care 9,230,472 &#10;2015-07 FFS 2,985,211 Managed Care 9,842,847 &#10;2016-01 FFS 3,108,117 Managed Care 10,376,650 &#10;" title="Biannual Trend in Medi-Cal FFS and Managed Care Participation from January 2008-January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105FFC">
        <w:rPr>
          <w:rFonts w:asciiTheme="minorHAnsi" w:eastAsiaTheme="minorHAnsi" w:hAnsiTheme="minorHAnsi" w:cs="Arial"/>
          <w:b/>
          <w:sz w:val="16"/>
          <w:szCs w:val="16"/>
        </w:rPr>
        <w:t>Source:</w:t>
      </w:r>
      <w:r w:rsidRPr="00105FFC">
        <w:rPr>
          <w:rFonts w:asciiTheme="minorHAnsi" w:eastAsiaTheme="minorHAnsi" w:hAnsiTheme="minorHAnsi" w:cs="Arial"/>
          <w:sz w:val="16"/>
          <w:szCs w:val="16"/>
        </w:rPr>
        <w:t xml:space="preserve"> Created by DHCS Research and Analytic Studies Division</w:t>
      </w:r>
      <w:r w:rsidRPr="00105FFC">
        <w:rPr>
          <w:rFonts w:asciiTheme="minorHAnsi" w:eastAsiaTheme="minorHAnsi" w:hAnsiTheme="minorHAnsi" w:cs="Arial"/>
          <w:sz w:val="20"/>
          <w:szCs w:val="20"/>
        </w:rPr>
        <w:t>.</w:t>
      </w:r>
    </w:p>
    <w:p w14:paraId="495DF74D" w14:textId="77777777" w:rsidR="00574A88" w:rsidRPr="00105FFC" w:rsidRDefault="00574A88" w:rsidP="008D3218">
      <w:pPr>
        <w:pStyle w:val="Heading3"/>
      </w:pPr>
      <w:bookmarkStart w:id="277" w:name="_Toc459287754"/>
      <w:r w:rsidRPr="00105FFC">
        <w:t>Distribution of FFS Medi-Cal Beneficiaries, by Age Group</w:t>
      </w:r>
      <w:bookmarkEnd w:id="277"/>
    </w:p>
    <w:p w14:paraId="34E5299A" w14:textId="77777777" w:rsidR="00D75025" w:rsidRPr="00105FFC" w:rsidRDefault="00D75025" w:rsidP="00D75025">
      <w:pPr>
        <w:keepNext/>
        <w:keepLines/>
        <w:outlineLvl w:val="2"/>
        <w:rPr>
          <w:rFonts w:asciiTheme="minorHAnsi" w:hAnsiTheme="minorHAnsi"/>
          <w:b/>
          <w:bCs/>
          <w:color w:val="000000"/>
          <w:sz w:val="28"/>
        </w:rPr>
      </w:pPr>
    </w:p>
    <w:p w14:paraId="5679D09C" w14:textId="77777777" w:rsidR="00574A88" w:rsidRPr="00105FFC" w:rsidRDefault="00574A88" w:rsidP="00D75025">
      <w:pPr>
        <w:spacing w:line="276" w:lineRule="auto"/>
        <w:rPr>
          <w:rFonts w:asciiTheme="minorHAnsi" w:eastAsia="Calibri" w:hAnsiTheme="minorHAnsi"/>
        </w:rPr>
      </w:pPr>
      <w:r w:rsidRPr="00105FFC">
        <w:rPr>
          <w:rFonts w:asciiTheme="minorHAnsi" w:eastAsia="Calibri" w:hAnsiTheme="minorHAnsi"/>
        </w:rPr>
        <w:t xml:space="preserve">Adults ages 19-64 represented the largest proportion of the FFS Medi-Cal population in SFY 2013-14 (48.9%) and increased to 61.2% of the FFS Medi-Cal population in </w:t>
      </w:r>
      <w:r w:rsidR="00E65EFB" w:rsidRPr="00105FFC">
        <w:rPr>
          <w:rFonts w:asciiTheme="minorHAnsi" w:eastAsia="Calibri" w:hAnsiTheme="minorHAnsi"/>
        </w:rPr>
        <w:t xml:space="preserve">SFY </w:t>
      </w:r>
      <w:r w:rsidRPr="00105FFC">
        <w:rPr>
          <w:rFonts w:asciiTheme="minorHAnsi" w:eastAsia="Calibri" w:hAnsiTheme="minorHAnsi"/>
        </w:rPr>
        <w:t xml:space="preserve">2014-15. Following implementation of the ACA in January 2014, Medi-Cal experienced a surge in enrollment among previously ineligible low-income adults ages 19-64 (at or below 138% Federal Poverty Level). These adults were </w:t>
      </w:r>
      <w:r w:rsidR="00E65EFB" w:rsidRPr="00105FFC">
        <w:rPr>
          <w:rFonts w:asciiTheme="minorHAnsi" w:eastAsia="Calibri" w:hAnsiTheme="minorHAnsi"/>
        </w:rPr>
        <w:t>initially participants</w:t>
      </w:r>
      <w:r w:rsidRPr="00105FFC">
        <w:rPr>
          <w:rFonts w:asciiTheme="minorHAnsi" w:eastAsia="Calibri" w:hAnsiTheme="minorHAnsi"/>
        </w:rPr>
        <w:t xml:space="preserve"> </w:t>
      </w:r>
      <w:r w:rsidR="00E65EFB" w:rsidRPr="00105FFC">
        <w:rPr>
          <w:rFonts w:asciiTheme="minorHAnsi" w:eastAsia="Calibri" w:hAnsiTheme="minorHAnsi"/>
        </w:rPr>
        <w:t>of</w:t>
      </w:r>
      <w:r w:rsidRPr="00105FFC">
        <w:rPr>
          <w:rFonts w:asciiTheme="minorHAnsi" w:eastAsia="Calibri" w:hAnsiTheme="minorHAnsi"/>
        </w:rPr>
        <w:t xml:space="preserve"> </w:t>
      </w:r>
      <w:r w:rsidR="00E65EFB" w:rsidRPr="00105FFC">
        <w:rPr>
          <w:rFonts w:asciiTheme="minorHAnsi" w:eastAsia="Calibri" w:hAnsiTheme="minorHAnsi"/>
        </w:rPr>
        <w:t>Medi-Cal’s FFS</w:t>
      </w:r>
      <w:r w:rsidRPr="00105FFC">
        <w:rPr>
          <w:rFonts w:asciiTheme="minorHAnsi" w:eastAsia="Calibri" w:hAnsiTheme="minorHAnsi"/>
        </w:rPr>
        <w:t xml:space="preserve"> delivery system until their managed care health plan selection was complete. </w:t>
      </w:r>
      <w:r w:rsidR="00E65EFB" w:rsidRPr="00105FFC">
        <w:rPr>
          <w:rFonts w:asciiTheme="minorHAnsi" w:eastAsia="Calibri" w:hAnsiTheme="minorHAnsi"/>
        </w:rPr>
        <w:t>B</w:t>
      </w:r>
      <w:r w:rsidRPr="00105FFC">
        <w:rPr>
          <w:rFonts w:asciiTheme="minorHAnsi" w:eastAsia="Calibri" w:hAnsiTheme="minorHAnsi"/>
        </w:rPr>
        <w:t>eneficiaries ages 65 and older represented 35.1% of the FFS Medi-Cal population in 2013-14 and decreased to 18.3% of the FFS Medi-Cal popula</w:t>
      </w:r>
      <w:r w:rsidR="002F06C9" w:rsidRPr="00105FFC">
        <w:rPr>
          <w:rFonts w:asciiTheme="minorHAnsi" w:eastAsia="Calibri" w:hAnsiTheme="minorHAnsi"/>
        </w:rPr>
        <w:t>tion in SFY 2014-15 (Figure 2</w:t>
      </w:r>
      <w:r w:rsidR="00984063" w:rsidRPr="00105FFC">
        <w:rPr>
          <w:rFonts w:asciiTheme="minorHAnsi" w:eastAsia="Calibri" w:hAnsiTheme="minorHAnsi"/>
        </w:rPr>
        <w:t>3</w:t>
      </w:r>
      <w:r w:rsidRPr="00105FFC">
        <w:rPr>
          <w:rFonts w:asciiTheme="minorHAnsi" w:eastAsia="Calibri" w:hAnsiTheme="minorHAnsi"/>
        </w:rPr>
        <w:t>).  During this time period</w:t>
      </w:r>
      <w:r w:rsidR="00E65EFB" w:rsidRPr="00105FFC">
        <w:rPr>
          <w:rFonts w:asciiTheme="minorHAnsi" w:eastAsia="Calibri" w:hAnsiTheme="minorHAnsi"/>
        </w:rPr>
        <w:t>,</w:t>
      </w:r>
      <w:r w:rsidRPr="00105FFC">
        <w:rPr>
          <w:rFonts w:asciiTheme="minorHAnsi" w:eastAsia="Calibri" w:hAnsiTheme="minorHAnsi"/>
        </w:rPr>
        <w:t xml:space="preserve"> many beneficiaries in the </w:t>
      </w:r>
      <w:r w:rsidR="00EA10ED" w:rsidRPr="00105FFC">
        <w:rPr>
          <w:rFonts w:asciiTheme="minorHAnsi" w:eastAsia="Calibri" w:hAnsiTheme="minorHAnsi"/>
        </w:rPr>
        <w:t>SPD</w:t>
      </w:r>
      <w:r w:rsidRPr="00105FFC">
        <w:rPr>
          <w:rFonts w:asciiTheme="minorHAnsi" w:eastAsia="Calibri" w:hAnsiTheme="minorHAnsi"/>
        </w:rPr>
        <w:t xml:space="preserve"> aid categories were transitioned from the FFS delivery system to managed care.</w:t>
      </w:r>
    </w:p>
    <w:p w14:paraId="1A44DE72" w14:textId="77777777" w:rsidR="00984063" w:rsidRPr="00105FFC" w:rsidRDefault="00984063">
      <w:pPr>
        <w:spacing w:after="200" w:line="276" w:lineRule="auto"/>
        <w:rPr>
          <w:rFonts w:asciiTheme="minorHAnsi" w:eastAsia="Calibri" w:hAnsiTheme="minorHAnsi"/>
        </w:rPr>
      </w:pPr>
      <w:r w:rsidRPr="00105FFC">
        <w:rPr>
          <w:rFonts w:asciiTheme="minorHAnsi" w:eastAsia="Calibri" w:hAnsiTheme="minorHAnsi"/>
        </w:rPr>
        <w:br w:type="page"/>
      </w:r>
    </w:p>
    <w:p w14:paraId="5F1672DC" w14:textId="77777777" w:rsidR="00574A88" w:rsidRPr="00105FFC" w:rsidRDefault="002F06C9" w:rsidP="00984063">
      <w:pPr>
        <w:rPr>
          <w:rFonts w:asciiTheme="minorHAnsi" w:eastAsia="Calibri" w:hAnsiTheme="minorHAnsi" w:cs="Tahoma"/>
          <w:bCs/>
          <w:color w:val="5B9BD5"/>
          <w:sz w:val="16"/>
          <w:szCs w:val="16"/>
        </w:rPr>
      </w:pPr>
      <w:bookmarkStart w:id="278" w:name="_Toc458782961"/>
      <w:bookmarkStart w:id="279" w:name="_Toc459285072"/>
      <w:bookmarkStart w:id="280" w:name="_Toc459285263"/>
      <w:bookmarkStart w:id="281" w:name="_Toc459286704"/>
      <w:r w:rsidRPr="00105FFC">
        <w:rPr>
          <w:rFonts w:asciiTheme="minorHAnsi" w:eastAsia="Calibri" w:hAnsiTheme="minorHAnsi"/>
          <w:b/>
          <w:bCs/>
          <w:sz w:val="20"/>
          <w:szCs w:val="20"/>
        </w:rPr>
        <w:t xml:space="preserve">Figure </w:t>
      </w:r>
      <w:r w:rsidR="00574A88" w:rsidRPr="00105FFC">
        <w:rPr>
          <w:rFonts w:asciiTheme="minorHAnsi" w:eastAsia="Calibri" w:hAnsiTheme="minorHAnsi"/>
          <w:b/>
          <w:bCs/>
          <w:sz w:val="20"/>
          <w:szCs w:val="20"/>
        </w:rPr>
        <w:fldChar w:fldCharType="begin"/>
      </w:r>
      <w:r w:rsidR="00574A88" w:rsidRPr="00105FFC">
        <w:rPr>
          <w:rFonts w:asciiTheme="minorHAnsi" w:eastAsia="Calibri" w:hAnsiTheme="minorHAnsi"/>
          <w:b/>
          <w:bCs/>
          <w:sz w:val="20"/>
          <w:szCs w:val="20"/>
        </w:rPr>
        <w:instrText xml:space="preserve"> SEQ Figure \* ARABIC </w:instrText>
      </w:r>
      <w:r w:rsidR="00574A88" w:rsidRPr="00105FFC">
        <w:rPr>
          <w:rFonts w:asciiTheme="minorHAnsi" w:eastAsia="Calibri" w:hAnsiTheme="minorHAnsi"/>
          <w:b/>
          <w:bCs/>
          <w:sz w:val="20"/>
          <w:szCs w:val="20"/>
        </w:rPr>
        <w:fldChar w:fldCharType="separate"/>
      </w:r>
      <w:r w:rsidR="000E1B8E">
        <w:rPr>
          <w:rFonts w:asciiTheme="minorHAnsi" w:eastAsia="Calibri" w:hAnsiTheme="minorHAnsi"/>
          <w:b/>
          <w:bCs/>
          <w:noProof/>
          <w:sz w:val="20"/>
          <w:szCs w:val="20"/>
        </w:rPr>
        <w:t>23</w:t>
      </w:r>
      <w:r w:rsidR="00574A88" w:rsidRPr="00105FFC">
        <w:rPr>
          <w:rFonts w:asciiTheme="minorHAnsi" w:eastAsia="Calibri" w:hAnsiTheme="minorHAnsi"/>
          <w:b/>
          <w:bCs/>
          <w:sz w:val="20"/>
          <w:szCs w:val="20"/>
        </w:rPr>
        <w:fldChar w:fldCharType="end"/>
      </w:r>
      <w:r w:rsidR="00574A88" w:rsidRPr="00105FFC">
        <w:rPr>
          <w:rFonts w:asciiTheme="minorHAnsi" w:eastAsia="Calibri" w:hAnsiTheme="minorHAnsi"/>
          <w:b/>
          <w:bCs/>
          <w:sz w:val="20"/>
          <w:szCs w:val="20"/>
        </w:rPr>
        <w:t>:</w:t>
      </w:r>
      <w:r w:rsidR="00574A88" w:rsidRPr="00105FFC">
        <w:rPr>
          <w:rFonts w:asciiTheme="minorHAnsi" w:eastAsia="Calibri" w:hAnsiTheme="minorHAnsi"/>
          <w:bCs/>
          <w:sz w:val="20"/>
          <w:szCs w:val="20"/>
        </w:rPr>
        <w:t xml:space="preserve"> Distribution of FFS Medi-Cal Beneficiaries Certified Eligible for at Least 11 Months in SFYs 2013-14 and 2014-15, by Age Group</w:t>
      </w:r>
      <w:r w:rsidR="00574A88" w:rsidRPr="00105FFC">
        <w:rPr>
          <w:rFonts w:asciiTheme="minorHAnsi" w:eastAsia="Calibri" w:hAnsiTheme="minorHAnsi"/>
          <w:b/>
          <w:bCs/>
          <w:noProof/>
          <w:color w:val="5B9BD5"/>
          <w:sz w:val="18"/>
          <w:szCs w:val="18"/>
        </w:rPr>
        <w:drawing>
          <wp:inline distT="0" distB="0" distL="0" distR="0" wp14:anchorId="51053E7D" wp14:editId="513B157B">
            <wp:extent cx="5968721" cy="3195375"/>
            <wp:effectExtent l="0" t="0" r="13335" b="5080"/>
            <wp:docPr id="28" name="Chart 28" descr="Total Population Size: 2013-14 1,605,753; 2014-15 1,520,144&#10;Ages 0-18: 2013-14 15.9%;2014-15 20.5%&#10;Ages 19-64: 2013-14 48.9%;2014-15 61.2%&#10;Ages 65 or Older: 2013-14 35.1%;2014-15 18.3%&#10;" title="Distribution of FFS Medi-Cal Beneficiaries Certified Eligible for at Least 11 Months in SFYs 2013-14 and 2014-15,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574A88" w:rsidRPr="00105FFC">
        <w:rPr>
          <w:rFonts w:asciiTheme="minorHAnsi" w:eastAsia="Calibri" w:hAnsiTheme="minorHAnsi" w:cs="Tahoma"/>
          <w:b/>
          <w:sz w:val="16"/>
          <w:szCs w:val="16"/>
        </w:rPr>
        <w:t>Source:</w:t>
      </w:r>
      <w:r w:rsidR="00574A88" w:rsidRPr="00105FFC">
        <w:rPr>
          <w:rFonts w:asciiTheme="minorHAnsi" w:eastAsia="Calibri" w:hAnsiTheme="minorHAnsi" w:cs="Tahoma"/>
          <w:sz w:val="16"/>
          <w:szCs w:val="16"/>
        </w:rPr>
        <w:t xml:space="preserve"> Created by DHCS Research and Analytic Studies Division using data from the Medi-Cal Management Information System/Decision Support System (MIS/DSS) eligibility tables with dates of eligibility from July 2013–June 2015. Data were extracted from the MIS/DSS 12 months after the corresponding time period to allow for updates to enrollment.</w:t>
      </w:r>
      <w:bookmarkEnd w:id="278"/>
      <w:bookmarkEnd w:id="279"/>
      <w:bookmarkEnd w:id="280"/>
      <w:bookmarkEnd w:id="281"/>
      <w:r w:rsidR="008939FF" w:rsidRPr="00105FFC">
        <w:rPr>
          <w:rFonts w:asciiTheme="minorHAnsi" w:hAnsiTheme="minorHAnsi"/>
        </w:rPr>
        <w:t xml:space="preserve"> </w:t>
      </w:r>
    </w:p>
    <w:p w14:paraId="7B414BA4" w14:textId="77777777" w:rsidR="00574A88" w:rsidRPr="00105FFC" w:rsidRDefault="00574A88" w:rsidP="00574A88">
      <w:pPr>
        <w:spacing w:line="276" w:lineRule="auto"/>
        <w:rPr>
          <w:rFonts w:asciiTheme="minorHAnsi" w:eastAsia="Calibri" w:hAnsiTheme="minorHAnsi" w:cs="Tahoma"/>
          <w:sz w:val="16"/>
          <w:szCs w:val="16"/>
        </w:rPr>
      </w:pPr>
    </w:p>
    <w:p w14:paraId="12FFDE19" w14:textId="77777777" w:rsidR="00574A88" w:rsidRPr="00105FFC" w:rsidRDefault="00574A88" w:rsidP="00984063">
      <w:pPr>
        <w:pStyle w:val="Heading3"/>
        <w:spacing w:before="0"/>
      </w:pPr>
      <w:bookmarkStart w:id="282" w:name="_Toc459287755"/>
      <w:r w:rsidRPr="00105FFC">
        <w:t>Distribution of FFS Medi-Cal Beneficiaries, by Aid Category</w:t>
      </w:r>
      <w:bookmarkEnd w:id="282"/>
    </w:p>
    <w:p w14:paraId="7CF820F2" w14:textId="77777777" w:rsidR="00D75025" w:rsidRPr="00105FFC" w:rsidRDefault="00D75025" w:rsidP="00D75025">
      <w:pPr>
        <w:keepNext/>
        <w:keepLines/>
        <w:outlineLvl w:val="2"/>
        <w:rPr>
          <w:rFonts w:asciiTheme="minorHAnsi" w:hAnsiTheme="minorHAnsi"/>
          <w:b/>
          <w:bCs/>
          <w:color w:val="000000"/>
        </w:rPr>
      </w:pPr>
    </w:p>
    <w:p w14:paraId="5614E923" w14:textId="77777777" w:rsidR="00574A88" w:rsidRPr="00105FFC" w:rsidRDefault="00574A88" w:rsidP="00D75025">
      <w:pPr>
        <w:spacing w:line="276" w:lineRule="auto"/>
        <w:rPr>
          <w:rFonts w:asciiTheme="minorHAnsi" w:eastAsia="Calibri" w:hAnsiTheme="minorHAnsi"/>
        </w:rPr>
      </w:pPr>
      <w:r w:rsidRPr="00105FFC">
        <w:rPr>
          <w:rFonts w:asciiTheme="minorHAnsi" w:eastAsia="Calibri" w:hAnsiTheme="minorHAnsi"/>
        </w:rPr>
        <w:t xml:space="preserve">The largest aid </w:t>
      </w:r>
      <w:r w:rsidR="00E65EFB" w:rsidRPr="00105FFC">
        <w:rPr>
          <w:rFonts w:asciiTheme="minorHAnsi" w:eastAsia="Calibri" w:hAnsiTheme="minorHAnsi"/>
        </w:rPr>
        <w:t>category within Medi-Cal’s FFS population</w:t>
      </w:r>
      <w:r w:rsidRPr="00105FFC">
        <w:rPr>
          <w:rFonts w:asciiTheme="minorHAnsi" w:eastAsia="Calibri" w:hAnsiTheme="minorHAnsi"/>
        </w:rPr>
        <w:t xml:space="preserve"> in SFY 2013-14 was the Dual Eligible</w:t>
      </w:r>
      <w:r w:rsidR="00D04B63" w:rsidRPr="00105FFC">
        <w:rPr>
          <w:rFonts w:asciiTheme="minorHAnsi" w:eastAsia="Calibri" w:hAnsiTheme="minorHAnsi"/>
        </w:rPr>
        <w:t xml:space="preserve"> (Not LTC Aid Cod</w:t>
      </w:r>
      <w:r w:rsidR="005F6F8B" w:rsidRPr="00105FFC">
        <w:rPr>
          <w:rFonts w:asciiTheme="minorHAnsi" w:eastAsia="Calibri" w:hAnsiTheme="minorHAnsi"/>
        </w:rPr>
        <w:t>e</w:t>
      </w:r>
      <w:r w:rsidR="00D04B63" w:rsidRPr="00105FFC">
        <w:rPr>
          <w:rFonts w:asciiTheme="minorHAnsi" w:eastAsia="Calibri" w:hAnsiTheme="minorHAnsi"/>
        </w:rPr>
        <w:t>)</w:t>
      </w:r>
      <w:r w:rsidRPr="00105FFC">
        <w:rPr>
          <w:rFonts w:asciiTheme="minorHAnsi" w:eastAsia="Calibri" w:hAnsiTheme="minorHAnsi"/>
        </w:rPr>
        <w:t xml:space="preserve"> group</w:t>
      </w:r>
      <w:r w:rsidR="00E65EFB" w:rsidRPr="00105FFC">
        <w:rPr>
          <w:rFonts w:asciiTheme="minorHAnsi" w:eastAsia="Calibri" w:hAnsiTheme="minorHAnsi"/>
        </w:rPr>
        <w:t>,</w:t>
      </w:r>
      <w:r w:rsidRPr="00105FFC">
        <w:rPr>
          <w:rFonts w:asciiTheme="minorHAnsi" w:eastAsia="Calibri" w:hAnsiTheme="minorHAnsi"/>
        </w:rPr>
        <w:t xml:space="preserve"> which </w:t>
      </w:r>
      <w:r w:rsidR="00E65EFB" w:rsidRPr="00105FFC">
        <w:rPr>
          <w:rFonts w:asciiTheme="minorHAnsi" w:eastAsia="Calibri" w:hAnsiTheme="minorHAnsi"/>
        </w:rPr>
        <w:t>constituted</w:t>
      </w:r>
      <w:r w:rsidRPr="00105FFC">
        <w:rPr>
          <w:rFonts w:asciiTheme="minorHAnsi" w:eastAsia="Calibri" w:hAnsiTheme="minorHAnsi"/>
        </w:rPr>
        <w:t xml:space="preserve"> 4</w:t>
      </w:r>
      <w:r w:rsidR="00D04B63" w:rsidRPr="00105FFC">
        <w:rPr>
          <w:rFonts w:asciiTheme="minorHAnsi" w:eastAsia="Calibri" w:hAnsiTheme="minorHAnsi"/>
        </w:rPr>
        <w:t>3.9</w:t>
      </w:r>
      <w:r w:rsidRPr="00105FFC">
        <w:rPr>
          <w:rFonts w:asciiTheme="minorHAnsi" w:eastAsia="Calibri" w:hAnsiTheme="minorHAnsi"/>
        </w:rPr>
        <w:t>% of the population.  However, in SF</w:t>
      </w:r>
      <w:r w:rsidR="00D04B63" w:rsidRPr="00105FFC">
        <w:rPr>
          <w:rFonts w:asciiTheme="minorHAnsi" w:eastAsia="Calibri" w:hAnsiTheme="minorHAnsi"/>
        </w:rPr>
        <w:t>Y 2014-15 the Undocumented aid category</w:t>
      </w:r>
      <w:r w:rsidRPr="00105FFC">
        <w:rPr>
          <w:rFonts w:asciiTheme="minorHAnsi" w:eastAsia="Calibri" w:hAnsiTheme="minorHAnsi"/>
        </w:rPr>
        <w:t xml:space="preserve"> became the largest group </w:t>
      </w:r>
      <w:r w:rsidR="00E65EFB" w:rsidRPr="00105FFC">
        <w:rPr>
          <w:rFonts w:asciiTheme="minorHAnsi" w:eastAsia="Calibri" w:hAnsiTheme="minorHAnsi"/>
        </w:rPr>
        <w:t xml:space="preserve">representing </w:t>
      </w:r>
      <w:r w:rsidRPr="00105FFC">
        <w:rPr>
          <w:rFonts w:asciiTheme="minorHAnsi" w:eastAsia="Calibri" w:hAnsiTheme="minorHAnsi"/>
        </w:rPr>
        <w:t xml:space="preserve">46.0% of </w:t>
      </w:r>
      <w:r w:rsidR="00E65EFB" w:rsidRPr="00105FFC">
        <w:rPr>
          <w:rFonts w:asciiTheme="minorHAnsi" w:eastAsia="Calibri" w:hAnsiTheme="minorHAnsi"/>
        </w:rPr>
        <w:t>Medi-Cal’s FFS</w:t>
      </w:r>
      <w:r w:rsidR="00957E1E" w:rsidRPr="00105FFC">
        <w:rPr>
          <w:rFonts w:asciiTheme="minorHAnsi" w:eastAsia="Calibri" w:hAnsiTheme="minorHAnsi"/>
        </w:rPr>
        <w:t xml:space="preserve"> population</w:t>
      </w:r>
      <w:r w:rsidRPr="00105FFC">
        <w:rPr>
          <w:rFonts w:asciiTheme="minorHAnsi" w:eastAsia="Calibri" w:hAnsiTheme="minorHAnsi"/>
        </w:rPr>
        <w:t xml:space="preserve"> (Figure </w:t>
      </w:r>
      <w:r w:rsidR="002F06C9" w:rsidRPr="00105FFC">
        <w:rPr>
          <w:rFonts w:asciiTheme="minorHAnsi" w:eastAsia="Calibri" w:hAnsiTheme="minorHAnsi"/>
        </w:rPr>
        <w:t>2</w:t>
      </w:r>
      <w:r w:rsidR="00984063" w:rsidRPr="00105FFC">
        <w:rPr>
          <w:rFonts w:asciiTheme="minorHAnsi" w:eastAsia="Calibri" w:hAnsiTheme="minorHAnsi"/>
        </w:rPr>
        <w:t>4</w:t>
      </w:r>
      <w:r w:rsidRPr="00105FFC">
        <w:rPr>
          <w:rFonts w:asciiTheme="minorHAnsi" w:eastAsia="Calibri" w:hAnsiTheme="minorHAnsi"/>
        </w:rPr>
        <w:t>).</w:t>
      </w:r>
      <w:r w:rsidR="007E2169" w:rsidRPr="00105FFC">
        <w:rPr>
          <w:rFonts w:asciiTheme="minorHAnsi" w:eastAsia="Calibri" w:hAnsiTheme="minorHAnsi"/>
        </w:rPr>
        <w:t xml:space="preserve">  This change was the result of </w:t>
      </w:r>
      <w:r w:rsidR="00915481" w:rsidRPr="00105FFC">
        <w:rPr>
          <w:rFonts w:asciiTheme="minorHAnsi" w:eastAsia="Calibri" w:hAnsiTheme="minorHAnsi"/>
        </w:rPr>
        <w:t xml:space="preserve">the </w:t>
      </w:r>
      <w:r w:rsidR="007E2169" w:rsidRPr="00105FFC">
        <w:rPr>
          <w:rFonts w:asciiTheme="minorHAnsi" w:eastAsia="Calibri" w:hAnsiTheme="minorHAnsi"/>
        </w:rPr>
        <w:t>Medi-Cal CCI program</w:t>
      </w:r>
      <w:r w:rsidR="00DC35FB" w:rsidRPr="00105FFC">
        <w:rPr>
          <w:rFonts w:asciiTheme="minorHAnsi" w:eastAsia="Calibri" w:hAnsiTheme="minorHAnsi"/>
        </w:rPr>
        <w:t xml:space="preserve"> and COHS expansion in 8 </w:t>
      </w:r>
      <w:r w:rsidR="00915481" w:rsidRPr="00105FFC">
        <w:rPr>
          <w:rFonts w:asciiTheme="minorHAnsi" w:eastAsia="Calibri" w:hAnsiTheme="minorHAnsi"/>
        </w:rPr>
        <w:t xml:space="preserve">northern California </w:t>
      </w:r>
      <w:r w:rsidR="00DC35FB" w:rsidRPr="00105FFC">
        <w:rPr>
          <w:rFonts w:asciiTheme="minorHAnsi" w:eastAsia="Calibri" w:hAnsiTheme="minorHAnsi"/>
        </w:rPr>
        <w:t>rural counties</w:t>
      </w:r>
      <w:r w:rsidR="007E2169" w:rsidRPr="00105FFC">
        <w:rPr>
          <w:rFonts w:asciiTheme="minorHAnsi" w:eastAsia="Calibri" w:hAnsiTheme="minorHAnsi"/>
        </w:rPr>
        <w:t>, which transitioned many of Medi-Cal’s dual eligible individuals from FFS to managed care.</w:t>
      </w:r>
    </w:p>
    <w:p w14:paraId="7B40BC0D" w14:textId="77777777" w:rsidR="00984063" w:rsidRPr="00105FFC" w:rsidRDefault="00984063">
      <w:pPr>
        <w:spacing w:after="200" w:line="276" w:lineRule="auto"/>
        <w:rPr>
          <w:rFonts w:asciiTheme="minorHAnsi" w:eastAsia="Calibri" w:hAnsiTheme="minorHAnsi"/>
        </w:rPr>
      </w:pPr>
      <w:r w:rsidRPr="00105FFC">
        <w:rPr>
          <w:rFonts w:asciiTheme="minorHAnsi" w:eastAsia="Calibri" w:hAnsiTheme="minorHAnsi"/>
        </w:rPr>
        <w:br w:type="page"/>
      </w:r>
    </w:p>
    <w:p w14:paraId="7D7B44D7" w14:textId="77777777" w:rsidR="00574A88" w:rsidRPr="00105FFC" w:rsidRDefault="002F06C9" w:rsidP="00574A88">
      <w:pPr>
        <w:spacing w:after="120"/>
        <w:rPr>
          <w:rFonts w:asciiTheme="minorHAnsi" w:eastAsia="Calibri" w:hAnsiTheme="minorHAnsi" w:cs="Tahoma"/>
          <w:sz w:val="16"/>
          <w:szCs w:val="16"/>
        </w:rPr>
      </w:pPr>
      <w:bookmarkStart w:id="283" w:name="_Toc458782962"/>
      <w:bookmarkStart w:id="284" w:name="_Toc459285073"/>
      <w:bookmarkStart w:id="285" w:name="_Toc459285264"/>
      <w:bookmarkStart w:id="286" w:name="_Toc459286705"/>
      <w:r w:rsidRPr="00105FFC">
        <w:rPr>
          <w:rFonts w:asciiTheme="minorHAnsi" w:eastAsia="Calibri" w:hAnsiTheme="minorHAnsi"/>
          <w:b/>
          <w:bCs/>
          <w:sz w:val="20"/>
          <w:szCs w:val="20"/>
        </w:rPr>
        <w:t xml:space="preserve">Figure </w:t>
      </w:r>
      <w:r w:rsidR="00574A88" w:rsidRPr="00105FFC">
        <w:rPr>
          <w:rFonts w:asciiTheme="minorHAnsi" w:eastAsia="Calibri" w:hAnsiTheme="minorHAnsi"/>
          <w:b/>
          <w:bCs/>
          <w:sz w:val="20"/>
          <w:szCs w:val="20"/>
        </w:rPr>
        <w:fldChar w:fldCharType="begin"/>
      </w:r>
      <w:r w:rsidR="00574A88" w:rsidRPr="00105FFC">
        <w:rPr>
          <w:rFonts w:asciiTheme="minorHAnsi" w:eastAsia="Calibri" w:hAnsiTheme="minorHAnsi"/>
          <w:b/>
          <w:bCs/>
          <w:sz w:val="20"/>
          <w:szCs w:val="20"/>
        </w:rPr>
        <w:instrText xml:space="preserve"> SEQ Figure \* ARABIC </w:instrText>
      </w:r>
      <w:r w:rsidR="00574A88" w:rsidRPr="00105FFC">
        <w:rPr>
          <w:rFonts w:asciiTheme="minorHAnsi" w:eastAsia="Calibri" w:hAnsiTheme="minorHAnsi"/>
          <w:b/>
          <w:bCs/>
          <w:sz w:val="20"/>
          <w:szCs w:val="20"/>
        </w:rPr>
        <w:fldChar w:fldCharType="separate"/>
      </w:r>
      <w:r w:rsidR="000E1B8E">
        <w:rPr>
          <w:rFonts w:asciiTheme="minorHAnsi" w:eastAsia="Calibri" w:hAnsiTheme="minorHAnsi"/>
          <w:b/>
          <w:bCs/>
          <w:noProof/>
          <w:sz w:val="20"/>
          <w:szCs w:val="20"/>
        </w:rPr>
        <w:t>24</w:t>
      </w:r>
      <w:r w:rsidR="00574A88" w:rsidRPr="00105FFC">
        <w:rPr>
          <w:rFonts w:asciiTheme="minorHAnsi" w:eastAsia="Calibri" w:hAnsiTheme="minorHAnsi"/>
          <w:b/>
          <w:bCs/>
          <w:sz w:val="20"/>
          <w:szCs w:val="20"/>
        </w:rPr>
        <w:fldChar w:fldCharType="end"/>
      </w:r>
      <w:r w:rsidR="00574A88" w:rsidRPr="00105FFC">
        <w:rPr>
          <w:rFonts w:asciiTheme="minorHAnsi" w:eastAsia="Calibri" w:hAnsiTheme="minorHAnsi"/>
          <w:b/>
          <w:bCs/>
          <w:sz w:val="20"/>
          <w:szCs w:val="20"/>
        </w:rPr>
        <w:t>:</w:t>
      </w:r>
      <w:r w:rsidR="00574A88" w:rsidRPr="00105FFC">
        <w:rPr>
          <w:rFonts w:asciiTheme="minorHAnsi" w:eastAsia="Calibri" w:hAnsiTheme="minorHAnsi"/>
          <w:bCs/>
          <w:sz w:val="20"/>
          <w:szCs w:val="20"/>
        </w:rPr>
        <w:t xml:space="preserve"> Distribution of FFS Medi-Cal Beneficiaries Certified Eligible for at Least 11 Months in SFYs 2013-14 and 2014-15, by Aid Category</w:t>
      </w:r>
      <w:r w:rsidR="00574A88" w:rsidRPr="00105FFC">
        <w:rPr>
          <w:rFonts w:asciiTheme="minorHAnsi" w:eastAsia="Calibri" w:hAnsiTheme="minorHAnsi"/>
          <w:b/>
          <w:bCs/>
          <w:color w:val="5B9BD5"/>
          <w:sz w:val="20"/>
          <w:szCs w:val="20"/>
        </w:rPr>
        <w:t xml:space="preserve"> </w:t>
      </w:r>
      <w:r w:rsidR="00DC35FB" w:rsidRPr="00105FFC">
        <w:rPr>
          <w:rFonts w:asciiTheme="minorHAnsi" w:hAnsiTheme="minorHAnsi"/>
          <w:noProof/>
        </w:rPr>
        <w:drawing>
          <wp:inline distT="0" distB="0" distL="0" distR="0" wp14:anchorId="62B3E1E1" wp14:editId="29ED588B">
            <wp:extent cx="5943600" cy="4364355"/>
            <wp:effectExtent l="0" t="0" r="0" b="17145"/>
            <wp:docPr id="33" name="Chart 33" descr="Total Population Size: 2013-14 1,605,753; 2014-15 1,520,144&#10;Dual Eligibles, LTC Aid Code: 2013-14 2.3%; 2014-15 1.4%&#10;Other: 2013-14 2.2%; 2014-15 3.8%&#10;ACA Expansion Adult Age 19-64: 2013-14 0.2%; 2014-15 4.0%&#10;Seniors and Persons with Disabilities: 2013-14 4.5%; 2014-15 4.3%&#10;Adoption/Foster Care: 2013-14 4.9%; 2014-15 5.2%&#10;Parent/Caretaker Relative &amp; Child: 2013-14 5.7%; 2014-15 12.6%&#10;Dual Eligibles (Not LTC Aid Code): 2013-14 43.9%; 2014-15 22.7%&#10;Undocumented: 2013-14 36.3%; 2014-15 46.0%&#10;" title="Distribution of FFS Medi-Cal Beneficiaries Certified Eligible for at Least 11 Months in SFYs 2013-14 and 2014-15, by Aid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74A88" w:rsidRPr="00105FFC">
        <w:rPr>
          <w:rFonts w:asciiTheme="minorHAnsi" w:eastAsia="Calibri" w:hAnsiTheme="minorHAnsi" w:cs="Tahoma"/>
          <w:b/>
          <w:bCs/>
          <w:color w:val="5B9BD5"/>
          <w:sz w:val="16"/>
          <w:szCs w:val="16"/>
        </w:rPr>
        <w:t xml:space="preserve"> </w:t>
      </w:r>
      <w:r w:rsidR="00574A88" w:rsidRPr="00105FFC">
        <w:rPr>
          <w:rFonts w:asciiTheme="minorHAnsi" w:eastAsia="Calibri" w:hAnsiTheme="minorHAnsi" w:cs="Tahoma"/>
          <w:b/>
          <w:sz w:val="16"/>
          <w:szCs w:val="16"/>
        </w:rPr>
        <w:t xml:space="preserve">Source: </w:t>
      </w:r>
      <w:r w:rsidR="00574A88" w:rsidRPr="00105FFC">
        <w:rPr>
          <w:rFonts w:asciiTheme="minorHAnsi" w:eastAsia="Calibri" w:hAnsiTheme="minorHAnsi" w:cs="Tahoma"/>
          <w:sz w:val="16"/>
          <w:szCs w:val="16"/>
        </w:rPr>
        <w:t>Created by DHCS Research and Analytic Studies Division using data from the Medi-Cal Management Information System/Decision Support System (MIS/DSS) eligibility tables with dates of eligibility from July 2013–June 2015. Data were extracted from the MIS/DSS 12 months after the corresponding time period to allow for updates to enrollment.</w:t>
      </w:r>
      <w:bookmarkEnd w:id="283"/>
      <w:bookmarkEnd w:id="284"/>
      <w:bookmarkEnd w:id="285"/>
      <w:bookmarkEnd w:id="286"/>
    </w:p>
    <w:p w14:paraId="7D0CF1B3" w14:textId="77777777" w:rsidR="00574A88" w:rsidRPr="00105FFC" w:rsidRDefault="00574A88" w:rsidP="00574A88">
      <w:pPr>
        <w:spacing w:line="276" w:lineRule="auto"/>
        <w:rPr>
          <w:rFonts w:asciiTheme="minorHAnsi" w:eastAsia="Calibri" w:hAnsiTheme="minorHAnsi" w:cs="Tahoma"/>
          <w:sz w:val="16"/>
          <w:szCs w:val="16"/>
        </w:rPr>
      </w:pPr>
      <w:r w:rsidRPr="00105FFC">
        <w:rPr>
          <w:rFonts w:asciiTheme="minorHAnsi" w:eastAsia="Calibri" w:hAnsiTheme="minorHAnsi" w:cs="Tahoma"/>
          <w:sz w:val="16"/>
          <w:szCs w:val="16"/>
        </w:rPr>
        <w:br w:type="page"/>
      </w:r>
    </w:p>
    <w:p w14:paraId="74A15B22" w14:textId="77777777" w:rsidR="00574A88" w:rsidRPr="00105FFC" w:rsidRDefault="00574A88" w:rsidP="008D3218">
      <w:pPr>
        <w:pStyle w:val="Heading3"/>
      </w:pPr>
      <w:bookmarkStart w:id="287" w:name="_Toc459287756"/>
      <w:r w:rsidRPr="00105FFC">
        <w:t>Distribution of FFS Medi-Cal Beneficiaries, by Gender</w:t>
      </w:r>
      <w:bookmarkEnd w:id="287"/>
    </w:p>
    <w:p w14:paraId="6D3211F9" w14:textId="77777777" w:rsidR="00AF7F03" w:rsidRPr="00105FFC" w:rsidRDefault="00AF7F03" w:rsidP="00AF7F03">
      <w:pPr>
        <w:keepNext/>
        <w:keepLines/>
        <w:outlineLvl w:val="2"/>
        <w:rPr>
          <w:rFonts w:asciiTheme="minorHAnsi" w:hAnsiTheme="minorHAnsi"/>
          <w:b/>
          <w:bCs/>
          <w:color w:val="000000"/>
          <w:sz w:val="28"/>
        </w:rPr>
      </w:pPr>
    </w:p>
    <w:p w14:paraId="34E86994" w14:textId="77777777" w:rsidR="00574A88" w:rsidRPr="00105FFC" w:rsidRDefault="00574A88" w:rsidP="00AF7F03">
      <w:pPr>
        <w:spacing w:line="276" w:lineRule="auto"/>
        <w:rPr>
          <w:rFonts w:asciiTheme="minorHAnsi" w:eastAsia="Calibri" w:hAnsiTheme="minorHAnsi"/>
        </w:rPr>
      </w:pPr>
      <w:r w:rsidRPr="00105FFC">
        <w:rPr>
          <w:rFonts w:asciiTheme="minorHAnsi" w:eastAsia="Calibri" w:hAnsiTheme="minorHAnsi"/>
        </w:rPr>
        <w:t xml:space="preserve">Despite programmatic changes in the FFS delivery system, the distribution of gender </w:t>
      </w:r>
      <w:r w:rsidR="000D5865" w:rsidRPr="00105FFC">
        <w:rPr>
          <w:rFonts w:asciiTheme="minorHAnsi" w:eastAsia="Calibri" w:hAnsiTheme="minorHAnsi"/>
        </w:rPr>
        <w:t>among Medi-</w:t>
      </w:r>
      <w:r w:rsidR="00DC35FB" w:rsidRPr="00105FFC">
        <w:rPr>
          <w:rFonts w:asciiTheme="minorHAnsi" w:eastAsia="Calibri" w:hAnsiTheme="minorHAnsi"/>
        </w:rPr>
        <w:t>Cal’s FFS</w:t>
      </w:r>
      <w:r w:rsidRPr="00105FFC">
        <w:rPr>
          <w:rFonts w:asciiTheme="minorHAnsi" w:eastAsia="Calibri" w:hAnsiTheme="minorHAnsi"/>
        </w:rPr>
        <w:t xml:space="preserve"> population was relatively </w:t>
      </w:r>
      <w:r w:rsidR="000D5865" w:rsidRPr="00105FFC">
        <w:rPr>
          <w:rFonts w:asciiTheme="minorHAnsi" w:eastAsia="Calibri" w:hAnsiTheme="minorHAnsi"/>
        </w:rPr>
        <w:t>consistent from SFY 2013-14 to SFY 201</w:t>
      </w:r>
      <w:r w:rsidR="00915481" w:rsidRPr="00105FFC">
        <w:rPr>
          <w:rFonts w:asciiTheme="minorHAnsi" w:eastAsia="Calibri" w:hAnsiTheme="minorHAnsi"/>
        </w:rPr>
        <w:t>4</w:t>
      </w:r>
      <w:r w:rsidR="000D5865" w:rsidRPr="00105FFC">
        <w:rPr>
          <w:rFonts w:asciiTheme="minorHAnsi" w:eastAsia="Calibri" w:hAnsiTheme="minorHAnsi"/>
        </w:rPr>
        <w:t>-15</w:t>
      </w:r>
      <w:r w:rsidRPr="00105FFC">
        <w:rPr>
          <w:rFonts w:asciiTheme="minorHAnsi" w:eastAsia="Calibri" w:hAnsiTheme="minorHAnsi"/>
        </w:rPr>
        <w:t xml:space="preserve">. </w:t>
      </w:r>
      <w:r w:rsidR="00D04B63" w:rsidRPr="00105FFC">
        <w:rPr>
          <w:rFonts w:asciiTheme="minorHAnsi" w:eastAsia="Calibri" w:hAnsiTheme="minorHAnsi"/>
        </w:rPr>
        <w:t>I</w:t>
      </w:r>
      <w:r w:rsidRPr="00105FFC">
        <w:rPr>
          <w:rFonts w:asciiTheme="minorHAnsi" w:eastAsia="Calibri" w:hAnsiTheme="minorHAnsi"/>
        </w:rPr>
        <w:t>n both SFYs</w:t>
      </w:r>
      <w:r w:rsidR="00D04B63" w:rsidRPr="00105FFC">
        <w:rPr>
          <w:rFonts w:asciiTheme="minorHAnsi" w:eastAsia="Calibri" w:hAnsiTheme="minorHAnsi"/>
        </w:rPr>
        <w:t>,</w:t>
      </w:r>
      <w:r w:rsidRPr="00105FFC">
        <w:rPr>
          <w:rFonts w:asciiTheme="minorHAnsi" w:eastAsia="Calibri" w:hAnsiTheme="minorHAnsi"/>
        </w:rPr>
        <w:t xml:space="preserve"> females </w:t>
      </w:r>
      <w:r w:rsidR="000D5865" w:rsidRPr="00105FFC">
        <w:rPr>
          <w:rFonts w:asciiTheme="minorHAnsi" w:eastAsia="Calibri" w:hAnsiTheme="minorHAnsi"/>
        </w:rPr>
        <w:t xml:space="preserve">constituted a greater percent </w:t>
      </w:r>
      <w:r w:rsidRPr="00105FFC">
        <w:rPr>
          <w:rFonts w:asciiTheme="minorHAnsi" w:eastAsia="Calibri" w:hAnsiTheme="minorHAnsi"/>
        </w:rPr>
        <w:t>of the FFS Medi-Cal population</w:t>
      </w:r>
      <w:r w:rsidR="000D5865" w:rsidRPr="00105FFC">
        <w:rPr>
          <w:rFonts w:asciiTheme="minorHAnsi" w:eastAsia="Calibri" w:hAnsiTheme="minorHAnsi"/>
        </w:rPr>
        <w:t xml:space="preserve"> than males, accounting for almost 60% of the population</w:t>
      </w:r>
      <w:r w:rsidR="00D04B63" w:rsidRPr="00105FFC">
        <w:rPr>
          <w:rFonts w:asciiTheme="minorHAnsi" w:eastAsia="Calibri" w:hAnsiTheme="minorHAnsi"/>
        </w:rPr>
        <w:t xml:space="preserve"> (Figure 2</w:t>
      </w:r>
      <w:r w:rsidR="00984063" w:rsidRPr="00105FFC">
        <w:rPr>
          <w:rFonts w:asciiTheme="minorHAnsi" w:eastAsia="Calibri" w:hAnsiTheme="minorHAnsi"/>
        </w:rPr>
        <w:t>5</w:t>
      </w:r>
      <w:r w:rsidR="00D04B63" w:rsidRPr="00105FFC">
        <w:rPr>
          <w:rFonts w:asciiTheme="minorHAnsi" w:eastAsia="Calibri" w:hAnsiTheme="minorHAnsi"/>
        </w:rPr>
        <w:t>)</w:t>
      </w:r>
      <w:r w:rsidRPr="00105FFC">
        <w:rPr>
          <w:rFonts w:asciiTheme="minorHAnsi" w:eastAsia="Calibri" w:hAnsiTheme="minorHAnsi"/>
        </w:rPr>
        <w:t xml:space="preserve">.  This distribution </w:t>
      </w:r>
      <w:r w:rsidR="000D5865" w:rsidRPr="00105FFC">
        <w:rPr>
          <w:rFonts w:asciiTheme="minorHAnsi" w:eastAsia="Calibri" w:hAnsiTheme="minorHAnsi"/>
        </w:rPr>
        <w:t>is</w:t>
      </w:r>
      <w:r w:rsidRPr="00105FFC">
        <w:rPr>
          <w:rFonts w:asciiTheme="minorHAnsi" w:eastAsia="Calibri" w:hAnsiTheme="minorHAnsi"/>
        </w:rPr>
        <w:t xml:space="preserve"> due, in part, to </w:t>
      </w:r>
      <w:r w:rsidR="00D04B63" w:rsidRPr="00105FFC">
        <w:rPr>
          <w:rFonts w:asciiTheme="minorHAnsi" w:eastAsia="Calibri" w:hAnsiTheme="minorHAnsi"/>
        </w:rPr>
        <w:t xml:space="preserve">the large proportion of </w:t>
      </w:r>
      <w:r w:rsidRPr="00105FFC">
        <w:rPr>
          <w:rFonts w:asciiTheme="minorHAnsi" w:eastAsia="Calibri" w:hAnsiTheme="minorHAnsi"/>
        </w:rPr>
        <w:t xml:space="preserve">female beneficiaries enrolled in the Undocumented aid </w:t>
      </w:r>
      <w:r w:rsidR="00D04B63" w:rsidRPr="00105FFC">
        <w:rPr>
          <w:rFonts w:asciiTheme="minorHAnsi" w:eastAsia="Calibri" w:hAnsiTheme="minorHAnsi"/>
        </w:rPr>
        <w:t>category.</w:t>
      </w:r>
    </w:p>
    <w:p w14:paraId="532730CD" w14:textId="77777777" w:rsidR="00D75025" w:rsidRPr="00105FFC" w:rsidRDefault="00D75025" w:rsidP="00D75025">
      <w:pPr>
        <w:spacing w:line="276" w:lineRule="auto"/>
        <w:rPr>
          <w:rFonts w:asciiTheme="minorHAnsi" w:eastAsia="Calibri" w:hAnsiTheme="minorHAnsi"/>
        </w:rPr>
      </w:pPr>
    </w:p>
    <w:p w14:paraId="218800BE" w14:textId="77777777" w:rsidR="00B24A61" w:rsidRPr="00105FFC" w:rsidRDefault="002F06C9" w:rsidP="00AF7F03">
      <w:pPr>
        <w:rPr>
          <w:rFonts w:asciiTheme="minorHAnsi" w:eastAsia="Calibri" w:hAnsiTheme="minorHAnsi" w:cs="Tahoma"/>
          <w:sz w:val="20"/>
          <w:szCs w:val="20"/>
        </w:rPr>
      </w:pPr>
      <w:bookmarkStart w:id="288" w:name="_Toc458782963"/>
      <w:bookmarkStart w:id="289" w:name="_Toc459285074"/>
      <w:bookmarkStart w:id="290" w:name="_Toc459285265"/>
      <w:bookmarkStart w:id="291" w:name="_Toc459286706"/>
      <w:r w:rsidRPr="00105FFC">
        <w:rPr>
          <w:rFonts w:asciiTheme="minorHAnsi" w:eastAsia="Calibri" w:hAnsiTheme="minorHAnsi"/>
          <w:b/>
          <w:bCs/>
          <w:sz w:val="20"/>
          <w:szCs w:val="20"/>
        </w:rPr>
        <w:t xml:space="preserve">Figure </w:t>
      </w:r>
      <w:r w:rsidR="00574A88" w:rsidRPr="00105FFC">
        <w:rPr>
          <w:rFonts w:asciiTheme="minorHAnsi" w:eastAsia="Calibri" w:hAnsiTheme="minorHAnsi"/>
          <w:b/>
          <w:bCs/>
          <w:sz w:val="20"/>
          <w:szCs w:val="20"/>
        </w:rPr>
        <w:fldChar w:fldCharType="begin"/>
      </w:r>
      <w:r w:rsidR="00574A88" w:rsidRPr="00105FFC">
        <w:rPr>
          <w:rFonts w:asciiTheme="minorHAnsi" w:eastAsia="Calibri" w:hAnsiTheme="minorHAnsi"/>
          <w:b/>
          <w:bCs/>
          <w:sz w:val="20"/>
          <w:szCs w:val="20"/>
        </w:rPr>
        <w:instrText xml:space="preserve"> SEQ Figure \* ARABIC </w:instrText>
      </w:r>
      <w:r w:rsidR="00574A88" w:rsidRPr="00105FFC">
        <w:rPr>
          <w:rFonts w:asciiTheme="minorHAnsi" w:eastAsia="Calibri" w:hAnsiTheme="minorHAnsi"/>
          <w:b/>
          <w:bCs/>
          <w:sz w:val="20"/>
          <w:szCs w:val="20"/>
        </w:rPr>
        <w:fldChar w:fldCharType="separate"/>
      </w:r>
      <w:r w:rsidR="000E1B8E">
        <w:rPr>
          <w:rFonts w:asciiTheme="minorHAnsi" w:eastAsia="Calibri" w:hAnsiTheme="minorHAnsi"/>
          <w:b/>
          <w:bCs/>
          <w:noProof/>
          <w:sz w:val="20"/>
          <w:szCs w:val="20"/>
        </w:rPr>
        <w:t>25</w:t>
      </w:r>
      <w:r w:rsidR="00574A88" w:rsidRPr="00105FFC">
        <w:rPr>
          <w:rFonts w:asciiTheme="minorHAnsi" w:eastAsia="Calibri" w:hAnsiTheme="minorHAnsi"/>
          <w:b/>
          <w:bCs/>
          <w:sz w:val="20"/>
          <w:szCs w:val="20"/>
        </w:rPr>
        <w:fldChar w:fldCharType="end"/>
      </w:r>
      <w:r w:rsidR="00574A88" w:rsidRPr="00105FFC">
        <w:rPr>
          <w:rFonts w:asciiTheme="minorHAnsi" w:eastAsia="Calibri" w:hAnsiTheme="minorHAnsi"/>
          <w:b/>
          <w:bCs/>
          <w:sz w:val="20"/>
          <w:szCs w:val="20"/>
        </w:rPr>
        <w:t>:</w:t>
      </w:r>
      <w:r w:rsidR="00574A88" w:rsidRPr="00105FFC">
        <w:rPr>
          <w:rFonts w:asciiTheme="minorHAnsi" w:eastAsia="Calibri" w:hAnsiTheme="minorHAnsi"/>
          <w:bCs/>
          <w:sz w:val="20"/>
          <w:szCs w:val="20"/>
        </w:rPr>
        <w:t xml:space="preserve"> Distribution of FFS Medi-Cal Beneficiaries Certified Eligible for at Least 11 Months in SFYs 2013-14 and 2014-15, by Gender</w:t>
      </w:r>
      <w:r w:rsidR="00574A88" w:rsidRPr="00105FFC">
        <w:rPr>
          <w:rFonts w:asciiTheme="minorHAnsi" w:eastAsia="Calibri" w:hAnsiTheme="minorHAnsi"/>
          <w:b/>
          <w:bCs/>
          <w:color w:val="5B9BD5"/>
          <w:sz w:val="20"/>
          <w:szCs w:val="20"/>
        </w:rPr>
        <w:t xml:space="preserve"> </w:t>
      </w:r>
      <w:r w:rsidR="00574A88" w:rsidRPr="00105FFC">
        <w:rPr>
          <w:rFonts w:asciiTheme="minorHAnsi" w:eastAsia="Calibri" w:hAnsiTheme="minorHAnsi"/>
          <w:b/>
          <w:bCs/>
          <w:noProof/>
          <w:color w:val="5B9BD5"/>
          <w:szCs w:val="18"/>
        </w:rPr>
        <w:drawing>
          <wp:inline distT="0" distB="0" distL="0" distR="0" wp14:anchorId="116AA43E" wp14:editId="432B8689">
            <wp:extent cx="5898382" cy="3195376"/>
            <wp:effectExtent l="0" t="0" r="7620" b="5080"/>
            <wp:docPr id="30" name="Chart 30" descr="Total Population Size: 2013-14 1,605,753; 2014-15 1,520,144&#10;Female: 2013-14 59.4%; 2014-15 58.0%&#10;Male: 2013-14 40.6%; 2014-15 42.0%&#10;" title="Distribution of FFS Medi-Cal Beneficiaries Certified Eligible for at Least 11 Months in SFYs 2013-14 and 2014-15,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574A88" w:rsidRPr="00105FFC">
        <w:rPr>
          <w:rFonts w:asciiTheme="minorHAnsi" w:eastAsia="Calibri" w:hAnsiTheme="minorHAnsi" w:cs="Tahoma"/>
          <w:b/>
          <w:bCs/>
          <w:color w:val="5B9BD5"/>
          <w:sz w:val="16"/>
          <w:szCs w:val="16"/>
        </w:rPr>
        <w:t xml:space="preserve"> </w:t>
      </w:r>
      <w:r w:rsidR="00574A88" w:rsidRPr="00105FFC">
        <w:rPr>
          <w:rFonts w:asciiTheme="minorHAnsi" w:eastAsia="Calibri" w:hAnsiTheme="minorHAnsi" w:cs="Tahoma"/>
          <w:b/>
          <w:sz w:val="16"/>
          <w:szCs w:val="16"/>
        </w:rPr>
        <w:t>Source:</w:t>
      </w:r>
      <w:r w:rsidR="00574A88" w:rsidRPr="00105FFC">
        <w:rPr>
          <w:rFonts w:asciiTheme="minorHAnsi" w:eastAsia="Calibri" w:hAnsiTheme="minorHAnsi" w:cs="Tahoma"/>
          <w:sz w:val="16"/>
          <w:szCs w:val="16"/>
        </w:rPr>
        <w:t xml:space="preserve"> Created by DHCS Research and Analytic Studies Division using data from the Medi-Cal Management Information System/Decision Support System (MIS/DSS) eligibility tables with dates of eligibility from July 2013–June 2015. Data were extracted from the MIS/DSS 12 months after the corresponding time period to allow for updates to enrollment.</w:t>
      </w:r>
      <w:bookmarkEnd w:id="288"/>
      <w:bookmarkEnd w:id="289"/>
      <w:bookmarkEnd w:id="290"/>
      <w:bookmarkEnd w:id="291"/>
    </w:p>
    <w:p w14:paraId="79912B72" w14:textId="77777777" w:rsidR="00915481" w:rsidRPr="00105FFC" w:rsidRDefault="00915481" w:rsidP="00915481">
      <w:pPr>
        <w:spacing w:line="276" w:lineRule="auto"/>
        <w:rPr>
          <w:rFonts w:asciiTheme="minorHAnsi" w:eastAsia="Calibri" w:hAnsiTheme="minorHAnsi"/>
        </w:rPr>
      </w:pPr>
    </w:p>
    <w:p w14:paraId="513CBDFB" w14:textId="77777777" w:rsidR="00915481" w:rsidRPr="00105FFC" w:rsidRDefault="00915481" w:rsidP="00AF7F03">
      <w:pPr>
        <w:spacing w:line="276" w:lineRule="auto"/>
        <w:rPr>
          <w:rFonts w:asciiTheme="minorHAnsi" w:eastAsia="Calibri" w:hAnsiTheme="minorHAnsi"/>
        </w:rPr>
      </w:pPr>
      <w:r w:rsidRPr="00105FFC">
        <w:rPr>
          <w:rFonts w:asciiTheme="minorHAnsi" w:eastAsia="Calibri" w:hAnsiTheme="minorHAnsi"/>
        </w:rPr>
        <w:t xml:space="preserve">Approximately 53% of female beneficiaries enrolled in FFS for at least 11 months were ages 15-44, with 38% in the Undocumented aid category, 6% in the Parent/Caretaker Relative &amp; Child aid category, and 9% enrolled in other aid categories (Figures </w:t>
      </w:r>
      <w:r w:rsidR="00AF7F03" w:rsidRPr="00105FFC">
        <w:rPr>
          <w:rFonts w:asciiTheme="minorHAnsi" w:eastAsia="Calibri" w:hAnsiTheme="minorHAnsi"/>
        </w:rPr>
        <w:t>2</w:t>
      </w:r>
      <w:r w:rsidR="000F06D1" w:rsidRPr="00105FFC">
        <w:rPr>
          <w:rFonts w:asciiTheme="minorHAnsi" w:eastAsia="Calibri" w:hAnsiTheme="minorHAnsi"/>
        </w:rPr>
        <w:t>6</w:t>
      </w:r>
      <w:r w:rsidRPr="00105FFC">
        <w:rPr>
          <w:rFonts w:asciiTheme="minorHAnsi" w:eastAsia="Calibri" w:hAnsiTheme="minorHAnsi"/>
        </w:rPr>
        <w:t xml:space="preserve">). </w:t>
      </w:r>
    </w:p>
    <w:p w14:paraId="225132E8" w14:textId="77777777" w:rsidR="00915481" w:rsidRPr="00105FFC" w:rsidRDefault="00915481">
      <w:pPr>
        <w:spacing w:after="200" w:line="276" w:lineRule="auto"/>
        <w:rPr>
          <w:rFonts w:asciiTheme="minorHAnsi" w:eastAsia="Calibri" w:hAnsiTheme="minorHAnsi" w:cs="Tahoma"/>
          <w:sz w:val="20"/>
          <w:szCs w:val="20"/>
        </w:rPr>
      </w:pPr>
      <w:r w:rsidRPr="00105FFC">
        <w:rPr>
          <w:rFonts w:asciiTheme="minorHAnsi" w:eastAsia="Calibri" w:hAnsiTheme="minorHAnsi" w:cs="Tahoma"/>
          <w:sz w:val="20"/>
          <w:szCs w:val="20"/>
        </w:rPr>
        <w:br w:type="page"/>
      </w:r>
    </w:p>
    <w:p w14:paraId="201AB744" w14:textId="77777777" w:rsidR="00B47A37" w:rsidRPr="00105FFC" w:rsidRDefault="00AF7F03" w:rsidP="00AF7F03">
      <w:pPr>
        <w:pStyle w:val="Caption"/>
        <w:spacing w:after="0"/>
        <w:rPr>
          <w:rFonts w:asciiTheme="minorHAnsi" w:eastAsia="Calibri" w:hAnsiTheme="minorHAnsi" w:cs="Tahoma"/>
          <w:color w:val="auto"/>
          <w:sz w:val="20"/>
          <w:szCs w:val="20"/>
        </w:rPr>
      </w:pPr>
      <w:bookmarkStart w:id="292" w:name="_Toc458782964"/>
      <w:bookmarkStart w:id="293" w:name="_Toc459285075"/>
      <w:bookmarkStart w:id="294" w:name="_Toc459285266"/>
      <w:bookmarkStart w:id="295" w:name="_Toc459286707"/>
      <w:r w:rsidRPr="00105FFC">
        <w:rPr>
          <w:rFonts w:asciiTheme="minorHAnsi" w:hAnsiTheme="minorHAnsi"/>
          <w:color w:val="auto"/>
        </w:rPr>
        <w:t xml:space="preserve">Figure </w:t>
      </w:r>
      <w:r w:rsidRPr="00105FFC">
        <w:rPr>
          <w:rFonts w:asciiTheme="minorHAnsi" w:hAnsiTheme="minorHAnsi"/>
          <w:color w:val="auto"/>
        </w:rPr>
        <w:fldChar w:fldCharType="begin"/>
      </w:r>
      <w:r w:rsidRPr="00105FFC">
        <w:rPr>
          <w:rFonts w:asciiTheme="minorHAnsi" w:hAnsiTheme="minorHAnsi"/>
          <w:color w:val="auto"/>
        </w:rPr>
        <w:instrText xml:space="preserve"> SEQ Figure \* ARABIC </w:instrText>
      </w:r>
      <w:r w:rsidRPr="00105FFC">
        <w:rPr>
          <w:rFonts w:asciiTheme="minorHAnsi" w:hAnsiTheme="minorHAnsi"/>
          <w:color w:val="auto"/>
        </w:rPr>
        <w:fldChar w:fldCharType="separate"/>
      </w:r>
      <w:r w:rsidR="000E1B8E">
        <w:rPr>
          <w:rFonts w:asciiTheme="minorHAnsi" w:hAnsiTheme="minorHAnsi"/>
          <w:noProof/>
          <w:color w:val="auto"/>
        </w:rPr>
        <w:t>26</w:t>
      </w:r>
      <w:r w:rsidRPr="00105FFC">
        <w:rPr>
          <w:rFonts w:asciiTheme="minorHAnsi" w:hAnsiTheme="minorHAnsi"/>
          <w:color w:val="auto"/>
        </w:rPr>
        <w:fldChar w:fldCharType="end"/>
      </w:r>
      <w:r w:rsidRPr="00105FFC">
        <w:rPr>
          <w:rFonts w:asciiTheme="minorHAnsi" w:hAnsiTheme="minorHAnsi"/>
          <w:color w:val="auto"/>
        </w:rPr>
        <w:t>:</w:t>
      </w:r>
      <w:r w:rsidR="00B24A61" w:rsidRPr="00105FFC">
        <w:rPr>
          <w:rFonts w:asciiTheme="minorHAnsi" w:eastAsia="Calibri" w:hAnsiTheme="minorHAnsi" w:cs="Tahoma"/>
          <w:color w:val="auto"/>
          <w:sz w:val="20"/>
          <w:szCs w:val="20"/>
        </w:rPr>
        <w:t xml:space="preserve"> </w:t>
      </w:r>
      <w:r w:rsidR="00B24A61" w:rsidRPr="00105FFC">
        <w:rPr>
          <w:rFonts w:asciiTheme="minorHAnsi" w:eastAsia="Calibri" w:hAnsiTheme="minorHAnsi" w:cs="Tahoma"/>
          <w:b w:val="0"/>
          <w:color w:val="auto"/>
          <w:sz w:val="20"/>
          <w:szCs w:val="20"/>
        </w:rPr>
        <w:t xml:space="preserve">Distribution of Female Beneficiaries with 11+ Months of FFS Enrollment </w:t>
      </w:r>
      <w:r w:rsidR="00E9210A" w:rsidRPr="00105FFC">
        <w:rPr>
          <w:rFonts w:asciiTheme="minorHAnsi" w:eastAsia="Calibri" w:hAnsiTheme="minorHAnsi" w:cs="Tahoma"/>
          <w:b w:val="0"/>
          <w:color w:val="auto"/>
          <w:sz w:val="20"/>
          <w:szCs w:val="20"/>
        </w:rPr>
        <w:t xml:space="preserve">in SFY 2014-15 </w:t>
      </w:r>
      <w:r w:rsidR="00B24A61" w:rsidRPr="00105FFC">
        <w:rPr>
          <w:rFonts w:asciiTheme="minorHAnsi" w:eastAsia="Calibri" w:hAnsiTheme="minorHAnsi" w:cs="Tahoma"/>
          <w:b w:val="0"/>
          <w:color w:val="auto"/>
          <w:sz w:val="20"/>
          <w:szCs w:val="20"/>
        </w:rPr>
        <w:t>by Age, and Distribution of Females with 11+ Months of FFS Enrollment Between the Ages of 15 and 44, By Aid Category</w:t>
      </w:r>
      <w:bookmarkEnd w:id="292"/>
      <w:bookmarkEnd w:id="293"/>
      <w:bookmarkEnd w:id="294"/>
      <w:bookmarkEnd w:id="295"/>
    </w:p>
    <w:p w14:paraId="3BF55C08" w14:textId="77777777" w:rsidR="00B47A37" w:rsidRPr="00105FFC" w:rsidRDefault="00B47A37" w:rsidP="00915481">
      <w:pPr>
        <w:rPr>
          <w:rFonts w:asciiTheme="minorHAnsi" w:eastAsia="Calibri" w:hAnsiTheme="minorHAnsi" w:cs="Tahoma"/>
          <w:sz w:val="20"/>
          <w:szCs w:val="20"/>
        </w:rPr>
      </w:pPr>
      <w:r w:rsidRPr="00105FFC">
        <w:rPr>
          <w:rFonts w:asciiTheme="minorHAnsi" w:hAnsiTheme="minorHAnsi"/>
          <w:noProof/>
        </w:rPr>
        <w:drawing>
          <wp:inline distT="0" distB="0" distL="0" distR="0" wp14:anchorId="77D50F75" wp14:editId="43BEE59A">
            <wp:extent cx="5943600" cy="2468880"/>
            <wp:effectExtent l="0" t="0" r="0" b="7620"/>
            <wp:docPr id="36" name="Chart 36" descr="Total Female Population: 882,054&#10;Females 0-14: 12%&#10;Females 15-44: 43%&#10;Females 45+: 35%&#10;&#10;Females 15-44: Undocumented: 38%&#10;Females 15-44: Parent/Caretaker Relative &amp; Child: 6%&#10;Females 15-44: Other: 9%&#10;" title="Distribution of Female Beneficiaries with 11+ Months of FFS Enrollment in SFY 2014-15 by Age, and Distribution of Females with 11+ Months of FFS Enrollment Between the Ages of 15 and 44, By Aid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ED87ED0" w14:textId="77777777" w:rsidR="00B47A37" w:rsidRPr="00105FFC" w:rsidRDefault="00915481" w:rsidP="00915481">
      <w:pPr>
        <w:rPr>
          <w:rFonts w:asciiTheme="minorHAnsi" w:eastAsia="Calibri" w:hAnsiTheme="minorHAnsi" w:cs="Tahoma"/>
          <w:sz w:val="16"/>
          <w:szCs w:val="16"/>
        </w:rPr>
      </w:pPr>
      <w:r w:rsidRPr="00105FFC">
        <w:rPr>
          <w:rFonts w:asciiTheme="minorHAnsi" w:eastAsia="Calibri" w:hAnsiTheme="minorHAnsi" w:cs="Tahoma"/>
          <w:b/>
          <w:sz w:val="16"/>
          <w:szCs w:val="16"/>
        </w:rPr>
        <w:t>Source:</w:t>
      </w:r>
      <w:r w:rsidRPr="00105FFC">
        <w:rPr>
          <w:rFonts w:asciiTheme="minorHAnsi" w:eastAsia="Calibri" w:hAnsiTheme="minorHAnsi" w:cs="Tahoma"/>
          <w:sz w:val="16"/>
          <w:szCs w:val="16"/>
        </w:rPr>
        <w:t xml:space="preserve"> Created by DHCS Research and Analytic Studies Division using data from the Medi-Cal Management Information System/Decision Support System (MIS/DSS) eligibility tables with dates of eligibility from July 2013–June 2015. Data were extracted from the MIS/DSS 12 months after the corresponding time period to allow for updates to enrollment.</w:t>
      </w:r>
    </w:p>
    <w:p w14:paraId="6285DE95" w14:textId="77777777" w:rsidR="00915481" w:rsidRPr="00105FFC" w:rsidRDefault="00915481" w:rsidP="00915481">
      <w:pPr>
        <w:rPr>
          <w:rFonts w:asciiTheme="minorHAnsi" w:eastAsia="Calibri" w:hAnsiTheme="minorHAnsi" w:cs="Tahoma"/>
          <w:sz w:val="20"/>
          <w:szCs w:val="20"/>
        </w:rPr>
      </w:pPr>
    </w:p>
    <w:p w14:paraId="44B8DEFC" w14:textId="77777777" w:rsidR="0044176A" w:rsidRPr="00105FFC" w:rsidRDefault="0044176A" w:rsidP="0044176A">
      <w:pPr>
        <w:rPr>
          <w:rFonts w:asciiTheme="minorHAnsi" w:eastAsia="Calibri" w:hAnsiTheme="minorHAnsi" w:cs="Tahoma"/>
        </w:rPr>
      </w:pPr>
      <w:r w:rsidRPr="00105FFC">
        <w:rPr>
          <w:rFonts w:asciiTheme="minorHAnsi" w:eastAsia="Calibri" w:hAnsiTheme="minorHAnsi" w:cs="Tahoma"/>
        </w:rPr>
        <w:t xml:space="preserve">Women enrolled in the Undocumented aid category accounted for 71% of all FFS Medi-Cal female beneficiaries between the ages of 15 and 44 with </w:t>
      </w:r>
      <w:r w:rsidR="00984063" w:rsidRPr="00105FFC">
        <w:rPr>
          <w:rFonts w:asciiTheme="minorHAnsi" w:eastAsia="Calibri" w:hAnsiTheme="minorHAnsi" w:cs="Tahoma"/>
        </w:rPr>
        <w:t xml:space="preserve">at </w:t>
      </w:r>
      <w:r w:rsidRPr="00105FFC">
        <w:rPr>
          <w:rFonts w:asciiTheme="minorHAnsi" w:eastAsia="Calibri" w:hAnsiTheme="minorHAnsi" w:cs="Tahoma"/>
        </w:rPr>
        <w:t xml:space="preserve">11 months of enrollment in SFY 2014-15.  The Parent/Caretaker Relative &amp; Child aid group (12%) accounted for the second largest proportion of females participating in FFS Medi-Cal (Figure </w:t>
      </w:r>
      <w:r w:rsidR="00AF7F03" w:rsidRPr="00105FFC">
        <w:rPr>
          <w:rFonts w:asciiTheme="minorHAnsi" w:eastAsia="Calibri" w:hAnsiTheme="minorHAnsi" w:cs="Tahoma"/>
        </w:rPr>
        <w:t>2</w:t>
      </w:r>
      <w:r w:rsidR="000F06D1" w:rsidRPr="00105FFC">
        <w:rPr>
          <w:rFonts w:asciiTheme="minorHAnsi" w:eastAsia="Calibri" w:hAnsiTheme="minorHAnsi" w:cs="Tahoma"/>
        </w:rPr>
        <w:t>7</w:t>
      </w:r>
      <w:r w:rsidRPr="00105FFC">
        <w:rPr>
          <w:rFonts w:asciiTheme="minorHAnsi" w:eastAsia="Calibri" w:hAnsiTheme="minorHAnsi" w:cs="Tahoma"/>
        </w:rPr>
        <w:t>).</w:t>
      </w:r>
    </w:p>
    <w:p w14:paraId="034F2FC2" w14:textId="77777777" w:rsidR="0044176A" w:rsidRPr="00105FFC" w:rsidRDefault="0044176A" w:rsidP="00915481">
      <w:pPr>
        <w:rPr>
          <w:rFonts w:asciiTheme="minorHAnsi" w:eastAsia="Calibri" w:hAnsiTheme="minorHAnsi" w:cs="Tahoma"/>
          <w:sz w:val="20"/>
          <w:szCs w:val="20"/>
        </w:rPr>
      </w:pPr>
    </w:p>
    <w:p w14:paraId="0FE7E086" w14:textId="77777777" w:rsidR="00B47A37" w:rsidRPr="00105FFC" w:rsidRDefault="00AF7F03" w:rsidP="00AF7F03">
      <w:pPr>
        <w:pStyle w:val="Caption"/>
        <w:spacing w:after="0"/>
        <w:rPr>
          <w:rFonts w:asciiTheme="minorHAnsi" w:eastAsia="Calibri" w:hAnsiTheme="minorHAnsi" w:cs="Tahoma"/>
          <w:color w:val="auto"/>
          <w:sz w:val="20"/>
          <w:szCs w:val="20"/>
        </w:rPr>
      </w:pPr>
      <w:bookmarkStart w:id="296" w:name="_Toc458782965"/>
      <w:bookmarkStart w:id="297" w:name="_Toc459285076"/>
      <w:bookmarkStart w:id="298" w:name="_Toc459285267"/>
      <w:bookmarkStart w:id="299" w:name="_Toc459286708"/>
      <w:r w:rsidRPr="00105FFC">
        <w:rPr>
          <w:rFonts w:asciiTheme="minorHAnsi" w:hAnsiTheme="minorHAnsi"/>
          <w:color w:val="auto"/>
        </w:rPr>
        <w:t xml:space="preserve">Figure </w:t>
      </w:r>
      <w:r w:rsidRPr="00105FFC">
        <w:rPr>
          <w:rFonts w:asciiTheme="minorHAnsi" w:hAnsiTheme="minorHAnsi"/>
          <w:color w:val="auto"/>
        </w:rPr>
        <w:fldChar w:fldCharType="begin"/>
      </w:r>
      <w:r w:rsidRPr="00105FFC">
        <w:rPr>
          <w:rFonts w:asciiTheme="minorHAnsi" w:hAnsiTheme="minorHAnsi"/>
          <w:color w:val="auto"/>
        </w:rPr>
        <w:instrText xml:space="preserve"> SEQ Figure \* ARABIC </w:instrText>
      </w:r>
      <w:r w:rsidRPr="00105FFC">
        <w:rPr>
          <w:rFonts w:asciiTheme="minorHAnsi" w:hAnsiTheme="minorHAnsi"/>
          <w:color w:val="auto"/>
        </w:rPr>
        <w:fldChar w:fldCharType="separate"/>
      </w:r>
      <w:r w:rsidR="000E1B8E">
        <w:rPr>
          <w:rFonts w:asciiTheme="minorHAnsi" w:hAnsiTheme="minorHAnsi"/>
          <w:noProof/>
          <w:color w:val="auto"/>
        </w:rPr>
        <w:t>27</w:t>
      </w:r>
      <w:r w:rsidRPr="00105FFC">
        <w:rPr>
          <w:rFonts w:asciiTheme="minorHAnsi" w:hAnsiTheme="minorHAnsi"/>
          <w:color w:val="auto"/>
        </w:rPr>
        <w:fldChar w:fldCharType="end"/>
      </w:r>
      <w:r w:rsidRPr="00105FFC">
        <w:rPr>
          <w:rFonts w:asciiTheme="minorHAnsi" w:hAnsiTheme="minorHAnsi"/>
          <w:color w:val="auto"/>
        </w:rPr>
        <w:t>:</w:t>
      </w:r>
      <w:r w:rsidR="00B47A37" w:rsidRPr="00105FFC">
        <w:rPr>
          <w:rFonts w:asciiTheme="minorHAnsi" w:eastAsia="Calibri" w:hAnsiTheme="minorHAnsi" w:cs="Tahoma"/>
          <w:color w:val="auto"/>
          <w:sz w:val="20"/>
          <w:szCs w:val="20"/>
        </w:rPr>
        <w:t xml:space="preserve"> </w:t>
      </w:r>
      <w:r w:rsidR="00B47A37" w:rsidRPr="00105FFC">
        <w:rPr>
          <w:rFonts w:asciiTheme="minorHAnsi" w:eastAsia="Calibri" w:hAnsiTheme="minorHAnsi" w:cs="Tahoma"/>
          <w:b w:val="0"/>
          <w:color w:val="auto"/>
          <w:sz w:val="20"/>
          <w:szCs w:val="20"/>
        </w:rPr>
        <w:t>Distribution of Females with 11+ Months of FFS Enrollment Between the Ages of 15 and 44</w:t>
      </w:r>
      <w:r w:rsidR="0044176A" w:rsidRPr="00105FFC">
        <w:rPr>
          <w:rFonts w:asciiTheme="minorHAnsi" w:eastAsia="Calibri" w:hAnsiTheme="minorHAnsi" w:cs="Tahoma"/>
          <w:b w:val="0"/>
          <w:color w:val="auto"/>
          <w:sz w:val="20"/>
          <w:szCs w:val="20"/>
        </w:rPr>
        <w:t xml:space="preserve"> in SFY 2014-15</w:t>
      </w:r>
      <w:r w:rsidR="00B47A37" w:rsidRPr="00105FFC">
        <w:rPr>
          <w:rFonts w:asciiTheme="minorHAnsi" w:eastAsia="Calibri" w:hAnsiTheme="minorHAnsi" w:cs="Tahoma"/>
          <w:b w:val="0"/>
          <w:color w:val="auto"/>
          <w:sz w:val="20"/>
          <w:szCs w:val="20"/>
        </w:rPr>
        <w:t>, By Aid Category</w:t>
      </w:r>
      <w:bookmarkEnd w:id="296"/>
      <w:bookmarkEnd w:id="297"/>
      <w:bookmarkEnd w:id="298"/>
      <w:bookmarkEnd w:id="299"/>
    </w:p>
    <w:p w14:paraId="4D9D2D41" w14:textId="77777777" w:rsidR="00B47A37" w:rsidRPr="00105FFC" w:rsidRDefault="00B47A37" w:rsidP="00915481">
      <w:pPr>
        <w:rPr>
          <w:rFonts w:asciiTheme="minorHAnsi" w:eastAsia="Calibri" w:hAnsiTheme="minorHAnsi" w:cs="Tahoma"/>
          <w:bCs/>
          <w:color w:val="5B9BD5"/>
          <w:sz w:val="16"/>
          <w:szCs w:val="16"/>
        </w:rPr>
      </w:pPr>
      <w:r w:rsidRPr="00105FFC">
        <w:rPr>
          <w:rFonts w:asciiTheme="minorHAnsi" w:hAnsiTheme="minorHAnsi"/>
          <w:noProof/>
          <w:shd w:val="clear" w:color="auto" w:fill="F2F2F2" w:themeFill="background1" w:themeFillShade="F2"/>
        </w:rPr>
        <w:drawing>
          <wp:inline distT="0" distB="0" distL="0" distR="0" wp14:anchorId="0D7B2695" wp14:editId="4883C93E">
            <wp:extent cx="5943600" cy="2468880"/>
            <wp:effectExtent l="0" t="0" r="0" b="7620"/>
            <wp:docPr id="35" name="Chart 35" descr="Total Female Population Ages 15-44: 465,547&#10;Undocumented: 71%&#10;Parent/Caretaker Relative &amp; Child: 12%&#10;Other: 5%&#10;ACA Expansion Adult: 4%&#10;Adoption/Foster Care: 3%&#10;Dual: 3%&#10;SPD: 2%&#10;" title="Distribution of Females with 11+ Months of FFS Enrollment Between the Ages of 15 and 44 in SFY 2014-15, By Aid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1DDE66A" w14:textId="77777777" w:rsidR="00915481" w:rsidRPr="00105FFC" w:rsidRDefault="00915481" w:rsidP="00915481">
      <w:pPr>
        <w:rPr>
          <w:rFonts w:asciiTheme="minorHAnsi" w:eastAsia="Calibri" w:hAnsiTheme="minorHAnsi" w:cs="Tahoma"/>
          <w:sz w:val="16"/>
          <w:szCs w:val="16"/>
        </w:rPr>
      </w:pPr>
      <w:r w:rsidRPr="00105FFC">
        <w:rPr>
          <w:rFonts w:asciiTheme="minorHAnsi" w:eastAsia="Calibri" w:hAnsiTheme="minorHAnsi" w:cs="Tahoma"/>
          <w:b/>
          <w:sz w:val="16"/>
          <w:szCs w:val="16"/>
        </w:rPr>
        <w:t>Source:</w:t>
      </w:r>
      <w:r w:rsidRPr="00105FFC">
        <w:rPr>
          <w:rFonts w:asciiTheme="minorHAnsi" w:eastAsia="Calibri" w:hAnsiTheme="minorHAnsi" w:cs="Tahoma"/>
          <w:sz w:val="16"/>
          <w:szCs w:val="16"/>
        </w:rPr>
        <w:t xml:space="preserve"> Created by DHCS Research and Analytic Studies Division using data from the Medi-Cal Management Information System/Decision Support System (MIS/DSS) eligibility tables with dates of eligibility from July 2013–June 2015. Data were extracted from the MIS/DSS 12 months after the corresponding time period to allow for updates to enrollment.</w:t>
      </w:r>
    </w:p>
    <w:p w14:paraId="58DD3524" w14:textId="77777777" w:rsidR="00574A88" w:rsidRPr="00105FFC" w:rsidRDefault="00574A88" w:rsidP="00574A88">
      <w:pPr>
        <w:spacing w:line="276" w:lineRule="auto"/>
        <w:rPr>
          <w:rFonts w:asciiTheme="minorHAnsi" w:eastAsia="Calibri" w:hAnsiTheme="minorHAnsi" w:cs="Tahoma"/>
          <w:sz w:val="16"/>
          <w:szCs w:val="16"/>
        </w:rPr>
      </w:pPr>
    </w:p>
    <w:p w14:paraId="394C8E9B" w14:textId="77777777" w:rsidR="00574A88" w:rsidRPr="00105FFC" w:rsidRDefault="00574A88" w:rsidP="008D3218">
      <w:pPr>
        <w:pStyle w:val="Heading3"/>
      </w:pPr>
      <w:bookmarkStart w:id="300" w:name="_Toc459287757"/>
      <w:r w:rsidRPr="00105FFC">
        <w:t>Distribution of FFS Medi-Cal Beneficiaries, by Geographic Region</w:t>
      </w:r>
      <w:bookmarkEnd w:id="300"/>
    </w:p>
    <w:p w14:paraId="490792B2" w14:textId="77777777" w:rsidR="00574A88" w:rsidRPr="00105FFC" w:rsidRDefault="00920CC4" w:rsidP="00574A88">
      <w:pPr>
        <w:spacing w:before="120" w:after="120" w:line="276" w:lineRule="auto"/>
        <w:rPr>
          <w:rFonts w:asciiTheme="minorHAnsi" w:eastAsia="Calibri" w:hAnsiTheme="minorHAnsi"/>
        </w:rPr>
      </w:pPr>
      <w:r w:rsidRPr="00105FFC">
        <w:rPr>
          <w:rFonts w:asciiTheme="minorHAnsi" w:eastAsia="Calibri" w:hAnsiTheme="minorHAnsi"/>
        </w:rPr>
        <w:t>The</w:t>
      </w:r>
      <w:r w:rsidR="00574A88" w:rsidRPr="00105FFC">
        <w:rPr>
          <w:rFonts w:asciiTheme="minorHAnsi" w:eastAsia="Calibri" w:hAnsiTheme="minorHAnsi"/>
        </w:rPr>
        <w:t xml:space="preserve"> Los Angeles and Southern California </w:t>
      </w:r>
      <w:r w:rsidR="00D04B63" w:rsidRPr="00105FFC">
        <w:rPr>
          <w:rFonts w:asciiTheme="minorHAnsi" w:eastAsia="Calibri" w:hAnsiTheme="minorHAnsi"/>
        </w:rPr>
        <w:t xml:space="preserve">geographic </w:t>
      </w:r>
      <w:r w:rsidR="00574A88" w:rsidRPr="00105FFC">
        <w:rPr>
          <w:rFonts w:asciiTheme="minorHAnsi" w:eastAsia="Calibri" w:hAnsiTheme="minorHAnsi"/>
        </w:rPr>
        <w:t xml:space="preserve">regions </w:t>
      </w:r>
      <w:r w:rsidR="00D04B63" w:rsidRPr="00105FFC">
        <w:rPr>
          <w:rFonts w:asciiTheme="minorHAnsi" w:eastAsia="Calibri" w:hAnsiTheme="minorHAnsi"/>
        </w:rPr>
        <w:t>had the highest proportion of</w:t>
      </w:r>
      <w:r w:rsidRPr="00105FFC">
        <w:rPr>
          <w:rFonts w:asciiTheme="minorHAnsi" w:eastAsia="Calibri" w:hAnsiTheme="minorHAnsi"/>
        </w:rPr>
        <w:t xml:space="preserve"> </w:t>
      </w:r>
      <w:r w:rsidR="00D04B63" w:rsidRPr="00105FFC">
        <w:rPr>
          <w:rFonts w:asciiTheme="minorHAnsi" w:eastAsia="Calibri" w:hAnsiTheme="minorHAnsi"/>
        </w:rPr>
        <w:t xml:space="preserve">FFS Medi-Cal </w:t>
      </w:r>
      <w:r w:rsidRPr="00105FFC">
        <w:rPr>
          <w:rFonts w:asciiTheme="minorHAnsi" w:eastAsia="Calibri" w:hAnsiTheme="minorHAnsi"/>
        </w:rPr>
        <w:t>enrollment</w:t>
      </w:r>
      <w:r w:rsidR="00574A88" w:rsidRPr="00105FFC">
        <w:rPr>
          <w:rFonts w:asciiTheme="minorHAnsi" w:eastAsia="Calibri" w:hAnsiTheme="minorHAnsi"/>
        </w:rPr>
        <w:t xml:space="preserve"> </w:t>
      </w:r>
      <w:r w:rsidR="00D04B63" w:rsidRPr="00105FFC">
        <w:rPr>
          <w:rFonts w:asciiTheme="minorHAnsi" w:eastAsia="Calibri" w:hAnsiTheme="minorHAnsi"/>
        </w:rPr>
        <w:t xml:space="preserve">during both </w:t>
      </w:r>
      <w:r w:rsidR="00574A88" w:rsidRPr="00105FFC">
        <w:rPr>
          <w:rFonts w:asciiTheme="minorHAnsi" w:eastAsia="Calibri" w:hAnsiTheme="minorHAnsi"/>
        </w:rPr>
        <w:t>SFYs 2013-14 and 2014-15. Combined, these two geographic regions comprised more than half of the total FFS population at 55.1% in SFY 2014-15</w:t>
      </w:r>
      <w:r w:rsidR="00D04B63" w:rsidRPr="00105FFC">
        <w:rPr>
          <w:rFonts w:asciiTheme="minorHAnsi" w:eastAsia="Calibri" w:hAnsiTheme="minorHAnsi"/>
        </w:rPr>
        <w:t xml:space="preserve"> (</w:t>
      </w:r>
      <w:r w:rsidR="00AF7F03" w:rsidRPr="00105FFC">
        <w:rPr>
          <w:rFonts w:asciiTheme="minorHAnsi" w:eastAsia="Calibri" w:hAnsiTheme="minorHAnsi"/>
        </w:rPr>
        <w:t>Figure 29</w:t>
      </w:r>
      <w:r w:rsidR="00D04B63" w:rsidRPr="00105FFC">
        <w:rPr>
          <w:rFonts w:asciiTheme="minorHAnsi" w:eastAsia="Calibri" w:hAnsiTheme="minorHAnsi"/>
        </w:rPr>
        <w:t>)</w:t>
      </w:r>
      <w:r w:rsidR="00574A88" w:rsidRPr="00105FFC">
        <w:rPr>
          <w:rFonts w:asciiTheme="minorHAnsi" w:eastAsia="Calibri" w:hAnsiTheme="minorHAnsi"/>
        </w:rPr>
        <w:t xml:space="preserve">. Due to the expansion of the managed care delivery system in rural counties in 2013, many counties exhibited a decrease in their </w:t>
      </w:r>
      <w:r w:rsidR="00953943" w:rsidRPr="00105FFC">
        <w:rPr>
          <w:rFonts w:asciiTheme="minorHAnsi" w:eastAsia="Calibri" w:hAnsiTheme="minorHAnsi"/>
        </w:rPr>
        <w:t>Medi-Cal FFS participation</w:t>
      </w:r>
      <w:r w:rsidR="00574A88" w:rsidRPr="00105FFC">
        <w:rPr>
          <w:rFonts w:asciiTheme="minorHAnsi" w:eastAsia="Calibri" w:hAnsiTheme="minorHAnsi"/>
        </w:rPr>
        <w:t>. The North Coast (0.3%) and Far North (0.1%) regions</w:t>
      </w:r>
      <w:r w:rsidR="00EE21D3" w:rsidRPr="00105FFC">
        <w:rPr>
          <w:rFonts w:asciiTheme="minorHAnsi" w:eastAsia="Calibri" w:hAnsiTheme="minorHAnsi"/>
        </w:rPr>
        <w:t>, both comprised of rural counties with small populations,</w:t>
      </w:r>
      <w:r w:rsidR="00574A88" w:rsidRPr="00105FFC">
        <w:rPr>
          <w:rFonts w:asciiTheme="minorHAnsi" w:eastAsia="Calibri" w:hAnsiTheme="minorHAnsi"/>
        </w:rPr>
        <w:t xml:space="preserve"> had the smallest </w:t>
      </w:r>
      <w:r w:rsidR="00953943" w:rsidRPr="00105FFC">
        <w:rPr>
          <w:rFonts w:asciiTheme="minorHAnsi" w:eastAsia="Calibri" w:hAnsiTheme="minorHAnsi"/>
        </w:rPr>
        <w:t>percent</w:t>
      </w:r>
      <w:r w:rsidR="00B47A37" w:rsidRPr="00105FFC">
        <w:rPr>
          <w:rFonts w:asciiTheme="minorHAnsi" w:eastAsia="Calibri" w:hAnsiTheme="minorHAnsi"/>
        </w:rPr>
        <w:t>age</w:t>
      </w:r>
      <w:r w:rsidR="00953943" w:rsidRPr="00105FFC">
        <w:rPr>
          <w:rFonts w:asciiTheme="minorHAnsi" w:eastAsia="Calibri" w:hAnsiTheme="minorHAnsi"/>
        </w:rPr>
        <w:t xml:space="preserve">s </w:t>
      </w:r>
      <w:r w:rsidR="00574A88" w:rsidRPr="00105FFC">
        <w:rPr>
          <w:rFonts w:asciiTheme="minorHAnsi" w:eastAsia="Calibri" w:hAnsiTheme="minorHAnsi"/>
        </w:rPr>
        <w:t xml:space="preserve">of FFS </w:t>
      </w:r>
      <w:r w:rsidR="00953943" w:rsidRPr="00105FFC">
        <w:rPr>
          <w:rFonts w:asciiTheme="minorHAnsi" w:eastAsia="Calibri" w:hAnsiTheme="minorHAnsi"/>
        </w:rPr>
        <w:t>participation</w:t>
      </w:r>
      <w:r w:rsidR="00574A88" w:rsidRPr="00105FFC">
        <w:rPr>
          <w:rFonts w:asciiTheme="minorHAnsi" w:eastAsia="Calibri" w:hAnsiTheme="minorHAnsi"/>
        </w:rPr>
        <w:t xml:space="preserve"> in SFY 2014-15 (Figure </w:t>
      </w:r>
      <w:r w:rsidR="002F06C9" w:rsidRPr="00105FFC">
        <w:rPr>
          <w:rFonts w:asciiTheme="minorHAnsi" w:eastAsia="Calibri" w:hAnsiTheme="minorHAnsi"/>
        </w:rPr>
        <w:t>2</w:t>
      </w:r>
      <w:r w:rsidR="000F06D1" w:rsidRPr="00105FFC">
        <w:rPr>
          <w:rFonts w:asciiTheme="minorHAnsi" w:eastAsia="Calibri" w:hAnsiTheme="minorHAnsi"/>
        </w:rPr>
        <w:t>8</w:t>
      </w:r>
      <w:r w:rsidR="00574A88" w:rsidRPr="00105FFC">
        <w:rPr>
          <w:rFonts w:asciiTheme="minorHAnsi" w:eastAsia="Calibri" w:hAnsiTheme="minorHAnsi"/>
        </w:rPr>
        <w:t>).</w:t>
      </w:r>
    </w:p>
    <w:p w14:paraId="42938DF5" w14:textId="77777777" w:rsidR="00915481" w:rsidRPr="00105FFC" w:rsidRDefault="00915481" w:rsidP="00AF7F03">
      <w:pPr>
        <w:spacing w:line="276" w:lineRule="auto"/>
        <w:rPr>
          <w:rFonts w:asciiTheme="minorHAnsi" w:eastAsia="Calibri" w:hAnsiTheme="minorHAnsi"/>
        </w:rPr>
      </w:pPr>
    </w:p>
    <w:p w14:paraId="31B9BAEF" w14:textId="77777777" w:rsidR="00574A88" w:rsidRPr="00105FFC" w:rsidRDefault="002F06C9" w:rsidP="00574A88">
      <w:pPr>
        <w:spacing w:after="120"/>
        <w:rPr>
          <w:rFonts w:asciiTheme="minorHAnsi" w:eastAsia="Calibri" w:hAnsiTheme="minorHAnsi" w:cs="Tahoma"/>
          <w:bCs/>
          <w:color w:val="5B9BD5"/>
          <w:sz w:val="16"/>
          <w:szCs w:val="16"/>
        </w:rPr>
      </w:pPr>
      <w:bookmarkStart w:id="301" w:name="_Toc458782966"/>
      <w:bookmarkStart w:id="302" w:name="_Toc459285077"/>
      <w:bookmarkStart w:id="303" w:name="_Toc459285268"/>
      <w:bookmarkStart w:id="304" w:name="_Toc459286709"/>
      <w:r w:rsidRPr="00105FFC">
        <w:rPr>
          <w:rFonts w:asciiTheme="minorHAnsi" w:eastAsia="Calibri" w:hAnsiTheme="minorHAnsi"/>
          <w:b/>
          <w:bCs/>
          <w:sz w:val="20"/>
          <w:szCs w:val="20"/>
        </w:rPr>
        <w:t xml:space="preserve">Figure </w:t>
      </w:r>
      <w:r w:rsidR="00574A88" w:rsidRPr="00105FFC">
        <w:rPr>
          <w:rFonts w:asciiTheme="minorHAnsi" w:eastAsia="Calibri" w:hAnsiTheme="minorHAnsi"/>
          <w:b/>
          <w:bCs/>
          <w:sz w:val="20"/>
          <w:szCs w:val="20"/>
        </w:rPr>
        <w:fldChar w:fldCharType="begin"/>
      </w:r>
      <w:r w:rsidR="00574A88" w:rsidRPr="00105FFC">
        <w:rPr>
          <w:rFonts w:asciiTheme="minorHAnsi" w:eastAsia="Calibri" w:hAnsiTheme="minorHAnsi"/>
          <w:b/>
          <w:bCs/>
          <w:sz w:val="20"/>
          <w:szCs w:val="20"/>
        </w:rPr>
        <w:instrText xml:space="preserve"> SEQ Figure \* ARABIC </w:instrText>
      </w:r>
      <w:r w:rsidR="00574A88" w:rsidRPr="00105FFC">
        <w:rPr>
          <w:rFonts w:asciiTheme="minorHAnsi" w:eastAsia="Calibri" w:hAnsiTheme="minorHAnsi"/>
          <w:b/>
          <w:bCs/>
          <w:sz w:val="20"/>
          <w:szCs w:val="20"/>
        </w:rPr>
        <w:fldChar w:fldCharType="separate"/>
      </w:r>
      <w:r w:rsidR="000E1B8E">
        <w:rPr>
          <w:rFonts w:asciiTheme="minorHAnsi" w:eastAsia="Calibri" w:hAnsiTheme="minorHAnsi"/>
          <w:b/>
          <w:bCs/>
          <w:noProof/>
          <w:sz w:val="20"/>
          <w:szCs w:val="20"/>
        </w:rPr>
        <w:t>28</w:t>
      </w:r>
      <w:r w:rsidR="00574A88" w:rsidRPr="00105FFC">
        <w:rPr>
          <w:rFonts w:asciiTheme="minorHAnsi" w:eastAsia="Calibri" w:hAnsiTheme="minorHAnsi"/>
          <w:b/>
          <w:bCs/>
          <w:sz w:val="20"/>
          <w:szCs w:val="20"/>
        </w:rPr>
        <w:fldChar w:fldCharType="end"/>
      </w:r>
      <w:r w:rsidR="00574A88" w:rsidRPr="00105FFC">
        <w:rPr>
          <w:rFonts w:asciiTheme="minorHAnsi" w:eastAsia="Calibri" w:hAnsiTheme="minorHAnsi"/>
          <w:b/>
          <w:bCs/>
          <w:sz w:val="20"/>
          <w:szCs w:val="20"/>
        </w:rPr>
        <w:t>:</w:t>
      </w:r>
      <w:r w:rsidR="00574A88" w:rsidRPr="00105FFC">
        <w:rPr>
          <w:rFonts w:asciiTheme="minorHAnsi" w:eastAsia="Calibri" w:hAnsiTheme="minorHAnsi"/>
          <w:bCs/>
          <w:sz w:val="20"/>
          <w:szCs w:val="20"/>
        </w:rPr>
        <w:t xml:space="preserve"> Distribution of FFS Medi-Cal Beneficiaries Certified Eligible for at Least 11 Months in SFYs 2013-14 and 2014-15, by Geographic Region</w:t>
      </w:r>
      <w:r w:rsidR="00574A88" w:rsidRPr="00105FFC">
        <w:rPr>
          <w:rFonts w:asciiTheme="minorHAnsi" w:eastAsia="Calibri" w:hAnsiTheme="minorHAnsi"/>
          <w:b/>
          <w:bCs/>
          <w:color w:val="5B9BD5"/>
          <w:sz w:val="20"/>
          <w:szCs w:val="20"/>
        </w:rPr>
        <w:t xml:space="preserve"> </w:t>
      </w:r>
      <w:r w:rsidR="00574A88" w:rsidRPr="00105FFC">
        <w:rPr>
          <w:rFonts w:asciiTheme="minorHAnsi" w:eastAsia="Calibri" w:hAnsiTheme="minorHAnsi"/>
          <w:b/>
          <w:bCs/>
          <w:noProof/>
          <w:color w:val="5B9BD5"/>
          <w:szCs w:val="18"/>
        </w:rPr>
        <w:drawing>
          <wp:inline distT="0" distB="0" distL="0" distR="0" wp14:anchorId="02CC2253" wp14:editId="6C4D729C">
            <wp:extent cx="5968721" cy="3195376"/>
            <wp:effectExtent l="0" t="0" r="13335" b="5080"/>
            <wp:docPr id="59" name="Chart 59" descr="Total Population Size: 2013-14 1,605,753; 2014-15 1,520,144&#10;&#10;Bay Area: 2013-14 14.6%; 2014-15 16.3%&#10;&#10;Central Coast: 2013-14 2.8%; 2014-15 3.9%&#10;&#10;Sierra Range/ Foothills: 2013-14 2.0%; 2014-15 1.8%&#10;&#10;Central Valley: 2013-14 13.6%; 2014-15 15.9%&#10;&#10;Los Angeles: 2013-14 39.1%; 2014-15 33.1%&#10;&#10;Far North: 2013-14 0.1%; 2014-15 0.1%&#10;&#10;North Coast: 2013-14 0.2%; 2014-15 0.3%&#10;&#10;Sacramento Valley: 2013-14 6.4%; 2014-15 6.6%&#10;&#10;Southern California: 2013-14 21.2%; 2014-15 22.0%&#10;" title="Distribution of FFS Medi-Cal Beneficiaries Certified Eligible for at Least 11 Months in SFYs 2013-14 and 2014-15, by Geographic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74A88" w:rsidRPr="00105FFC">
        <w:rPr>
          <w:rFonts w:asciiTheme="minorHAnsi" w:eastAsia="Calibri" w:hAnsiTheme="minorHAnsi" w:cs="Tahoma"/>
          <w:b/>
          <w:sz w:val="16"/>
          <w:szCs w:val="16"/>
        </w:rPr>
        <w:t>Source:</w:t>
      </w:r>
      <w:r w:rsidR="00574A88" w:rsidRPr="00105FFC">
        <w:rPr>
          <w:rFonts w:asciiTheme="minorHAnsi" w:eastAsia="Calibri" w:hAnsiTheme="minorHAnsi" w:cs="Tahoma"/>
          <w:sz w:val="16"/>
          <w:szCs w:val="16"/>
        </w:rPr>
        <w:t xml:space="preserve"> Created by DHCS Research and Analytic Studies Division using data from the Medi-Cal Management Information System/Decision Support System (MIS/DSS) eligibility tables with dates of eligibility from July 2013–June 2015. Data were extracted from the MIS/DSS 12 months after the corresponding time period to allow for updates to enrollment.</w:t>
      </w:r>
      <w:bookmarkEnd w:id="301"/>
      <w:bookmarkEnd w:id="302"/>
      <w:bookmarkEnd w:id="303"/>
      <w:bookmarkEnd w:id="304"/>
    </w:p>
    <w:p w14:paraId="3D452EE0" w14:textId="77777777" w:rsidR="00574A88" w:rsidRPr="00105FFC" w:rsidRDefault="00574A88" w:rsidP="00574A88">
      <w:pPr>
        <w:spacing w:line="276" w:lineRule="auto"/>
        <w:rPr>
          <w:rFonts w:asciiTheme="minorHAnsi" w:eastAsia="Calibri" w:hAnsiTheme="minorHAnsi" w:cs="Tahoma"/>
          <w:sz w:val="16"/>
          <w:szCs w:val="16"/>
        </w:rPr>
      </w:pPr>
      <w:r w:rsidRPr="00105FFC">
        <w:rPr>
          <w:rFonts w:asciiTheme="minorHAnsi" w:eastAsia="Calibri" w:hAnsiTheme="minorHAnsi" w:cs="Tahoma"/>
          <w:sz w:val="16"/>
          <w:szCs w:val="16"/>
        </w:rPr>
        <w:br w:type="page"/>
      </w:r>
    </w:p>
    <w:p w14:paraId="22242F3A" w14:textId="77777777" w:rsidR="00574A88" w:rsidRPr="00105FFC" w:rsidRDefault="00574A88" w:rsidP="008D3218">
      <w:pPr>
        <w:pStyle w:val="Heading3"/>
      </w:pPr>
      <w:bookmarkStart w:id="305" w:name="_Toc459287758"/>
      <w:bookmarkStart w:id="306" w:name="_Ref346201346"/>
      <w:bookmarkStart w:id="307" w:name="_Ref347472997"/>
      <w:bookmarkStart w:id="308" w:name="_Toc336954654"/>
      <w:bookmarkStart w:id="309" w:name="_Toc336955498"/>
      <w:bookmarkStart w:id="310" w:name="_Toc344472689"/>
      <w:bookmarkStart w:id="311" w:name="_Toc349652413"/>
      <w:r w:rsidRPr="00105FFC">
        <w:t>Distribution of FFS Medi-Cal Beneficiaries, by Race/Ethnicity</w:t>
      </w:r>
      <w:bookmarkEnd w:id="305"/>
    </w:p>
    <w:p w14:paraId="61349477" w14:textId="77777777" w:rsidR="00574A88" w:rsidRPr="00105FFC" w:rsidRDefault="00574A88" w:rsidP="00574A88">
      <w:pPr>
        <w:spacing w:before="120" w:after="120" w:line="276" w:lineRule="auto"/>
        <w:rPr>
          <w:rFonts w:asciiTheme="minorHAnsi" w:eastAsia="Calibri" w:hAnsiTheme="minorHAnsi"/>
        </w:rPr>
      </w:pPr>
      <w:r w:rsidRPr="00105FFC">
        <w:rPr>
          <w:rFonts w:asciiTheme="minorHAnsi" w:eastAsia="Calibri" w:hAnsiTheme="minorHAnsi"/>
        </w:rPr>
        <w:t xml:space="preserve">Hispanic beneficiaries represented the largest </w:t>
      </w:r>
      <w:r w:rsidR="00F52551" w:rsidRPr="00105FFC">
        <w:rPr>
          <w:rFonts w:asciiTheme="minorHAnsi" w:eastAsia="Calibri" w:hAnsiTheme="minorHAnsi"/>
        </w:rPr>
        <w:t xml:space="preserve">percent of FFS participants </w:t>
      </w:r>
      <w:r w:rsidRPr="00105FFC">
        <w:rPr>
          <w:rFonts w:asciiTheme="minorHAnsi" w:eastAsia="Calibri" w:hAnsiTheme="minorHAnsi"/>
        </w:rPr>
        <w:t xml:space="preserve">in both SFY 2013-14 (52.1%) </w:t>
      </w:r>
      <w:r w:rsidR="00B47A37" w:rsidRPr="00105FFC">
        <w:rPr>
          <w:rFonts w:asciiTheme="minorHAnsi" w:eastAsia="Calibri" w:hAnsiTheme="minorHAnsi"/>
        </w:rPr>
        <w:t>and SFY</w:t>
      </w:r>
      <w:r w:rsidR="00F52551" w:rsidRPr="00105FFC">
        <w:rPr>
          <w:rFonts w:asciiTheme="minorHAnsi" w:eastAsia="Calibri" w:hAnsiTheme="minorHAnsi"/>
        </w:rPr>
        <w:t xml:space="preserve"> </w:t>
      </w:r>
      <w:r w:rsidRPr="00105FFC">
        <w:rPr>
          <w:rFonts w:asciiTheme="minorHAnsi" w:eastAsia="Calibri" w:hAnsiTheme="minorHAnsi"/>
        </w:rPr>
        <w:t xml:space="preserve">2014-15 (58.1%), followed by Non-Hispanic Whites (19.9% in </w:t>
      </w:r>
      <w:r w:rsidR="00D04B63" w:rsidRPr="00105FFC">
        <w:rPr>
          <w:rFonts w:asciiTheme="minorHAnsi" w:eastAsia="Calibri" w:hAnsiTheme="minorHAnsi"/>
        </w:rPr>
        <w:t xml:space="preserve">SFY </w:t>
      </w:r>
      <w:r w:rsidRPr="00105FFC">
        <w:rPr>
          <w:rFonts w:asciiTheme="minorHAnsi" w:eastAsia="Calibri" w:hAnsiTheme="minorHAnsi"/>
        </w:rPr>
        <w:t xml:space="preserve">2013-14 and 16.6% in </w:t>
      </w:r>
      <w:r w:rsidR="00D04B63" w:rsidRPr="00105FFC">
        <w:rPr>
          <w:rFonts w:asciiTheme="minorHAnsi" w:eastAsia="Calibri" w:hAnsiTheme="minorHAnsi"/>
        </w:rPr>
        <w:t xml:space="preserve">SFY </w:t>
      </w:r>
      <w:r w:rsidRPr="00105FFC">
        <w:rPr>
          <w:rFonts w:asciiTheme="minorHAnsi" w:eastAsia="Calibri" w:hAnsiTheme="minorHAnsi"/>
        </w:rPr>
        <w:t>2014-15</w:t>
      </w:r>
      <w:r w:rsidR="00B47A37" w:rsidRPr="00105FFC">
        <w:rPr>
          <w:rFonts w:asciiTheme="minorHAnsi" w:eastAsia="Calibri" w:hAnsiTheme="minorHAnsi"/>
        </w:rPr>
        <w:t>)</w:t>
      </w:r>
      <w:r w:rsidR="00D04B63" w:rsidRPr="00105FFC">
        <w:rPr>
          <w:rFonts w:asciiTheme="minorHAnsi" w:eastAsia="Calibri" w:hAnsiTheme="minorHAnsi"/>
        </w:rPr>
        <w:t>,</w:t>
      </w:r>
      <w:r w:rsidR="00B47A37" w:rsidRPr="00105FFC">
        <w:rPr>
          <w:rFonts w:asciiTheme="minorHAnsi" w:eastAsia="Calibri" w:hAnsiTheme="minorHAnsi"/>
        </w:rPr>
        <w:t xml:space="preserve"> African</w:t>
      </w:r>
      <w:r w:rsidR="00F52551" w:rsidRPr="00105FFC">
        <w:rPr>
          <w:rFonts w:asciiTheme="minorHAnsi" w:eastAsia="Calibri" w:hAnsiTheme="minorHAnsi"/>
        </w:rPr>
        <w:t xml:space="preserve"> Americans </w:t>
      </w:r>
      <w:r w:rsidR="00D04B63" w:rsidRPr="00105FFC">
        <w:rPr>
          <w:rFonts w:asciiTheme="minorHAnsi" w:eastAsia="Calibri" w:hAnsiTheme="minorHAnsi"/>
        </w:rPr>
        <w:t>(</w:t>
      </w:r>
      <w:r w:rsidR="00F52551" w:rsidRPr="00105FFC">
        <w:rPr>
          <w:rFonts w:asciiTheme="minorHAnsi" w:eastAsia="Calibri" w:hAnsiTheme="minorHAnsi"/>
        </w:rPr>
        <w:t>6.2%</w:t>
      </w:r>
      <w:r w:rsidR="00196479" w:rsidRPr="00105FFC">
        <w:rPr>
          <w:rFonts w:asciiTheme="minorHAnsi" w:eastAsia="Calibri" w:hAnsiTheme="minorHAnsi"/>
        </w:rPr>
        <w:t xml:space="preserve"> </w:t>
      </w:r>
      <w:r w:rsidR="00D04B63" w:rsidRPr="00105FFC">
        <w:rPr>
          <w:rFonts w:asciiTheme="minorHAnsi" w:eastAsia="Calibri" w:hAnsiTheme="minorHAnsi"/>
        </w:rPr>
        <w:t>in SFY 2013-14</w:t>
      </w:r>
      <w:r w:rsidR="00F52551" w:rsidRPr="00105FFC">
        <w:rPr>
          <w:rFonts w:asciiTheme="minorHAnsi" w:eastAsia="Calibri" w:hAnsiTheme="minorHAnsi"/>
        </w:rPr>
        <w:t xml:space="preserve"> and 5.6% </w:t>
      </w:r>
      <w:r w:rsidR="00D04B63" w:rsidRPr="00105FFC">
        <w:rPr>
          <w:rFonts w:asciiTheme="minorHAnsi" w:eastAsia="Calibri" w:hAnsiTheme="minorHAnsi"/>
        </w:rPr>
        <w:t>in SFY 2014-15</w:t>
      </w:r>
      <w:r w:rsidR="00621AE6" w:rsidRPr="00105FFC">
        <w:rPr>
          <w:rFonts w:asciiTheme="minorHAnsi" w:eastAsia="Calibri" w:hAnsiTheme="minorHAnsi"/>
        </w:rPr>
        <w:t xml:space="preserve">), and </w:t>
      </w:r>
      <w:r w:rsidR="00F52551" w:rsidRPr="00105FFC">
        <w:rPr>
          <w:rFonts w:asciiTheme="minorHAnsi" w:eastAsia="Calibri" w:hAnsiTheme="minorHAnsi"/>
        </w:rPr>
        <w:t xml:space="preserve">Asian </w:t>
      </w:r>
      <w:r w:rsidR="00621AE6" w:rsidRPr="00105FFC">
        <w:rPr>
          <w:rFonts w:asciiTheme="minorHAnsi" w:eastAsia="Calibri" w:hAnsiTheme="minorHAnsi"/>
        </w:rPr>
        <w:t>(</w:t>
      </w:r>
      <w:r w:rsidR="00F52551" w:rsidRPr="00105FFC">
        <w:rPr>
          <w:rFonts w:asciiTheme="minorHAnsi" w:eastAsia="Calibri" w:hAnsiTheme="minorHAnsi"/>
        </w:rPr>
        <w:t xml:space="preserve">10.7% </w:t>
      </w:r>
      <w:r w:rsidR="00621AE6" w:rsidRPr="00105FFC">
        <w:rPr>
          <w:rFonts w:asciiTheme="minorHAnsi" w:eastAsia="Calibri" w:hAnsiTheme="minorHAnsi"/>
        </w:rPr>
        <w:t xml:space="preserve">in SFY 2013-14 </w:t>
      </w:r>
      <w:r w:rsidR="00F52551" w:rsidRPr="00105FFC">
        <w:rPr>
          <w:rFonts w:asciiTheme="minorHAnsi" w:eastAsia="Calibri" w:hAnsiTheme="minorHAnsi"/>
        </w:rPr>
        <w:t xml:space="preserve">and 9.3% </w:t>
      </w:r>
      <w:r w:rsidR="00621AE6" w:rsidRPr="00105FFC">
        <w:rPr>
          <w:rFonts w:asciiTheme="minorHAnsi" w:eastAsia="Calibri" w:hAnsiTheme="minorHAnsi"/>
        </w:rPr>
        <w:t>in SFY 2014-15)</w:t>
      </w:r>
      <w:r w:rsidR="00F52551" w:rsidRPr="00105FFC">
        <w:rPr>
          <w:rFonts w:asciiTheme="minorHAnsi" w:eastAsia="Calibri" w:hAnsiTheme="minorHAnsi"/>
        </w:rPr>
        <w:t xml:space="preserve"> (Figure </w:t>
      </w:r>
      <w:r w:rsidR="000F06D1" w:rsidRPr="00105FFC">
        <w:rPr>
          <w:rFonts w:asciiTheme="minorHAnsi" w:eastAsia="Calibri" w:hAnsiTheme="minorHAnsi"/>
        </w:rPr>
        <w:t>29</w:t>
      </w:r>
      <w:r w:rsidR="00F52551" w:rsidRPr="00105FFC">
        <w:rPr>
          <w:rFonts w:asciiTheme="minorHAnsi" w:eastAsia="Calibri" w:hAnsiTheme="minorHAnsi"/>
        </w:rPr>
        <w:t>).</w:t>
      </w:r>
      <w:bookmarkEnd w:id="306"/>
      <w:bookmarkEnd w:id="307"/>
      <w:bookmarkEnd w:id="308"/>
      <w:bookmarkEnd w:id="309"/>
      <w:bookmarkEnd w:id="310"/>
      <w:bookmarkEnd w:id="311"/>
    </w:p>
    <w:p w14:paraId="3930959D" w14:textId="77777777" w:rsidR="00574A88" w:rsidRPr="00105FFC" w:rsidRDefault="002F06C9" w:rsidP="00574A88">
      <w:pPr>
        <w:spacing w:after="120"/>
        <w:rPr>
          <w:rFonts w:asciiTheme="minorHAnsi" w:eastAsia="Calibri" w:hAnsiTheme="minorHAnsi" w:cs="Tahoma"/>
          <w:sz w:val="16"/>
          <w:szCs w:val="16"/>
        </w:rPr>
      </w:pPr>
      <w:bookmarkStart w:id="312" w:name="_Toc458782967"/>
      <w:bookmarkStart w:id="313" w:name="_Toc459285078"/>
      <w:bookmarkStart w:id="314" w:name="_Toc459285269"/>
      <w:bookmarkStart w:id="315" w:name="_Toc459286710"/>
      <w:r w:rsidRPr="00105FFC">
        <w:rPr>
          <w:rFonts w:asciiTheme="minorHAnsi" w:eastAsia="Calibri" w:hAnsiTheme="minorHAnsi"/>
          <w:b/>
          <w:bCs/>
          <w:sz w:val="20"/>
          <w:szCs w:val="20"/>
        </w:rPr>
        <w:t xml:space="preserve">Figure </w:t>
      </w:r>
      <w:r w:rsidR="00574A88" w:rsidRPr="00105FFC">
        <w:rPr>
          <w:rFonts w:asciiTheme="minorHAnsi" w:eastAsia="Calibri" w:hAnsiTheme="minorHAnsi"/>
          <w:b/>
          <w:bCs/>
          <w:sz w:val="20"/>
          <w:szCs w:val="20"/>
        </w:rPr>
        <w:fldChar w:fldCharType="begin"/>
      </w:r>
      <w:r w:rsidR="00574A88" w:rsidRPr="00105FFC">
        <w:rPr>
          <w:rFonts w:asciiTheme="minorHAnsi" w:eastAsia="Calibri" w:hAnsiTheme="minorHAnsi"/>
          <w:b/>
          <w:bCs/>
          <w:sz w:val="20"/>
          <w:szCs w:val="20"/>
        </w:rPr>
        <w:instrText xml:space="preserve"> SEQ Figure \* ARABIC </w:instrText>
      </w:r>
      <w:r w:rsidR="00574A88" w:rsidRPr="00105FFC">
        <w:rPr>
          <w:rFonts w:asciiTheme="minorHAnsi" w:eastAsia="Calibri" w:hAnsiTheme="minorHAnsi"/>
          <w:b/>
          <w:bCs/>
          <w:sz w:val="20"/>
          <w:szCs w:val="20"/>
        </w:rPr>
        <w:fldChar w:fldCharType="separate"/>
      </w:r>
      <w:r w:rsidR="000E1B8E">
        <w:rPr>
          <w:rFonts w:asciiTheme="minorHAnsi" w:eastAsia="Calibri" w:hAnsiTheme="minorHAnsi"/>
          <w:b/>
          <w:bCs/>
          <w:noProof/>
          <w:sz w:val="20"/>
          <w:szCs w:val="20"/>
        </w:rPr>
        <w:t>29</w:t>
      </w:r>
      <w:r w:rsidR="00574A88" w:rsidRPr="00105FFC">
        <w:rPr>
          <w:rFonts w:asciiTheme="minorHAnsi" w:eastAsia="Calibri" w:hAnsiTheme="minorHAnsi"/>
          <w:b/>
          <w:bCs/>
          <w:sz w:val="20"/>
          <w:szCs w:val="20"/>
        </w:rPr>
        <w:fldChar w:fldCharType="end"/>
      </w:r>
      <w:r w:rsidR="00574A88" w:rsidRPr="00105FFC">
        <w:rPr>
          <w:rFonts w:asciiTheme="minorHAnsi" w:eastAsia="Calibri" w:hAnsiTheme="minorHAnsi"/>
          <w:b/>
          <w:bCs/>
          <w:sz w:val="20"/>
          <w:szCs w:val="20"/>
        </w:rPr>
        <w:t>:</w:t>
      </w:r>
      <w:r w:rsidR="00574A88" w:rsidRPr="00105FFC">
        <w:rPr>
          <w:rFonts w:asciiTheme="minorHAnsi" w:eastAsia="Calibri" w:hAnsiTheme="minorHAnsi"/>
          <w:bCs/>
          <w:sz w:val="20"/>
          <w:szCs w:val="20"/>
        </w:rPr>
        <w:t xml:space="preserve"> Distribution of FFS Medi-Cal Beneficiaries Certified Eligible for at Least 11 Months in SFYs 2013-14 and 2014-15, by Race/Ethnicity</w:t>
      </w:r>
      <w:r w:rsidR="00574A88" w:rsidRPr="00105FFC">
        <w:rPr>
          <w:rFonts w:asciiTheme="minorHAnsi" w:eastAsia="Calibri" w:hAnsiTheme="minorHAnsi"/>
          <w:b/>
          <w:bCs/>
          <w:color w:val="5B9BD5"/>
          <w:sz w:val="20"/>
          <w:szCs w:val="20"/>
        </w:rPr>
        <w:t xml:space="preserve"> </w:t>
      </w:r>
      <w:r w:rsidR="00574A88" w:rsidRPr="00105FFC">
        <w:rPr>
          <w:rFonts w:asciiTheme="minorHAnsi" w:eastAsia="Calibri" w:hAnsiTheme="minorHAnsi"/>
          <w:b/>
          <w:bCs/>
          <w:noProof/>
          <w:color w:val="5B9BD5"/>
          <w:szCs w:val="18"/>
        </w:rPr>
        <w:drawing>
          <wp:inline distT="0" distB="0" distL="0" distR="0" wp14:anchorId="7232CE2C" wp14:editId="221C565D">
            <wp:extent cx="5958673" cy="3195376"/>
            <wp:effectExtent l="0" t="0" r="4445" b="5080"/>
            <wp:docPr id="60" name="Chart 60" descr="Total Population Size: 2013-14 1,605,753; 2014-15 1,520,144&#10;&#10;Hispanic: 2013-14 52.1%; 2014-15 58.1%&#10;&#10;White: 2013-14 19.9%; 2014-15 16.6%&#10;&#10;Not Reported: 2013-14 10.8%; 2014-15 10.1%&#10;&#10;African-American: 2013-14 6.2%; 2014-15 5.6%&#10;&#10;Asian: 2013-14 10.7%; 2014-15 9.3%&#10;&#10;AI/AN: 2013-14 0.3%; 2014-15 0.4%&#10;" title="Distribution of FFS Medi-Cal Beneficiaries Certified Eligible for at Least 11 Months in SFYs 2013-14 and 2014-15,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574A88" w:rsidRPr="00105FFC">
        <w:rPr>
          <w:rFonts w:asciiTheme="minorHAnsi" w:eastAsia="Calibri" w:hAnsiTheme="minorHAnsi" w:cs="Tahoma"/>
          <w:b/>
          <w:sz w:val="16"/>
          <w:szCs w:val="16"/>
        </w:rPr>
        <w:t>Source:</w:t>
      </w:r>
      <w:r w:rsidR="00574A88" w:rsidRPr="00105FFC">
        <w:rPr>
          <w:rFonts w:asciiTheme="minorHAnsi" w:eastAsia="Calibri" w:hAnsiTheme="minorHAnsi" w:cs="Tahoma"/>
          <w:sz w:val="16"/>
          <w:szCs w:val="16"/>
        </w:rPr>
        <w:t xml:space="preserve"> Created by DHCS Research and Analytic Studies Division using data from the Medi-Cal Management Information System/Decision Support System (MIS/DSS) eligibility tables with dates of eligibility from July 2013–June 2015. Data were extracted from the MIS/DSS 12 months after the corresponding time period to allow for updates to enrollment.</w:t>
      </w:r>
      <w:bookmarkEnd w:id="312"/>
      <w:bookmarkEnd w:id="313"/>
      <w:bookmarkEnd w:id="314"/>
      <w:bookmarkEnd w:id="315"/>
    </w:p>
    <w:p w14:paraId="17E86F98" w14:textId="77777777" w:rsidR="00574A88" w:rsidRPr="00105FFC" w:rsidRDefault="00574A88" w:rsidP="00574A88">
      <w:pPr>
        <w:spacing w:line="276" w:lineRule="auto"/>
        <w:rPr>
          <w:rFonts w:asciiTheme="minorHAnsi" w:eastAsia="Calibri" w:hAnsiTheme="minorHAnsi" w:cs="Tahoma"/>
          <w:sz w:val="16"/>
          <w:szCs w:val="16"/>
        </w:rPr>
      </w:pPr>
      <w:r w:rsidRPr="00105FFC">
        <w:rPr>
          <w:rFonts w:asciiTheme="minorHAnsi" w:eastAsia="Calibri" w:hAnsiTheme="minorHAnsi" w:cs="Tahoma"/>
          <w:sz w:val="16"/>
          <w:szCs w:val="16"/>
        </w:rPr>
        <w:br w:type="page"/>
      </w:r>
    </w:p>
    <w:p w14:paraId="4B0DDF9A" w14:textId="77777777" w:rsidR="00574A88" w:rsidRPr="00105FFC" w:rsidRDefault="00574A88" w:rsidP="008D3218">
      <w:pPr>
        <w:pStyle w:val="Heading3"/>
      </w:pPr>
      <w:bookmarkStart w:id="316" w:name="_Toc459287759"/>
      <w:bookmarkStart w:id="317" w:name="_Ref337213914"/>
      <w:bookmarkStart w:id="318" w:name="_Toc336954653"/>
      <w:bookmarkStart w:id="319" w:name="_Toc336955497"/>
      <w:bookmarkStart w:id="320" w:name="_Toc344472688"/>
      <w:bookmarkStart w:id="321" w:name="_Toc349652412"/>
      <w:r w:rsidRPr="00105FFC">
        <w:t>Distribution of FFS Medi-Cal Beneficiaries, by Primary Language Spoken</w:t>
      </w:r>
      <w:bookmarkEnd w:id="316"/>
    </w:p>
    <w:p w14:paraId="6E47F86D" w14:textId="77777777" w:rsidR="00574A88" w:rsidRPr="00105FFC" w:rsidRDefault="00574A88" w:rsidP="00574A88">
      <w:pPr>
        <w:spacing w:before="120" w:after="120" w:line="276" w:lineRule="auto"/>
        <w:rPr>
          <w:rFonts w:asciiTheme="minorHAnsi" w:eastAsia="Calibri" w:hAnsiTheme="minorHAnsi"/>
        </w:rPr>
      </w:pPr>
      <w:r w:rsidRPr="00105FFC">
        <w:rPr>
          <w:rFonts w:asciiTheme="minorHAnsi" w:eastAsia="Calibri" w:hAnsiTheme="minorHAnsi"/>
        </w:rPr>
        <w:t>Together, Spanish (45.0%) and English (39.9%) represented the primary languages spoken by nearly 85% of the certified eligible FFS Medi-Cal population in SFY 2014-15. In SFY 2014-15</w:t>
      </w:r>
      <w:r w:rsidR="005F5BFC" w:rsidRPr="00105FFC">
        <w:rPr>
          <w:rFonts w:asciiTheme="minorHAnsi" w:eastAsia="Calibri" w:hAnsiTheme="minorHAnsi"/>
        </w:rPr>
        <w:t>,</w:t>
      </w:r>
      <w:r w:rsidRPr="00105FFC">
        <w:rPr>
          <w:rFonts w:asciiTheme="minorHAnsi" w:eastAsia="Calibri" w:hAnsiTheme="minorHAnsi"/>
        </w:rPr>
        <w:t xml:space="preserve"> these combined languages had increased</w:t>
      </w:r>
      <w:r w:rsidR="005F5BFC" w:rsidRPr="00105FFC">
        <w:rPr>
          <w:rFonts w:asciiTheme="minorHAnsi" w:eastAsia="Calibri" w:hAnsiTheme="minorHAnsi"/>
        </w:rPr>
        <w:t>,</w:t>
      </w:r>
      <w:r w:rsidRPr="00105FFC">
        <w:rPr>
          <w:rFonts w:asciiTheme="minorHAnsi" w:eastAsia="Calibri" w:hAnsiTheme="minorHAnsi"/>
        </w:rPr>
        <w:t xml:space="preserve"> and accounted for nearly 92% of th</w:t>
      </w:r>
      <w:r w:rsidR="00196479" w:rsidRPr="00105FFC">
        <w:rPr>
          <w:rFonts w:asciiTheme="minorHAnsi" w:eastAsia="Calibri" w:hAnsiTheme="minorHAnsi"/>
        </w:rPr>
        <w:t>e FFS Medi-Cal population</w:t>
      </w:r>
      <w:r w:rsidRPr="00105FFC">
        <w:rPr>
          <w:rFonts w:asciiTheme="minorHAnsi" w:eastAsia="Calibri" w:hAnsiTheme="minorHAnsi"/>
        </w:rPr>
        <w:t xml:space="preserve"> (Figure </w:t>
      </w:r>
      <w:r w:rsidR="00AF7F03" w:rsidRPr="00105FFC">
        <w:rPr>
          <w:rFonts w:asciiTheme="minorHAnsi" w:eastAsia="Calibri" w:hAnsiTheme="minorHAnsi"/>
        </w:rPr>
        <w:t>3</w:t>
      </w:r>
      <w:r w:rsidR="000F06D1" w:rsidRPr="00105FFC">
        <w:rPr>
          <w:rFonts w:asciiTheme="minorHAnsi" w:eastAsia="Calibri" w:hAnsiTheme="minorHAnsi"/>
        </w:rPr>
        <w:t>0</w:t>
      </w:r>
      <w:r w:rsidRPr="00105FFC">
        <w:rPr>
          <w:rFonts w:asciiTheme="minorHAnsi" w:eastAsia="Calibri" w:hAnsiTheme="minorHAnsi"/>
        </w:rPr>
        <w:t>).</w:t>
      </w:r>
      <w:bookmarkEnd w:id="317"/>
      <w:bookmarkEnd w:id="318"/>
      <w:bookmarkEnd w:id="319"/>
      <w:bookmarkEnd w:id="320"/>
      <w:bookmarkEnd w:id="321"/>
    </w:p>
    <w:p w14:paraId="5A125380" w14:textId="77777777" w:rsidR="005F5BFC" w:rsidRPr="00105FFC" w:rsidRDefault="002F06C9" w:rsidP="008D3218">
      <w:pPr>
        <w:spacing w:before="240" w:after="120"/>
        <w:rPr>
          <w:rFonts w:asciiTheme="minorHAnsi" w:eastAsia="Calibri" w:hAnsiTheme="minorHAnsi" w:cs="Tahoma"/>
          <w:sz w:val="20"/>
          <w:szCs w:val="20"/>
        </w:rPr>
      </w:pPr>
      <w:bookmarkStart w:id="322" w:name="_Toc458782968"/>
      <w:bookmarkStart w:id="323" w:name="_Toc459285079"/>
      <w:bookmarkStart w:id="324" w:name="_Toc459285270"/>
      <w:bookmarkStart w:id="325" w:name="_Toc459286711"/>
      <w:r w:rsidRPr="00105FFC">
        <w:rPr>
          <w:rFonts w:asciiTheme="minorHAnsi" w:eastAsia="Calibri" w:hAnsiTheme="minorHAnsi"/>
          <w:b/>
          <w:bCs/>
          <w:sz w:val="20"/>
          <w:szCs w:val="20"/>
        </w:rPr>
        <w:t xml:space="preserve">Figure </w:t>
      </w:r>
      <w:r w:rsidR="00574A88" w:rsidRPr="00105FFC">
        <w:rPr>
          <w:rFonts w:asciiTheme="minorHAnsi" w:eastAsia="Calibri" w:hAnsiTheme="minorHAnsi"/>
          <w:b/>
          <w:bCs/>
          <w:sz w:val="20"/>
          <w:szCs w:val="20"/>
        </w:rPr>
        <w:fldChar w:fldCharType="begin"/>
      </w:r>
      <w:r w:rsidR="00574A88" w:rsidRPr="00105FFC">
        <w:rPr>
          <w:rFonts w:asciiTheme="minorHAnsi" w:eastAsia="Calibri" w:hAnsiTheme="minorHAnsi"/>
          <w:b/>
          <w:bCs/>
          <w:sz w:val="20"/>
          <w:szCs w:val="20"/>
        </w:rPr>
        <w:instrText xml:space="preserve"> SEQ Figure \* ARABIC </w:instrText>
      </w:r>
      <w:r w:rsidR="00574A88" w:rsidRPr="00105FFC">
        <w:rPr>
          <w:rFonts w:asciiTheme="minorHAnsi" w:eastAsia="Calibri" w:hAnsiTheme="minorHAnsi"/>
          <w:b/>
          <w:bCs/>
          <w:sz w:val="20"/>
          <w:szCs w:val="20"/>
        </w:rPr>
        <w:fldChar w:fldCharType="separate"/>
      </w:r>
      <w:r w:rsidR="000E1B8E">
        <w:rPr>
          <w:rFonts w:asciiTheme="minorHAnsi" w:eastAsia="Calibri" w:hAnsiTheme="minorHAnsi"/>
          <w:b/>
          <w:bCs/>
          <w:noProof/>
          <w:sz w:val="20"/>
          <w:szCs w:val="20"/>
        </w:rPr>
        <w:t>30</w:t>
      </w:r>
      <w:r w:rsidR="00574A88" w:rsidRPr="00105FFC">
        <w:rPr>
          <w:rFonts w:asciiTheme="minorHAnsi" w:eastAsia="Calibri" w:hAnsiTheme="minorHAnsi"/>
          <w:b/>
          <w:bCs/>
          <w:sz w:val="20"/>
          <w:szCs w:val="20"/>
        </w:rPr>
        <w:fldChar w:fldCharType="end"/>
      </w:r>
      <w:r w:rsidR="00574A88" w:rsidRPr="00105FFC">
        <w:rPr>
          <w:rFonts w:asciiTheme="minorHAnsi" w:eastAsia="Calibri" w:hAnsiTheme="minorHAnsi"/>
          <w:b/>
          <w:bCs/>
          <w:sz w:val="20"/>
          <w:szCs w:val="20"/>
        </w:rPr>
        <w:t>:</w:t>
      </w:r>
      <w:r w:rsidR="00574A88" w:rsidRPr="00105FFC">
        <w:rPr>
          <w:rFonts w:asciiTheme="minorHAnsi" w:eastAsia="Calibri" w:hAnsiTheme="minorHAnsi"/>
          <w:bCs/>
          <w:sz w:val="20"/>
          <w:szCs w:val="20"/>
        </w:rPr>
        <w:t xml:space="preserve"> Distribution of FFS Medi-Cal Beneficiaries Certified Eligible for at Least 11 Months in SFYs 2013-14 and 2014-15, by Primary Language Spoken</w:t>
      </w:r>
      <w:r w:rsidR="00574A88" w:rsidRPr="00105FFC">
        <w:rPr>
          <w:rFonts w:asciiTheme="minorHAnsi" w:eastAsia="Calibri" w:hAnsiTheme="minorHAnsi"/>
          <w:b/>
          <w:bCs/>
          <w:color w:val="5B9BD5"/>
          <w:sz w:val="20"/>
          <w:szCs w:val="20"/>
        </w:rPr>
        <w:t xml:space="preserve"> </w:t>
      </w:r>
      <w:r w:rsidR="00574A88" w:rsidRPr="00105FFC">
        <w:rPr>
          <w:rFonts w:asciiTheme="minorHAnsi" w:eastAsia="Calibri" w:hAnsiTheme="minorHAnsi"/>
          <w:b/>
          <w:bCs/>
          <w:noProof/>
          <w:color w:val="5B9BD5"/>
          <w:szCs w:val="18"/>
        </w:rPr>
        <w:drawing>
          <wp:inline distT="0" distB="0" distL="0" distR="0" wp14:anchorId="3429E250" wp14:editId="45DBD733">
            <wp:extent cx="5938576" cy="3195376"/>
            <wp:effectExtent l="0" t="0" r="5080" b="5080"/>
            <wp:docPr id="61" name="Chart 61" descr="Total Population Size: 2013-14 1,605,753; 2014-15 1,520,144&#10;&#10;Other: 2013-14 10.6%; 2014-15 5.9%&#10;Unknown: 2013-14 4.6%; 2014-15 2.5%&#10;English: 2013-14 39.9%; 2014-15 41.9%&#10;Spanish: 2013-14 45.0%; 2014-15 49.7%&#10;" title="Distribution of FFS Medi-Cal Beneficiaries Certified Eligible for at Least 11 Months in SFYs 2013-14 and 2014-15, by Primary Language Spoke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574A88" w:rsidRPr="00105FFC">
        <w:rPr>
          <w:rFonts w:asciiTheme="minorHAnsi" w:eastAsia="Calibri" w:hAnsiTheme="minorHAnsi" w:cs="Tahoma"/>
          <w:b/>
          <w:sz w:val="16"/>
          <w:szCs w:val="16"/>
        </w:rPr>
        <w:t>Source:</w:t>
      </w:r>
      <w:r w:rsidR="00574A88" w:rsidRPr="00105FFC">
        <w:rPr>
          <w:rFonts w:asciiTheme="minorHAnsi" w:eastAsia="Calibri" w:hAnsiTheme="minorHAnsi" w:cs="Tahoma"/>
          <w:sz w:val="16"/>
          <w:szCs w:val="16"/>
        </w:rPr>
        <w:t xml:space="preserve"> Created by DHCS Research and Analytic Studies Division using data from the Medi-Cal Management Information System/Decision Support System (MIS/DSS) eligibility tables with dates of eligibility from July 2013-June 2015. Data were extracted from the MIS/DSS 12 months after the corresponding time period to allow for updates to enrollment.</w:t>
      </w:r>
      <w:bookmarkEnd w:id="322"/>
      <w:bookmarkEnd w:id="323"/>
      <w:bookmarkEnd w:id="324"/>
      <w:bookmarkEnd w:id="325"/>
    </w:p>
    <w:p w14:paraId="0C1A308B" w14:textId="77777777" w:rsidR="005F5BFC" w:rsidRPr="00105FFC" w:rsidRDefault="005F5BFC" w:rsidP="00196479">
      <w:pPr>
        <w:rPr>
          <w:rFonts w:asciiTheme="minorHAnsi" w:eastAsia="Calibri" w:hAnsiTheme="minorHAnsi" w:cs="Tahoma"/>
          <w:sz w:val="20"/>
          <w:szCs w:val="20"/>
        </w:rPr>
      </w:pPr>
    </w:p>
    <w:p w14:paraId="63C4EC35" w14:textId="77777777" w:rsidR="00035AE5" w:rsidRPr="00105FFC" w:rsidRDefault="00035AE5" w:rsidP="008D3218">
      <w:pPr>
        <w:pStyle w:val="Heading3"/>
        <w:spacing w:before="0"/>
        <w:rPr>
          <w:rFonts w:eastAsia="Calibri"/>
        </w:rPr>
      </w:pPr>
      <w:bookmarkStart w:id="326" w:name="_Toc459287760"/>
      <w:r w:rsidRPr="00105FFC">
        <w:rPr>
          <w:rFonts w:eastAsia="Calibri"/>
        </w:rPr>
        <w:t>Conclusion</w:t>
      </w:r>
      <w:bookmarkEnd w:id="326"/>
    </w:p>
    <w:p w14:paraId="14A69170" w14:textId="77777777" w:rsidR="008D3218" w:rsidRPr="00105FFC" w:rsidRDefault="008D3218" w:rsidP="008D3218">
      <w:pPr>
        <w:rPr>
          <w:rFonts w:asciiTheme="minorHAnsi" w:eastAsia="Calibri" w:hAnsiTheme="minorHAnsi"/>
        </w:rPr>
      </w:pPr>
    </w:p>
    <w:p w14:paraId="5526238B" w14:textId="77777777" w:rsidR="005F5BFC" w:rsidRPr="00105FFC" w:rsidRDefault="00D85851" w:rsidP="00196479">
      <w:pPr>
        <w:rPr>
          <w:rFonts w:asciiTheme="minorHAnsi" w:eastAsia="Calibri" w:hAnsiTheme="minorHAnsi"/>
        </w:rPr>
      </w:pPr>
      <w:r w:rsidRPr="00105FFC">
        <w:rPr>
          <w:rFonts w:asciiTheme="minorHAnsi" w:eastAsia="Calibri" w:hAnsiTheme="minorHAnsi"/>
        </w:rPr>
        <w:t xml:space="preserve">There are a number of notable findings based on the review and evaluation of Medi-Cal’s FFS participant population.  </w:t>
      </w:r>
      <w:r w:rsidR="004E4BDD" w:rsidRPr="00105FFC">
        <w:rPr>
          <w:rFonts w:asciiTheme="minorHAnsi" w:eastAsia="Calibri" w:hAnsiTheme="minorHAnsi"/>
        </w:rPr>
        <w:t>These finding will influence how access measures are evaluated and interpreted</w:t>
      </w:r>
      <w:r w:rsidR="000C72D3" w:rsidRPr="00105FFC">
        <w:rPr>
          <w:rFonts w:asciiTheme="minorHAnsi" w:eastAsia="Calibri" w:hAnsiTheme="minorHAnsi"/>
        </w:rPr>
        <w:t xml:space="preserve">, and </w:t>
      </w:r>
      <w:r w:rsidR="005C74E7" w:rsidRPr="00105FFC">
        <w:rPr>
          <w:rFonts w:asciiTheme="minorHAnsi" w:eastAsia="Calibri" w:hAnsiTheme="minorHAnsi"/>
        </w:rPr>
        <w:t>will</w:t>
      </w:r>
      <w:r w:rsidR="000C72D3" w:rsidRPr="00105FFC">
        <w:rPr>
          <w:rFonts w:asciiTheme="minorHAnsi" w:eastAsia="Calibri" w:hAnsiTheme="minorHAnsi"/>
        </w:rPr>
        <w:t xml:space="preserve"> guide further data analysis</w:t>
      </w:r>
      <w:r w:rsidR="004E4BDD" w:rsidRPr="00105FFC">
        <w:rPr>
          <w:rFonts w:asciiTheme="minorHAnsi" w:eastAsia="Calibri" w:hAnsiTheme="minorHAnsi"/>
        </w:rPr>
        <w:t xml:space="preserve">.  </w:t>
      </w:r>
    </w:p>
    <w:p w14:paraId="332E6BA1" w14:textId="77777777" w:rsidR="005F5BFC" w:rsidRPr="00105FFC" w:rsidRDefault="005F5BFC" w:rsidP="00196479">
      <w:pPr>
        <w:rPr>
          <w:rFonts w:asciiTheme="minorHAnsi" w:eastAsia="Calibri" w:hAnsiTheme="minorHAnsi"/>
        </w:rPr>
      </w:pPr>
    </w:p>
    <w:p w14:paraId="16E3DB0E" w14:textId="77777777" w:rsidR="005F5BFC" w:rsidRPr="00105FFC" w:rsidRDefault="005F5BFC" w:rsidP="00B47A37">
      <w:pPr>
        <w:pStyle w:val="ListParagraph"/>
        <w:numPr>
          <w:ilvl w:val="0"/>
          <w:numId w:val="24"/>
        </w:numPr>
        <w:spacing w:after="120"/>
        <w:rPr>
          <w:rFonts w:asciiTheme="minorHAnsi" w:eastAsia="Calibri" w:hAnsiTheme="minorHAnsi" w:cs="Tahoma"/>
          <w:bCs/>
          <w:color w:val="5B9BD5"/>
        </w:rPr>
      </w:pPr>
      <w:r w:rsidRPr="00105FFC">
        <w:rPr>
          <w:rFonts w:asciiTheme="minorHAnsi" w:eastAsiaTheme="minorHAnsi" w:hAnsiTheme="minorHAnsi" w:cs="Tahoma"/>
        </w:rPr>
        <w:t>The predominate population remaining in Medi-Cal’s FFS delivery system is the Undocumented</w:t>
      </w:r>
      <w:r w:rsidR="00256F0A" w:rsidRPr="00105FFC">
        <w:rPr>
          <w:rFonts w:asciiTheme="minorHAnsi" w:eastAsiaTheme="minorHAnsi" w:hAnsiTheme="minorHAnsi" w:cs="Tahoma"/>
        </w:rPr>
        <w:t>, which accounted for 46</w:t>
      </w:r>
      <w:r w:rsidR="00C06086" w:rsidRPr="00105FFC">
        <w:rPr>
          <w:rFonts w:asciiTheme="minorHAnsi" w:eastAsiaTheme="minorHAnsi" w:hAnsiTheme="minorHAnsi" w:cs="Tahoma"/>
        </w:rPr>
        <w:t>.0</w:t>
      </w:r>
      <w:r w:rsidR="00256F0A" w:rsidRPr="00105FFC">
        <w:rPr>
          <w:rFonts w:asciiTheme="minorHAnsi" w:eastAsiaTheme="minorHAnsi" w:hAnsiTheme="minorHAnsi" w:cs="Tahoma"/>
        </w:rPr>
        <w:t>% of the overall population</w:t>
      </w:r>
      <w:r w:rsidR="00C06086" w:rsidRPr="00105FFC">
        <w:rPr>
          <w:rFonts w:asciiTheme="minorHAnsi" w:eastAsiaTheme="minorHAnsi" w:hAnsiTheme="minorHAnsi" w:cs="Tahoma"/>
        </w:rPr>
        <w:t xml:space="preserve"> in SFY 2014-15</w:t>
      </w:r>
      <w:r w:rsidRPr="00105FFC">
        <w:rPr>
          <w:rFonts w:asciiTheme="minorHAnsi" w:eastAsiaTheme="minorHAnsi" w:hAnsiTheme="minorHAnsi" w:cs="Tahoma"/>
        </w:rPr>
        <w:t xml:space="preserve">.  These individuals are entitled to emergency and pregnancy related services only.  </w:t>
      </w:r>
      <w:r w:rsidR="00375D8E" w:rsidRPr="00105FFC">
        <w:rPr>
          <w:rFonts w:asciiTheme="minorHAnsi" w:eastAsiaTheme="minorHAnsi" w:hAnsiTheme="minorHAnsi" w:cs="Tahoma"/>
        </w:rPr>
        <w:t xml:space="preserve">For many within this population, the main access point into the health care system is through hospital emergency rooms.  </w:t>
      </w:r>
    </w:p>
    <w:p w14:paraId="3E575A37" w14:textId="77777777" w:rsidR="00D85851" w:rsidRPr="00105FFC" w:rsidRDefault="00D85851" w:rsidP="00B47A37">
      <w:pPr>
        <w:pStyle w:val="ListParagraph"/>
        <w:numPr>
          <w:ilvl w:val="0"/>
          <w:numId w:val="24"/>
        </w:numPr>
        <w:spacing w:after="120"/>
        <w:rPr>
          <w:rFonts w:asciiTheme="minorHAnsi" w:eastAsia="Calibri" w:hAnsiTheme="minorHAnsi" w:cs="Tahoma"/>
          <w:bCs/>
          <w:color w:val="5B9BD5"/>
        </w:rPr>
      </w:pPr>
      <w:r w:rsidRPr="00105FFC">
        <w:rPr>
          <w:rFonts w:asciiTheme="minorHAnsi" w:eastAsiaTheme="minorHAnsi" w:hAnsiTheme="minorHAnsi" w:cs="Tahoma"/>
        </w:rPr>
        <w:t>Hispanics constitute</w:t>
      </w:r>
      <w:r w:rsidR="00045EC3" w:rsidRPr="00105FFC">
        <w:rPr>
          <w:rFonts w:asciiTheme="minorHAnsi" w:eastAsiaTheme="minorHAnsi" w:hAnsiTheme="minorHAnsi" w:cs="Tahoma"/>
        </w:rPr>
        <w:t>d</w:t>
      </w:r>
      <w:r w:rsidRPr="00105FFC">
        <w:rPr>
          <w:rFonts w:asciiTheme="minorHAnsi" w:eastAsiaTheme="minorHAnsi" w:hAnsiTheme="minorHAnsi" w:cs="Tahoma"/>
        </w:rPr>
        <w:t xml:space="preserve"> roughly </w:t>
      </w:r>
      <w:r w:rsidR="00116D8C" w:rsidRPr="00105FFC">
        <w:rPr>
          <w:rFonts w:asciiTheme="minorHAnsi" w:eastAsiaTheme="minorHAnsi" w:hAnsiTheme="minorHAnsi" w:cs="Tahoma"/>
        </w:rPr>
        <w:t>60% of the FFS population.  The</w:t>
      </w:r>
      <w:r w:rsidRPr="00105FFC">
        <w:rPr>
          <w:rFonts w:asciiTheme="minorHAnsi" w:eastAsiaTheme="minorHAnsi" w:hAnsiTheme="minorHAnsi" w:cs="Tahoma"/>
        </w:rPr>
        <w:t xml:space="preserve"> percent of the population identifying as Hispanic has risen between SFY 2013-14 and SFY 2014-15.  This is the result of the continued transformation of Medi-Cal’s delivery system from FFS to managed care.  As additional populations</w:t>
      </w:r>
      <w:r w:rsidR="00823A32" w:rsidRPr="00105FFC">
        <w:rPr>
          <w:rFonts w:asciiTheme="minorHAnsi" w:eastAsiaTheme="minorHAnsi" w:hAnsiTheme="minorHAnsi" w:cs="Tahoma"/>
        </w:rPr>
        <w:t xml:space="preserve"> not classified as Undocumented</w:t>
      </w:r>
      <w:r w:rsidRPr="00105FFC">
        <w:rPr>
          <w:rFonts w:asciiTheme="minorHAnsi" w:eastAsiaTheme="minorHAnsi" w:hAnsiTheme="minorHAnsi" w:cs="Tahoma"/>
        </w:rPr>
        <w:t xml:space="preserve"> are transitioned from FFS to managed care, the characteristics of the predominate subgroup (i.e. Undocumented) begins to influence the ethnic characteristics.  Roughly </w:t>
      </w:r>
      <w:r w:rsidR="00196479" w:rsidRPr="00105FFC">
        <w:rPr>
          <w:rFonts w:asciiTheme="minorHAnsi" w:eastAsiaTheme="minorHAnsi" w:hAnsiTheme="minorHAnsi" w:cs="Tahoma"/>
        </w:rPr>
        <w:t>85</w:t>
      </w:r>
      <w:r w:rsidRPr="00105FFC">
        <w:rPr>
          <w:rFonts w:asciiTheme="minorHAnsi" w:eastAsiaTheme="minorHAnsi" w:hAnsiTheme="minorHAnsi" w:cs="Tahoma"/>
        </w:rPr>
        <w:t>% of the Undocumented su</w:t>
      </w:r>
      <w:r w:rsidR="00116D8C" w:rsidRPr="00105FFC">
        <w:rPr>
          <w:rFonts w:asciiTheme="minorHAnsi" w:eastAsiaTheme="minorHAnsi" w:hAnsiTheme="minorHAnsi" w:cs="Tahoma"/>
        </w:rPr>
        <w:t>bgroup is classified as Hispanic</w:t>
      </w:r>
      <w:r w:rsidRPr="00105FFC">
        <w:rPr>
          <w:rFonts w:asciiTheme="minorHAnsi" w:eastAsiaTheme="minorHAnsi" w:hAnsiTheme="minorHAnsi" w:cs="Tahoma"/>
        </w:rPr>
        <w:t xml:space="preserve">. </w:t>
      </w:r>
    </w:p>
    <w:p w14:paraId="382CB750" w14:textId="77777777" w:rsidR="005F5BFC" w:rsidRPr="00105FFC" w:rsidRDefault="005F5BFC" w:rsidP="00B47A37">
      <w:pPr>
        <w:pStyle w:val="ListParagraph"/>
        <w:numPr>
          <w:ilvl w:val="0"/>
          <w:numId w:val="24"/>
        </w:numPr>
        <w:spacing w:after="120"/>
        <w:rPr>
          <w:rFonts w:asciiTheme="minorHAnsi" w:eastAsia="Calibri" w:hAnsiTheme="minorHAnsi" w:cs="Tahoma"/>
          <w:bCs/>
          <w:color w:val="5B9BD5"/>
        </w:rPr>
      </w:pPr>
      <w:r w:rsidRPr="00105FFC">
        <w:rPr>
          <w:rFonts w:asciiTheme="minorHAnsi" w:eastAsiaTheme="minorHAnsi" w:hAnsiTheme="minorHAnsi" w:cs="Tahoma"/>
        </w:rPr>
        <w:t xml:space="preserve">Medi-Cal’s dual eligible population has declined among the FFS population with the implementation of the CCI in 2014.  </w:t>
      </w:r>
      <w:r w:rsidR="00D85851" w:rsidRPr="00105FFC">
        <w:rPr>
          <w:rFonts w:asciiTheme="minorHAnsi" w:eastAsiaTheme="minorHAnsi" w:hAnsiTheme="minorHAnsi" w:cs="Tahoma"/>
        </w:rPr>
        <w:t>Medi-Cal’s CCI transitioned dually eligible individuals from FFS to Medi-Cal managed care health plans.</w:t>
      </w:r>
      <w:r w:rsidR="004D363F" w:rsidRPr="00105FFC">
        <w:rPr>
          <w:rFonts w:asciiTheme="minorHAnsi" w:eastAsiaTheme="minorHAnsi" w:hAnsiTheme="minorHAnsi" w:cs="Tahoma"/>
        </w:rPr>
        <w:t xml:space="preserve">  In addition, the implementation of </w:t>
      </w:r>
      <w:r w:rsidR="00C06086" w:rsidRPr="00105FFC">
        <w:rPr>
          <w:rFonts w:asciiTheme="minorHAnsi" w:eastAsiaTheme="minorHAnsi" w:hAnsiTheme="minorHAnsi" w:cs="Tahoma"/>
        </w:rPr>
        <w:t>COHS</w:t>
      </w:r>
      <w:r w:rsidR="004D363F" w:rsidRPr="00105FFC">
        <w:rPr>
          <w:rFonts w:asciiTheme="minorHAnsi" w:eastAsiaTheme="minorHAnsi" w:hAnsiTheme="minorHAnsi" w:cs="Tahoma"/>
        </w:rPr>
        <w:t xml:space="preserve"> in various counties has influenced this outcome, as dually eligible individuals in such counties generally transition from FFS to managed care.</w:t>
      </w:r>
    </w:p>
    <w:p w14:paraId="26814EE8" w14:textId="77777777" w:rsidR="005F5BFC" w:rsidRPr="00105FFC" w:rsidRDefault="005F5BFC" w:rsidP="00B47A37">
      <w:pPr>
        <w:pStyle w:val="ListParagraph"/>
        <w:numPr>
          <w:ilvl w:val="0"/>
          <w:numId w:val="24"/>
        </w:numPr>
        <w:spacing w:after="120"/>
        <w:rPr>
          <w:rFonts w:asciiTheme="minorHAnsi" w:eastAsia="Calibri" w:hAnsiTheme="minorHAnsi" w:cs="Tahoma"/>
          <w:bCs/>
          <w:color w:val="5B9BD5"/>
        </w:rPr>
      </w:pPr>
      <w:r w:rsidRPr="00105FFC">
        <w:rPr>
          <w:rFonts w:asciiTheme="minorHAnsi" w:eastAsiaTheme="minorHAnsi" w:hAnsiTheme="minorHAnsi" w:cs="Tahoma"/>
        </w:rPr>
        <w:t xml:space="preserve">Similarly, Medi-Cal </w:t>
      </w:r>
      <w:r w:rsidR="00C06086" w:rsidRPr="00105FFC">
        <w:rPr>
          <w:rFonts w:asciiTheme="minorHAnsi" w:eastAsiaTheme="minorHAnsi" w:hAnsiTheme="minorHAnsi" w:cs="Tahoma"/>
        </w:rPr>
        <w:t>SPDs</w:t>
      </w:r>
      <w:r w:rsidRPr="00105FFC">
        <w:rPr>
          <w:rFonts w:asciiTheme="minorHAnsi" w:eastAsiaTheme="minorHAnsi" w:hAnsiTheme="minorHAnsi" w:cs="Tahoma"/>
        </w:rPr>
        <w:t xml:space="preserve">, which represents </w:t>
      </w:r>
      <w:r w:rsidR="00A73617" w:rsidRPr="00105FFC">
        <w:rPr>
          <w:rFonts w:asciiTheme="minorHAnsi" w:eastAsiaTheme="minorHAnsi" w:hAnsiTheme="minorHAnsi" w:cs="Tahoma"/>
        </w:rPr>
        <w:t>one</w:t>
      </w:r>
      <w:r w:rsidRPr="00105FFC">
        <w:rPr>
          <w:rFonts w:asciiTheme="minorHAnsi" w:eastAsiaTheme="minorHAnsi" w:hAnsiTheme="minorHAnsi" w:cs="Tahoma"/>
        </w:rPr>
        <w:t xml:space="preserve"> of Medi-Cal’s most costly and medically challenging populations, has also declined within the FFS delivery system.  The</w:t>
      </w:r>
      <w:r w:rsidR="00292FAF" w:rsidRPr="00105FFC">
        <w:rPr>
          <w:rFonts w:asciiTheme="minorHAnsi" w:eastAsiaTheme="minorHAnsi" w:hAnsiTheme="minorHAnsi" w:cs="Tahoma"/>
        </w:rPr>
        <w:t>y</w:t>
      </w:r>
      <w:r w:rsidRPr="00105FFC">
        <w:rPr>
          <w:rFonts w:asciiTheme="minorHAnsi" w:eastAsiaTheme="minorHAnsi" w:hAnsiTheme="minorHAnsi" w:cs="Tahoma"/>
        </w:rPr>
        <w:t xml:space="preserve"> now constitute roughly 4% of the FFS population.</w:t>
      </w:r>
      <w:r w:rsidR="00A73617" w:rsidRPr="00105FFC">
        <w:rPr>
          <w:rFonts w:asciiTheme="minorHAnsi" w:eastAsiaTheme="minorHAnsi" w:hAnsiTheme="minorHAnsi" w:cs="Tahoma"/>
        </w:rPr>
        <w:t xml:space="preserve">  </w:t>
      </w:r>
      <w:r w:rsidR="005D7B8C" w:rsidRPr="00105FFC">
        <w:rPr>
          <w:rFonts w:asciiTheme="minorHAnsi" w:eastAsiaTheme="minorHAnsi" w:hAnsiTheme="minorHAnsi" w:cs="Tahoma"/>
        </w:rPr>
        <w:t>Members of the SPD subpopulation are generally in need of complex health care services and many require access to multiple specialists.</w:t>
      </w:r>
      <w:r w:rsidR="009E446B" w:rsidRPr="00105FFC">
        <w:rPr>
          <w:rFonts w:asciiTheme="minorHAnsi" w:eastAsiaTheme="minorHAnsi" w:hAnsiTheme="minorHAnsi" w:cs="Tahoma"/>
        </w:rPr>
        <w:t xml:space="preserve">  Individuals within this group may also have received a medical exemption because they are undergoing treatment for a complex medical condition and have a relationship with a provider that is not part of a contracting Medi-Cal managed care plan.</w:t>
      </w:r>
      <w:r w:rsidR="005D7B8C" w:rsidRPr="00105FFC">
        <w:rPr>
          <w:rFonts w:asciiTheme="minorHAnsi" w:eastAsiaTheme="minorHAnsi" w:hAnsiTheme="minorHAnsi" w:cs="Tahoma"/>
        </w:rPr>
        <w:t xml:space="preserve">  </w:t>
      </w:r>
    </w:p>
    <w:p w14:paraId="49BCE1C3" w14:textId="77777777" w:rsidR="00292FAF" w:rsidRPr="00105FFC" w:rsidRDefault="005F5BFC" w:rsidP="00B47A37">
      <w:pPr>
        <w:pStyle w:val="ListParagraph"/>
        <w:numPr>
          <w:ilvl w:val="0"/>
          <w:numId w:val="24"/>
        </w:numPr>
        <w:spacing w:after="120"/>
        <w:rPr>
          <w:rFonts w:asciiTheme="minorHAnsi" w:eastAsia="Calibri" w:hAnsiTheme="minorHAnsi" w:cs="Tahoma"/>
          <w:bCs/>
          <w:color w:val="5B9BD5"/>
        </w:rPr>
      </w:pPr>
      <w:r w:rsidRPr="00105FFC">
        <w:rPr>
          <w:rFonts w:asciiTheme="minorHAnsi" w:eastAsiaTheme="minorHAnsi" w:hAnsiTheme="minorHAnsi" w:cs="Tahoma"/>
        </w:rPr>
        <w:t xml:space="preserve">Females represent roughly 60% of the FFS population.  This is a consequence of the Undocumented population and also presumptive pregnancy eligibility pathways.  </w:t>
      </w:r>
    </w:p>
    <w:p w14:paraId="6E2DDA9E" w14:textId="77777777" w:rsidR="00292FAF" w:rsidRPr="00105FFC" w:rsidRDefault="00292FAF" w:rsidP="00B47A37">
      <w:pPr>
        <w:pStyle w:val="ListParagraph"/>
        <w:numPr>
          <w:ilvl w:val="0"/>
          <w:numId w:val="24"/>
        </w:numPr>
        <w:spacing w:after="120"/>
        <w:rPr>
          <w:rFonts w:asciiTheme="minorHAnsi" w:eastAsia="Calibri" w:hAnsiTheme="minorHAnsi" w:cs="Tahoma"/>
          <w:bCs/>
          <w:color w:val="5B9BD5"/>
        </w:rPr>
      </w:pPr>
      <w:r w:rsidRPr="00105FFC">
        <w:rPr>
          <w:rFonts w:asciiTheme="minorHAnsi" w:eastAsiaTheme="minorHAnsi" w:hAnsiTheme="minorHAnsi" w:cs="Tahoma"/>
        </w:rPr>
        <w:t xml:space="preserve">The dominate age group </w:t>
      </w:r>
      <w:r w:rsidR="002D45B8" w:rsidRPr="00105FFC">
        <w:rPr>
          <w:rFonts w:asciiTheme="minorHAnsi" w:eastAsiaTheme="minorHAnsi" w:hAnsiTheme="minorHAnsi" w:cs="Tahoma"/>
        </w:rPr>
        <w:t>is 19 to</w:t>
      </w:r>
      <w:r w:rsidRPr="00105FFC">
        <w:rPr>
          <w:rFonts w:asciiTheme="minorHAnsi" w:eastAsiaTheme="minorHAnsi" w:hAnsiTheme="minorHAnsi" w:cs="Tahoma"/>
        </w:rPr>
        <w:t xml:space="preserve"> 64. </w:t>
      </w:r>
    </w:p>
    <w:p w14:paraId="7028C500" w14:textId="77777777" w:rsidR="00196479" w:rsidRPr="00105FFC" w:rsidRDefault="00196479" w:rsidP="00B47A37">
      <w:pPr>
        <w:pStyle w:val="ListParagraph"/>
        <w:numPr>
          <w:ilvl w:val="0"/>
          <w:numId w:val="24"/>
        </w:numPr>
        <w:spacing w:after="120"/>
        <w:rPr>
          <w:rFonts w:asciiTheme="minorHAnsi" w:eastAsia="Calibri" w:hAnsiTheme="minorHAnsi" w:cs="Tahoma"/>
          <w:bCs/>
          <w:color w:val="5B9BD5"/>
        </w:rPr>
      </w:pPr>
      <w:r w:rsidRPr="00105FFC">
        <w:rPr>
          <w:rFonts w:asciiTheme="minorHAnsi" w:eastAsiaTheme="minorHAnsi" w:hAnsiTheme="minorHAnsi" w:cs="Tahoma"/>
        </w:rPr>
        <w:t>Over half of all females</w:t>
      </w:r>
      <w:r w:rsidR="003F6219" w:rsidRPr="00105FFC">
        <w:rPr>
          <w:rFonts w:asciiTheme="minorHAnsi" w:eastAsiaTheme="minorHAnsi" w:hAnsiTheme="minorHAnsi" w:cs="Tahoma"/>
        </w:rPr>
        <w:t xml:space="preserve"> participating in FFS Medi-Cal were</w:t>
      </w:r>
      <w:r w:rsidRPr="00105FFC">
        <w:rPr>
          <w:rFonts w:asciiTheme="minorHAnsi" w:eastAsiaTheme="minorHAnsi" w:hAnsiTheme="minorHAnsi" w:cs="Tahoma"/>
        </w:rPr>
        <w:t xml:space="preserve"> of reproductive age</w:t>
      </w:r>
      <w:r w:rsidR="003F6219" w:rsidRPr="00105FFC">
        <w:rPr>
          <w:rFonts w:asciiTheme="minorHAnsi" w:eastAsiaTheme="minorHAnsi" w:hAnsiTheme="minorHAnsi" w:cs="Tahoma"/>
        </w:rPr>
        <w:t xml:space="preserve"> (</w:t>
      </w:r>
      <w:r w:rsidRPr="00105FFC">
        <w:rPr>
          <w:rFonts w:asciiTheme="minorHAnsi" w:eastAsiaTheme="minorHAnsi" w:hAnsiTheme="minorHAnsi" w:cs="Tahoma"/>
        </w:rPr>
        <w:t>ages of 15-44</w:t>
      </w:r>
      <w:r w:rsidR="003F6219" w:rsidRPr="00105FFC">
        <w:rPr>
          <w:rFonts w:asciiTheme="minorHAnsi" w:eastAsiaTheme="minorHAnsi" w:hAnsiTheme="minorHAnsi" w:cs="Tahoma"/>
        </w:rPr>
        <w:t>). Approximately, 71% of FFS Medi-Cal females of reproductive age were in the Undocumented aid code category. This necessitates a need for obstetric and gynecological care.</w:t>
      </w:r>
    </w:p>
    <w:p w14:paraId="671A7687" w14:textId="77777777" w:rsidR="00073BFC" w:rsidRPr="00105FFC" w:rsidRDefault="00292FAF" w:rsidP="00196479">
      <w:pPr>
        <w:pStyle w:val="ListParagraph"/>
        <w:numPr>
          <w:ilvl w:val="0"/>
          <w:numId w:val="24"/>
        </w:numPr>
        <w:spacing w:after="120"/>
        <w:rPr>
          <w:rFonts w:asciiTheme="minorHAnsi" w:eastAsia="Calibri" w:hAnsiTheme="minorHAnsi" w:cs="Tahoma"/>
          <w:b/>
          <w:bCs/>
          <w:color w:val="5B9BD5"/>
        </w:rPr>
      </w:pPr>
      <w:r w:rsidRPr="00105FFC">
        <w:rPr>
          <w:rFonts w:asciiTheme="minorHAnsi" w:eastAsiaTheme="minorHAnsi" w:hAnsiTheme="minorHAnsi" w:cs="Tahoma"/>
        </w:rPr>
        <w:t>Children participating in the state’s foster care system represented roughly 5% of the FFS population.  These children are especially vulnerable and have unique psycho</w:t>
      </w:r>
      <w:r w:rsidR="00B81322" w:rsidRPr="00105FFC">
        <w:rPr>
          <w:rFonts w:asciiTheme="minorHAnsi" w:eastAsiaTheme="minorHAnsi" w:hAnsiTheme="minorHAnsi" w:cs="Tahoma"/>
        </w:rPr>
        <w:t xml:space="preserve">-social </w:t>
      </w:r>
      <w:r w:rsidRPr="00105FFC">
        <w:rPr>
          <w:rFonts w:asciiTheme="minorHAnsi" w:eastAsiaTheme="minorHAnsi" w:hAnsiTheme="minorHAnsi" w:cs="Tahoma"/>
        </w:rPr>
        <w:t>and health care needs.  They may have short stays within the Medi-Cal program and may transition from one geographic region to another.</w:t>
      </w:r>
      <w:r w:rsidR="00073BFC" w:rsidRPr="00105FFC">
        <w:rPr>
          <w:rFonts w:asciiTheme="minorHAnsi" w:eastAsiaTheme="minorHAnsi" w:hAnsiTheme="minorHAnsi" w:cs="Tahoma"/>
          <w:b/>
        </w:rPr>
        <w:br w:type="page"/>
      </w:r>
    </w:p>
    <w:p w14:paraId="7D41F7AD" w14:textId="77777777" w:rsidR="00802F4A" w:rsidRPr="00105FFC" w:rsidRDefault="002A1066" w:rsidP="00802F4A">
      <w:pPr>
        <w:pStyle w:val="Heading2"/>
        <w:spacing w:before="0" w:after="120" w:line="276" w:lineRule="auto"/>
        <w:rPr>
          <w:rFonts w:asciiTheme="minorHAnsi" w:hAnsiTheme="minorHAnsi"/>
          <w:szCs w:val="32"/>
        </w:rPr>
      </w:pPr>
      <w:bookmarkStart w:id="327" w:name="_Toc459287761"/>
      <w:r w:rsidRPr="00105FFC">
        <w:rPr>
          <w:rFonts w:asciiTheme="minorHAnsi" w:hAnsiTheme="minorHAnsi"/>
          <w:color w:val="000000" w:themeColor="text1"/>
          <w:szCs w:val="32"/>
        </w:rPr>
        <w:t>Domain</w:t>
      </w:r>
      <w:r w:rsidR="00073BFC" w:rsidRPr="00105FFC">
        <w:rPr>
          <w:rFonts w:asciiTheme="minorHAnsi" w:hAnsiTheme="minorHAnsi"/>
          <w:color w:val="000000" w:themeColor="text1"/>
          <w:szCs w:val="32"/>
        </w:rPr>
        <w:t>: Provider Participation</w:t>
      </w:r>
      <w:bookmarkEnd w:id="327"/>
    </w:p>
    <w:p w14:paraId="66C7917F" w14:textId="77777777" w:rsidR="00073BFC" w:rsidRPr="00105FFC" w:rsidRDefault="00073BFC" w:rsidP="00802F4A">
      <w:pPr>
        <w:pStyle w:val="Heading3"/>
        <w:spacing w:before="0" w:after="120" w:line="276" w:lineRule="auto"/>
      </w:pPr>
      <w:bookmarkStart w:id="328" w:name="_Toc459287762"/>
      <w:r w:rsidRPr="00105FFC">
        <w:t>Introduction</w:t>
      </w:r>
      <w:bookmarkEnd w:id="328"/>
    </w:p>
    <w:p w14:paraId="1125937A" w14:textId="77777777" w:rsidR="00166100" w:rsidRPr="00105FFC" w:rsidRDefault="00166100" w:rsidP="00166100">
      <w:pPr>
        <w:spacing w:after="120" w:line="276" w:lineRule="auto"/>
        <w:rPr>
          <w:rFonts w:asciiTheme="minorHAnsi" w:eastAsiaTheme="minorHAnsi" w:hAnsiTheme="minorHAnsi" w:cstheme="minorBidi"/>
        </w:rPr>
      </w:pPr>
      <w:r w:rsidRPr="00105FFC">
        <w:rPr>
          <w:rFonts w:asciiTheme="minorHAnsi" w:hAnsiTheme="minorHAnsi"/>
        </w:rPr>
        <w:t xml:space="preserve">Provider participation is an important first step in accessing health care, increasing the likelihood that patients receive preventive services and timely referral to needed care.  Studies have reported that a higher supply of primary care physicians is associated with lower mortality rates, longer life expectancy, and better birth outcomes.  The analysis and findings associated with evaluating provider participation are designed to alert DHCS policymakers of any negative trends in Medi-Cal’s enrolled FFS providers.  The findings will allow DHCS to monitor trends in FFS provider participation by provider type and service setting.  </w:t>
      </w:r>
    </w:p>
    <w:p w14:paraId="699756BB" w14:textId="77777777" w:rsidR="00073BFC" w:rsidRPr="00105FFC" w:rsidRDefault="00073BFC" w:rsidP="00802F4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Provider Participation measure</w:t>
      </w:r>
      <w:r w:rsidR="00550B76" w:rsidRPr="00105FFC">
        <w:rPr>
          <w:rFonts w:asciiTheme="minorHAnsi" w:eastAsiaTheme="minorHAnsi" w:hAnsiTheme="minorHAnsi" w:cstheme="minorBidi"/>
        </w:rPr>
        <w:t>s</w:t>
      </w:r>
      <w:r w:rsidRPr="00105FFC">
        <w:rPr>
          <w:rFonts w:asciiTheme="minorHAnsi" w:eastAsiaTheme="minorHAnsi" w:hAnsiTheme="minorHAnsi" w:cstheme="minorBidi"/>
        </w:rPr>
        <w:t xml:space="preserve"> </w:t>
      </w:r>
      <w:r w:rsidR="00550B76" w:rsidRPr="00105FFC">
        <w:rPr>
          <w:rFonts w:asciiTheme="minorHAnsi" w:eastAsiaTheme="minorHAnsi" w:hAnsiTheme="minorHAnsi" w:cstheme="minorBidi"/>
        </w:rPr>
        <w:t>are</w:t>
      </w:r>
      <w:r w:rsidR="00CE6A38" w:rsidRPr="00105FFC">
        <w:rPr>
          <w:rFonts w:asciiTheme="minorHAnsi" w:eastAsiaTheme="minorHAnsi" w:hAnsiTheme="minorHAnsi" w:cstheme="minorBidi"/>
        </w:rPr>
        <w:t xml:space="preserve"> designed to assess the</w:t>
      </w:r>
      <w:r w:rsidRPr="00105FFC">
        <w:rPr>
          <w:rFonts w:asciiTheme="minorHAnsi" w:eastAsiaTheme="minorHAnsi" w:hAnsiTheme="minorHAnsi" w:cstheme="minorBidi"/>
        </w:rPr>
        <w:t xml:space="preserve"> availability of care through enrolled providers by geographic region, provider type, and site of service. The baseline stud</w:t>
      </w:r>
      <w:r w:rsidR="007165C6" w:rsidRPr="00105FFC">
        <w:rPr>
          <w:rFonts w:asciiTheme="minorHAnsi" w:eastAsiaTheme="minorHAnsi" w:hAnsiTheme="minorHAnsi" w:cstheme="minorBidi"/>
        </w:rPr>
        <w:t>y period</w:t>
      </w:r>
      <w:r w:rsidR="00CE6A38" w:rsidRPr="00105FFC">
        <w:rPr>
          <w:rFonts w:asciiTheme="minorHAnsi" w:eastAsiaTheme="minorHAnsi" w:hAnsiTheme="minorHAnsi" w:cstheme="minorBidi"/>
        </w:rPr>
        <w:t>s</w:t>
      </w:r>
      <w:r w:rsidR="007165C6" w:rsidRPr="00105FFC">
        <w:rPr>
          <w:rFonts w:asciiTheme="minorHAnsi" w:eastAsiaTheme="minorHAnsi" w:hAnsiTheme="minorHAnsi" w:cstheme="minorBidi"/>
        </w:rPr>
        <w:t xml:space="preserve"> </w:t>
      </w:r>
      <w:r w:rsidR="00CE6A38" w:rsidRPr="00105FFC">
        <w:rPr>
          <w:rFonts w:asciiTheme="minorHAnsi" w:eastAsiaTheme="minorHAnsi" w:hAnsiTheme="minorHAnsi" w:cstheme="minorBidi"/>
        </w:rPr>
        <w:t>are</w:t>
      </w:r>
      <w:r w:rsidR="007165C6" w:rsidRPr="00105FFC">
        <w:rPr>
          <w:rFonts w:asciiTheme="minorHAnsi" w:eastAsiaTheme="minorHAnsi" w:hAnsiTheme="minorHAnsi" w:cstheme="minorBidi"/>
        </w:rPr>
        <w:t xml:space="preserve"> </w:t>
      </w:r>
      <w:r w:rsidRPr="00105FFC">
        <w:rPr>
          <w:rFonts w:asciiTheme="minorHAnsi" w:eastAsiaTheme="minorHAnsi" w:hAnsiTheme="minorHAnsi" w:cstheme="minorBidi"/>
        </w:rPr>
        <w:t>SFY</w:t>
      </w:r>
      <w:r w:rsidR="007165C6" w:rsidRPr="00105FFC">
        <w:rPr>
          <w:rFonts w:asciiTheme="minorHAnsi" w:eastAsiaTheme="minorHAnsi" w:hAnsiTheme="minorHAnsi" w:cstheme="minorBidi"/>
        </w:rPr>
        <w:t>s</w:t>
      </w:r>
      <w:r w:rsidRPr="00105FFC">
        <w:rPr>
          <w:rFonts w:asciiTheme="minorHAnsi" w:eastAsiaTheme="minorHAnsi" w:hAnsiTheme="minorHAnsi" w:cstheme="minorBidi"/>
        </w:rPr>
        <w:t xml:space="preserve"> 2013-14 and 2014-15. The Provider Participation measure</w:t>
      </w:r>
      <w:r w:rsidR="00550B76" w:rsidRPr="00105FFC">
        <w:rPr>
          <w:rFonts w:asciiTheme="minorHAnsi" w:eastAsiaTheme="minorHAnsi" w:hAnsiTheme="minorHAnsi" w:cstheme="minorBidi"/>
        </w:rPr>
        <w:t>s</w:t>
      </w:r>
      <w:r w:rsidRPr="00105FFC">
        <w:rPr>
          <w:rFonts w:asciiTheme="minorHAnsi" w:eastAsiaTheme="minorHAnsi" w:hAnsiTheme="minorHAnsi" w:cstheme="minorBidi"/>
        </w:rPr>
        <w:t xml:space="preserve"> reflect provide</w:t>
      </w:r>
      <w:r w:rsidR="007165C6" w:rsidRPr="00105FFC">
        <w:rPr>
          <w:rFonts w:asciiTheme="minorHAnsi" w:eastAsiaTheme="minorHAnsi" w:hAnsiTheme="minorHAnsi" w:cstheme="minorBidi"/>
        </w:rPr>
        <w:t>rs who rendered a</w:t>
      </w:r>
      <w:r w:rsidR="001D378B" w:rsidRPr="00105FFC">
        <w:rPr>
          <w:rFonts w:asciiTheme="minorHAnsi" w:eastAsiaTheme="minorHAnsi" w:hAnsiTheme="minorHAnsi" w:cstheme="minorBidi"/>
        </w:rPr>
        <w:t>t least one</w:t>
      </w:r>
      <w:r w:rsidR="007165C6" w:rsidRPr="00105FFC">
        <w:rPr>
          <w:rFonts w:asciiTheme="minorHAnsi" w:eastAsiaTheme="minorHAnsi" w:hAnsiTheme="minorHAnsi" w:cstheme="minorBidi"/>
        </w:rPr>
        <w:t xml:space="preserve"> service </w:t>
      </w:r>
      <w:r w:rsidR="00CE6A38" w:rsidRPr="00105FFC">
        <w:rPr>
          <w:rFonts w:asciiTheme="minorHAnsi" w:eastAsiaTheme="minorHAnsi" w:hAnsiTheme="minorHAnsi" w:cstheme="minorBidi"/>
        </w:rPr>
        <w:t>that was reimbursed through Medi-Cal’s FFS delivery system</w:t>
      </w:r>
      <w:r w:rsidRPr="00105FFC">
        <w:rPr>
          <w:rFonts w:asciiTheme="minorHAnsi" w:eastAsiaTheme="minorHAnsi" w:hAnsiTheme="minorHAnsi" w:cstheme="minorBidi"/>
        </w:rPr>
        <w:t>.</w:t>
      </w:r>
    </w:p>
    <w:p w14:paraId="6DE7329A" w14:textId="77777777" w:rsidR="00550B76" w:rsidRPr="00105FFC" w:rsidRDefault="00550B76" w:rsidP="00802F4A">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In this section, several measures will be presented and evaluated.  These include: </w:t>
      </w:r>
    </w:p>
    <w:p w14:paraId="598D22A6" w14:textId="77777777" w:rsidR="00166100" w:rsidRPr="00105FFC" w:rsidRDefault="00166100" w:rsidP="00166100">
      <w:pPr>
        <w:pStyle w:val="ListParagraph"/>
        <w:numPr>
          <w:ilvl w:val="0"/>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Primary care providers</w:t>
      </w:r>
    </w:p>
    <w:p w14:paraId="167718F1" w14:textId="77777777" w:rsidR="00550B76" w:rsidRPr="00105FFC" w:rsidRDefault="00166100" w:rsidP="00166100">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w:t>
      </w:r>
      <w:r w:rsidR="00550B76" w:rsidRPr="00105FFC">
        <w:rPr>
          <w:rFonts w:asciiTheme="minorHAnsi" w:eastAsiaTheme="minorHAnsi" w:hAnsiTheme="minorHAnsi" w:cstheme="minorBidi"/>
        </w:rPr>
        <w:t xml:space="preserve">he number of </w:t>
      </w:r>
      <w:r w:rsidRPr="00105FFC">
        <w:rPr>
          <w:rFonts w:asciiTheme="minorHAnsi" w:eastAsiaTheme="minorHAnsi" w:hAnsiTheme="minorHAnsi" w:cstheme="minorBidi"/>
        </w:rPr>
        <w:t xml:space="preserve">primary care </w:t>
      </w:r>
      <w:r w:rsidR="00550B76" w:rsidRPr="00105FFC">
        <w:rPr>
          <w:rFonts w:asciiTheme="minorHAnsi" w:eastAsiaTheme="minorHAnsi" w:hAnsiTheme="minorHAnsi" w:cstheme="minorBidi"/>
        </w:rPr>
        <w:t xml:space="preserve">providers who rendered at least one service </w:t>
      </w:r>
      <w:r w:rsidR="00C153A5" w:rsidRPr="00105FFC">
        <w:rPr>
          <w:rFonts w:asciiTheme="minorHAnsi" w:eastAsiaTheme="minorHAnsi" w:hAnsiTheme="minorHAnsi" w:cstheme="minorBidi"/>
        </w:rPr>
        <w:t xml:space="preserve">to FFS participating individuals </w:t>
      </w:r>
      <w:r w:rsidRPr="00105FFC">
        <w:rPr>
          <w:rFonts w:asciiTheme="minorHAnsi" w:eastAsiaTheme="minorHAnsi" w:hAnsiTheme="minorHAnsi" w:cstheme="minorBidi"/>
        </w:rPr>
        <w:t>by geographic</w:t>
      </w:r>
      <w:r w:rsidR="00DA3264" w:rsidRPr="00105FFC">
        <w:rPr>
          <w:rFonts w:asciiTheme="minorHAnsi" w:eastAsiaTheme="minorHAnsi" w:hAnsiTheme="minorHAnsi" w:cstheme="minorBidi"/>
        </w:rPr>
        <w:t xml:space="preserve"> region</w:t>
      </w:r>
      <w:r w:rsidR="00550B76" w:rsidRPr="00105FFC">
        <w:rPr>
          <w:rFonts w:asciiTheme="minorHAnsi" w:eastAsiaTheme="minorHAnsi" w:hAnsiTheme="minorHAnsi" w:cstheme="minorBidi"/>
        </w:rPr>
        <w:t>,</w:t>
      </w:r>
    </w:p>
    <w:p w14:paraId="720498D5" w14:textId="77777777" w:rsidR="00A164CD" w:rsidRPr="00105FFC" w:rsidRDefault="00DA3264" w:rsidP="00A164CD">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FFS participants ever enrolled who were certified eligible for at least 11 months during the study period to participating primary care provider ratio by geographic region</w:t>
      </w:r>
      <w:r w:rsidR="00166100" w:rsidRPr="00105FFC">
        <w:rPr>
          <w:rFonts w:asciiTheme="minorHAnsi" w:eastAsiaTheme="minorHAnsi" w:hAnsiTheme="minorHAnsi" w:cstheme="minorBidi"/>
        </w:rPr>
        <w:t>,</w:t>
      </w:r>
    </w:p>
    <w:p w14:paraId="356827EE" w14:textId="77777777" w:rsidR="00164521" w:rsidRPr="00105FFC" w:rsidRDefault="00164521" w:rsidP="00164521">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distribution of primary care providers by service setting and geographic region.</w:t>
      </w:r>
    </w:p>
    <w:p w14:paraId="77D0955F" w14:textId="77777777" w:rsidR="00166100" w:rsidRPr="00105FFC" w:rsidRDefault="00DA3264" w:rsidP="00DA3264">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the proportion of FFS Medi-Cal beneficiaries certified eligible for at least 11 months during the study period who resided </w:t>
      </w:r>
      <w:r w:rsidR="002960F7" w:rsidRPr="00105FFC">
        <w:rPr>
          <w:rFonts w:asciiTheme="minorHAnsi" w:eastAsiaTheme="minorHAnsi" w:hAnsiTheme="minorHAnsi" w:cstheme="minorBidi"/>
        </w:rPr>
        <w:t>inside/</w:t>
      </w:r>
      <w:r w:rsidRPr="00105FFC">
        <w:rPr>
          <w:rFonts w:asciiTheme="minorHAnsi" w:eastAsiaTheme="minorHAnsi" w:hAnsiTheme="minorHAnsi" w:cstheme="minorBidi"/>
        </w:rPr>
        <w:t>outside of a primary care service area by geographic region</w:t>
      </w:r>
      <w:r w:rsidR="00166100" w:rsidRPr="00105FFC">
        <w:rPr>
          <w:rFonts w:asciiTheme="minorHAnsi" w:eastAsiaTheme="minorHAnsi" w:hAnsiTheme="minorHAnsi" w:cstheme="minorBidi"/>
        </w:rPr>
        <w:t>,</w:t>
      </w:r>
    </w:p>
    <w:p w14:paraId="17FF5B65" w14:textId="77777777" w:rsidR="00166100" w:rsidRPr="00105FFC" w:rsidRDefault="00DA3264" w:rsidP="00166100">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w:t>
      </w:r>
      <w:r w:rsidR="00166100" w:rsidRPr="00105FFC">
        <w:rPr>
          <w:rFonts w:asciiTheme="minorHAnsi" w:eastAsiaTheme="minorHAnsi" w:hAnsiTheme="minorHAnsi" w:cstheme="minorBidi"/>
        </w:rPr>
        <w:t xml:space="preserve">he average </w:t>
      </w:r>
      <w:r w:rsidRPr="00105FFC">
        <w:rPr>
          <w:rFonts w:asciiTheme="minorHAnsi" w:eastAsiaTheme="minorHAnsi" w:hAnsiTheme="minorHAnsi" w:cstheme="minorBidi"/>
        </w:rPr>
        <w:t>total of</w:t>
      </w:r>
      <w:r w:rsidR="00166100" w:rsidRPr="00105FFC">
        <w:rPr>
          <w:rFonts w:asciiTheme="minorHAnsi" w:eastAsiaTheme="minorHAnsi" w:hAnsiTheme="minorHAnsi" w:cstheme="minorBidi"/>
        </w:rPr>
        <w:t xml:space="preserve"> FFS Medi-Cal b</w:t>
      </w:r>
      <w:r w:rsidRPr="00105FFC">
        <w:rPr>
          <w:rFonts w:asciiTheme="minorHAnsi" w:eastAsiaTheme="minorHAnsi" w:hAnsiTheme="minorHAnsi" w:cstheme="minorBidi"/>
        </w:rPr>
        <w:t xml:space="preserve">eneficiaries residing within a </w:t>
      </w:r>
      <w:r w:rsidR="00166100" w:rsidRPr="00105FFC">
        <w:rPr>
          <w:rFonts w:asciiTheme="minorHAnsi" w:eastAsiaTheme="minorHAnsi" w:hAnsiTheme="minorHAnsi" w:cstheme="minorBidi"/>
        </w:rPr>
        <w:t>primary care provider’s medical service area</w:t>
      </w:r>
      <w:r w:rsidRPr="00105FFC">
        <w:rPr>
          <w:rFonts w:asciiTheme="minorHAnsi" w:eastAsiaTheme="minorHAnsi" w:hAnsiTheme="minorHAnsi" w:cstheme="minorBidi"/>
        </w:rPr>
        <w:t xml:space="preserve"> by geographic region</w:t>
      </w:r>
      <w:r w:rsidR="00166100" w:rsidRPr="00105FFC">
        <w:rPr>
          <w:rFonts w:asciiTheme="minorHAnsi" w:eastAsiaTheme="minorHAnsi" w:hAnsiTheme="minorHAnsi" w:cstheme="minorBidi"/>
        </w:rPr>
        <w:t>,</w:t>
      </w:r>
    </w:p>
    <w:p w14:paraId="3A61EB29" w14:textId="77777777" w:rsidR="00DA3264" w:rsidRPr="00105FFC" w:rsidRDefault="00DA3264" w:rsidP="00DA3264">
      <w:pPr>
        <w:pStyle w:val="ListParagraph"/>
        <w:numPr>
          <w:ilvl w:val="1"/>
          <w:numId w:val="26"/>
        </w:numPr>
        <w:spacing w:after="240" w:line="276" w:lineRule="auto"/>
        <w:rPr>
          <w:rFonts w:asciiTheme="minorHAnsi" w:eastAsiaTheme="minorHAnsi" w:hAnsiTheme="minorHAnsi" w:cstheme="minorBidi"/>
        </w:rPr>
      </w:pPr>
      <w:r w:rsidRPr="00105FFC">
        <w:rPr>
          <w:rFonts w:asciiTheme="minorHAnsi" w:eastAsiaTheme="minorHAnsi" w:hAnsiTheme="minorHAnsi" w:cstheme="minorBidi"/>
        </w:rPr>
        <w:t>the average driving time to reach a primary care appointment among FFS participating Medi-Cal beneficiaries certified eligible for at Least 11 Months in the study period who resided inside/outside of a primary care service area, by geographic region</w:t>
      </w:r>
      <w:r w:rsidR="00164521" w:rsidRPr="00105FFC">
        <w:rPr>
          <w:rFonts w:asciiTheme="minorHAnsi" w:eastAsiaTheme="minorHAnsi" w:hAnsiTheme="minorHAnsi" w:cstheme="minorBidi"/>
        </w:rPr>
        <w:t>, and</w:t>
      </w:r>
    </w:p>
    <w:p w14:paraId="598769F2" w14:textId="77777777" w:rsidR="00DA3264" w:rsidRPr="00105FFC" w:rsidRDefault="00DA3264" w:rsidP="00DA3264">
      <w:pPr>
        <w:pStyle w:val="ListParagraph"/>
        <w:numPr>
          <w:ilvl w:val="1"/>
          <w:numId w:val="26"/>
        </w:numPr>
        <w:spacing w:line="276" w:lineRule="auto"/>
        <w:rPr>
          <w:rFonts w:asciiTheme="minorHAnsi" w:eastAsiaTheme="minorHAnsi" w:hAnsiTheme="minorHAnsi" w:cstheme="minorBidi"/>
        </w:rPr>
      </w:pPr>
      <w:r w:rsidRPr="00105FFC">
        <w:rPr>
          <w:rFonts w:asciiTheme="minorHAnsi" w:eastAsiaTheme="minorHAnsi" w:hAnsiTheme="minorHAnsi" w:cstheme="minorBidi"/>
        </w:rPr>
        <w:t>the average driving distance to reach a primary care appointment among FFS participating Medi-Cal beneficiaries certified eligible for at Least 11 Months in the study period who resided inside/outside of a primary care ser</w:t>
      </w:r>
      <w:r w:rsidR="00164521" w:rsidRPr="00105FFC">
        <w:rPr>
          <w:rFonts w:asciiTheme="minorHAnsi" w:eastAsiaTheme="minorHAnsi" w:hAnsiTheme="minorHAnsi" w:cstheme="minorBidi"/>
        </w:rPr>
        <w:t>vice area, by geographic region.</w:t>
      </w:r>
    </w:p>
    <w:p w14:paraId="3AF851E4" w14:textId="77777777" w:rsidR="00DA3264" w:rsidRPr="00105FFC" w:rsidRDefault="00DA3264" w:rsidP="00B47A37">
      <w:pPr>
        <w:pStyle w:val="ListParagraph"/>
        <w:numPr>
          <w:ilvl w:val="0"/>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Specialist providers</w:t>
      </w:r>
    </w:p>
    <w:p w14:paraId="636A5DA9" w14:textId="77777777" w:rsidR="00DA3264" w:rsidRPr="00105FFC" w:rsidRDefault="00DA3264" w:rsidP="00DA3264">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The number of </w:t>
      </w:r>
      <w:r w:rsidR="009D1D38" w:rsidRPr="00105FFC">
        <w:rPr>
          <w:rFonts w:asciiTheme="minorHAnsi" w:eastAsiaTheme="minorHAnsi" w:hAnsiTheme="minorHAnsi" w:cstheme="minorBidi"/>
        </w:rPr>
        <w:t>specialist p</w:t>
      </w:r>
      <w:r w:rsidRPr="00105FFC">
        <w:rPr>
          <w:rFonts w:asciiTheme="minorHAnsi" w:eastAsiaTheme="minorHAnsi" w:hAnsiTheme="minorHAnsi" w:cstheme="minorBidi"/>
        </w:rPr>
        <w:t>roviders who rendered at least one service to FFS participating individuals by geographic region,</w:t>
      </w:r>
      <w:r w:rsidR="009D1D38" w:rsidRPr="00105FFC">
        <w:rPr>
          <w:rFonts w:asciiTheme="minorHAnsi" w:eastAsiaTheme="minorHAnsi" w:hAnsiTheme="minorHAnsi" w:cstheme="minorBidi"/>
        </w:rPr>
        <w:t xml:space="preserve"> and</w:t>
      </w:r>
    </w:p>
    <w:p w14:paraId="02980154" w14:textId="77777777" w:rsidR="00DA3264" w:rsidRPr="00105FFC" w:rsidRDefault="009D1D38" w:rsidP="009D1D38">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distribution of specialist providers by service setting and geographic region.</w:t>
      </w:r>
    </w:p>
    <w:p w14:paraId="1C779A55" w14:textId="77777777" w:rsidR="00550B76" w:rsidRPr="00105FFC" w:rsidRDefault="009D1D38" w:rsidP="00B47A37">
      <w:pPr>
        <w:pStyle w:val="ListParagraph"/>
        <w:numPr>
          <w:ilvl w:val="0"/>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Behavioral Health</w:t>
      </w:r>
    </w:p>
    <w:p w14:paraId="336865CE" w14:textId="77777777" w:rsidR="009D1D38" w:rsidRPr="00105FFC" w:rsidRDefault="009D1D38" w:rsidP="009D1D38">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The number of </w:t>
      </w:r>
      <w:r w:rsidR="00164521" w:rsidRPr="00105FFC">
        <w:rPr>
          <w:rFonts w:asciiTheme="minorHAnsi" w:eastAsiaTheme="minorHAnsi" w:hAnsiTheme="minorHAnsi" w:cstheme="minorBidi"/>
        </w:rPr>
        <w:t>B</w:t>
      </w:r>
      <w:r w:rsidRPr="00105FFC">
        <w:rPr>
          <w:rFonts w:asciiTheme="minorHAnsi" w:eastAsiaTheme="minorHAnsi" w:hAnsiTheme="minorHAnsi" w:cstheme="minorBidi"/>
        </w:rPr>
        <w:t>ehavioral health providers who rendered at least one service to FFS participating individuals by geographic region, and</w:t>
      </w:r>
    </w:p>
    <w:p w14:paraId="47165FC9" w14:textId="77777777" w:rsidR="009D1D38" w:rsidRPr="00105FFC" w:rsidRDefault="009D1D38" w:rsidP="009D1D38">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the distribution of </w:t>
      </w:r>
      <w:r w:rsidR="00164521" w:rsidRPr="00105FFC">
        <w:rPr>
          <w:rFonts w:asciiTheme="minorHAnsi" w:eastAsiaTheme="minorHAnsi" w:hAnsiTheme="minorHAnsi" w:cstheme="minorBidi"/>
        </w:rPr>
        <w:t>B</w:t>
      </w:r>
      <w:r w:rsidRPr="00105FFC">
        <w:rPr>
          <w:rFonts w:asciiTheme="minorHAnsi" w:eastAsiaTheme="minorHAnsi" w:hAnsiTheme="minorHAnsi" w:cstheme="minorBidi"/>
        </w:rPr>
        <w:t>ehavioral health providers by service setting and geographic region.</w:t>
      </w:r>
    </w:p>
    <w:p w14:paraId="40657497" w14:textId="77777777" w:rsidR="009D1D38" w:rsidRPr="00105FFC" w:rsidRDefault="00164521" w:rsidP="009D1D38">
      <w:pPr>
        <w:pStyle w:val="ListParagraph"/>
        <w:numPr>
          <w:ilvl w:val="0"/>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Pre- and Post-Natal Obstetric providers</w:t>
      </w:r>
    </w:p>
    <w:p w14:paraId="0F36A524" w14:textId="77777777" w:rsidR="00164521" w:rsidRPr="00105FFC" w:rsidRDefault="00164521" w:rsidP="00774675">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The number of Pre- and Post-Natal Obstetric providers who rendered at least one service to FFS participating individuals by geographic region, and </w:t>
      </w:r>
    </w:p>
    <w:p w14:paraId="3E6A1937" w14:textId="77777777" w:rsidR="00164521" w:rsidRPr="00105FFC" w:rsidRDefault="00164521" w:rsidP="00774675">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distribution of Pre- and Post-Natal Obstetric providers by service setting and geographic region.</w:t>
      </w:r>
    </w:p>
    <w:p w14:paraId="0756233C" w14:textId="77777777" w:rsidR="00164521" w:rsidRPr="00105FFC" w:rsidRDefault="00164521" w:rsidP="009D1D38">
      <w:pPr>
        <w:pStyle w:val="ListParagraph"/>
        <w:numPr>
          <w:ilvl w:val="0"/>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Home Health providers</w:t>
      </w:r>
    </w:p>
    <w:p w14:paraId="0E925685" w14:textId="77777777" w:rsidR="00164521" w:rsidRPr="00105FFC" w:rsidRDefault="00164521" w:rsidP="00164521">
      <w:pPr>
        <w:pStyle w:val="ListParagraph"/>
        <w:numPr>
          <w:ilvl w:val="1"/>
          <w:numId w:val="26"/>
        </w:num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The number of Home Health providers who rendered at least one service to FFS participating individuals by geographic region, and</w:t>
      </w:r>
    </w:p>
    <w:p w14:paraId="1F0DD5C1" w14:textId="77777777" w:rsidR="00164521" w:rsidRPr="00105FFC" w:rsidRDefault="00164521" w:rsidP="00164521">
      <w:pPr>
        <w:pStyle w:val="ListParagraph"/>
        <w:numPr>
          <w:ilvl w:val="1"/>
          <w:numId w:val="26"/>
        </w:numPr>
        <w:spacing w:line="276" w:lineRule="auto"/>
        <w:rPr>
          <w:rFonts w:asciiTheme="minorHAnsi" w:eastAsiaTheme="minorHAnsi" w:hAnsiTheme="minorHAnsi" w:cstheme="minorBidi"/>
        </w:rPr>
      </w:pPr>
      <w:r w:rsidRPr="00105FFC">
        <w:rPr>
          <w:rFonts w:asciiTheme="minorHAnsi" w:eastAsiaTheme="minorHAnsi" w:hAnsiTheme="minorHAnsi" w:cstheme="minorBidi"/>
        </w:rPr>
        <w:t>the distribution of Home Health providers by service setting and geographic region.</w:t>
      </w:r>
    </w:p>
    <w:p w14:paraId="70CE11BF" w14:textId="77777777" w:rsidR="00550B76" w:rsidRPr="00105FFC" w:rsidRDefault="00550B76" w:rsidP="00164521">
      <w:pPr>
        <w:pStyle w:val="ListParagraph"/>
        <w:spacing w:line="276" w:lineRule="auto"/>
        <w:ind w:left="360"/>
        <w:rPr>
          <w:rFonts w:asciiTheme="minorHAnsi" w:eastAsiaTheme="minorHAnsi" w:hAnsiTheme="minorHAnsi" w:cstheme="minorBidi"/>
        </w:rPr>
      </w:pPr>
    </w:p>
    <w:p w14:paraId="2C8BB4EA" w14:textId="77777777" w:rsidR="00073BFC" w:rsidRPr="00105FFC" w:rsidRDefault="00073BFC" w:rsidP="00802F4A">
      <w:pPr>
        <w:pStyle w:val="Heading3"/>
        <w:spacing w:before="0" w:after="120" w:line="276" w:lineRule="auto"/>
      </w:pPr>
      <w:bookmarkStart w:id="329" w:name="_Toc459287763"/>
      <w:r w:rsidRPr="00105FFC">
        <w:t>Providers by Provider Sub-Group and Geographic Region</w:t>
      </w:r>
      <w:bookmarkEnd w:id="329"/>
    </w:p>
    <w:p w14:paraId="06A83779" w14:textId="77777777" w:rsidR="00073BFC" w:rsidRPr="00105FFC" w:rsidRDefault="00073BFC" w:rsidP="00802F4A">
      <w:pPr>
        <w:pStyle w:val="Heading4"/>
        <w:spacing w:before="0" w:after="120" w:line="276" w:lineRule="auto"/>
      </w:pPr>
      <w:r w:rsidRPr="00105FFC">
        <w:t>Primary Care Providers</w:t>
      </w:r>
    </w:p>
    <w:p w14:paraId="7E64D4DA" w14:textId="77777777" w:rsidR="00C41C35" w:rsidRPr="00105FFC" w:rsidRDefault="00CE3049" w:rsidP="00073BFC">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Primary care providers include physicians, physician groups, and clinics with the following classifications: general practice, family practice, gynecology, obstetrics, obstetrics-gynecology, preventive, pediatrics, internal medicine, rural health clinic/federally qualified health center, free clinic, community clinic, multispecialty clinic, clinic exempt from licensure, county clinics not associated with hospital, otherwise undesignated clinic</w:t>
      </w:r>
      <w:r w:rsidR="002A1066" w:rsidRPr="00105FFC">
        <w:rPr>
          <w:rFonts w:asciiTheme="minorHAnsi" w:eastAsiaTheme="minorHAnsi" w:hAnsiTheme="minorHAnsi" w:cstheme="minorBidi"/>
        </w:rPr>
        <w:t>s</w:t>
      </w:r>
      <w:r w:rsidRPr="00105FFC">
        <w:rPr>
          <w:rFonts w:asciiTheme="minorHAnsi" w:eastAsiaTheme="minorHAnsi" w:hAnsiTheme="minorHAnsi" w:cstheme="minorBidi"/>
        </w:rPr>
        <w:t xml:space="preserve">, </w:t>
      </w:r>
      <w:r w:rsidR="002A1066" w:rsidRPr="00105FFC">
        <w:rPr>
          <w:rFonts w:asciiTheme="minorHAnsi" w:eastAsiaTheme="minorHAnsi" w:hAnsiTheme="minorHAnsi" w:cstheme="minorBidi"/>
        </w:rPr>
        <w:t xml:space="preserve">and </w:t>
      </w:r>
      <w:r w:rsidRPr="00105FFC">
        <w:rPr>
          <w:rFonts w:asciiTheme="minorHAnsi" w:eastAsiaTheme="minorHAnsi" w:hAnsiTheme="minorHAnsi" w:cstheme="minorBidi"/>
        </w:rPr>
        <w:t>tribal health</w:t>
      </w:r>
      <w:r w:rsidR="002A1066" w:rsidRPr="00105FFC">
        <w:rPr>
          <w:rFonts w:asciiTheme="minorHAnsi" w:eastAsiaTheme="minorHAnsi" w:hAnsiTheme="minorHAnsi" w:cstheme="minorBidi"/>
        </w:rPr>
        <w:t xml:space="preserve"> clinics</w:t>
      </w:r>
      <w:r w:rsidRPr="00105FFC">
        <w:rPr>
          <w:rFonts w:asciiTheme="minorHAnsi" w:eastAsiaTheme="minorHAnsi" w:hAnsiTheme="minorHAnsi" w:cstheme="minorBidi"/>
        </w:rPr>
        <w:t xml:space="preserve">. Please note that providers may provide services in more than one region. Also note that primary care providers classified as gynecology, obstetrics, and obstetrics-gynecology will also be included in the participation totals of pre- and post-natal obstetric providers. </w:t>
      </w:r>
      <w:r w:rsidR="00073BFC" w:rsidRPr="00105FFC">
        <w:rPr>
          <w:rFonts w:asciiTheme="minorHAnsi" w:eastAsiaTheme="minorHAnsi" w:hAnsiTheme="minorHAnsi" w:cstheme="minorBidi"/>
        </w:rPr>
        <w:t xml:space="preserve"> Statewide during SFY 2013-14, there were 34,712 Primary Care providers that provided services to Medi-Cal beneficiaries, compared to 36,737 during SFY 2014-15. The geographic region with the largest number of participating Primary Care providers was Los Angeles, with 10,047 providers during SFY 2013-14 and 11,012 during SFY 2014-15. The geographic regions with the next-largest number of participating Primary Care providers were Southern California, with 9,494 participating providers during SFY 2013-14 and 10,095 during SFY 2014-15; and the Bay Area, with 9,091 participating providers during SFY 2013-14 and 9</w:t>
      </w:r>
      <w:r w:rsidR="001641BD" w:rsidRPr="00105FFC">
        <w:rPr>
          <w:rFonts w:asciiTheme="minorHAnsi" w:eastAsiaTheme="minorHAnsi" w:hAnsiTheme="minorHAnsi" w:cstheme="minorBidi"/>
        </w:rPr>
        <w:t>,512 during SFY 2014-15 (Tables 1</w:t>
      </w:r>
      <w:r w:rsidR="00581549" w:rsidRPr="00105FFC">
        <w:rPr>
          <w:rFonts w:asciiTheme="minorHAnsi" w:eastAsiaTheme="minorHAnsi" w:hAnsiTheme="minorHAnsi" w:cstheme="minorBidi"/>
        </w:rPr>
        <w:t>6</w:t>
      </w:r>
      <w:r w:rsidR="001641BD" w:rsidRPr="00105FFC">
        <w:rPr>
          <w:rFonts w:asciiTheme="minorHAnsi" w:eastAsiaTheme="minorHAnsi" w:hAnsiTheme="minorHAnsi" w:cstheme="minorBidi"/>
        </w:rPr>
        <w:t>-1</w:t>
      </w:r>
      <w:r w:rsidR="00581549" w:rsidRPr="00105FFC">
        <w:rPr>
          <w:rFonts w:asciiTheme="minorHAnsi" w:eastAsiaTheme="minorHAnsi" w:hAnsiTheme="minorHAnsi" w:cstheme="minorBidi"/>
        </w:rPr>
        <w:t>7</w:t>
      </w:r>
      <w:r w:rsidR="00073BFC" w:rsidRPr="00105FFC">
        <w:rPr>
          <w:rFonts w:asciiTheme="minorHAnsi" w:eastAsiaTheme="minorHAnsi" w:hAnsiTheme="minorHAnsi" w:cstheme="minorBidi"/>
        </w:rPr>
        <w:t xml:space="preserve">; Figure </w:t>
      </w:r>
      <w:r w:rsidR="004D14D5" w:rsidRPr="00105FFC">
        <w:rPr>
          <w:rFonts w:asciiTheme="minorHAnsi" w:eastAsiaTheme="minorHAnsi" w:hAnsiTheme="minorHAnsi" w:cstheme="minorBidi"/>
        </w:rPr>
        <w:t>3</w:t>
      </w:r>
      <w:r w:rsidR="000F06D1" w:rsidRPr="00105FFC">
        <w:rPr>
          <w:rFonts w:asciiTheme="minorHAnsi" w:eastAsiaTheme="minorHAnsi" w:hAnsiTheme="minorHAnsi" w:cstheme="minorBidi"/>
        </w:rPr>
        <w:t>1</w:t>
      </w:r>
      <w:r w:rsidR="00073BFC" w:rsidRPr="00105FFC">
        <w:rPr>
          <w:rFonts w:asciiTheme="minorHAnsi" w:eastAsiaTheme="minorHAnsi" w:hAnsiTheme="minorHAnsi" w:cstheme="minorBidi"/>
        </w:rPr>
        <w:t>).</w:t>
      </w:r>
    </w:p>
    <w:p w14:paraId="7D469C5D" w14:textId="77777777" w:rsidR="00073BFC" w:rsidRPr="00105FFC" w:rsidRDefault="001641BD" w:rsidP="00073BFC">
      <w:pPr>
        <w:rPr>
          <w:rFonts w:asciiTheme="minorHAnsi" w:eastAsiaTheme="minorHAnsi" w:hAnsiTheme="minorHAnsi" w:cstheme="minorBidi"/>
          <w:b/>
          <w:bCs/>
          <w:sz w:val="20"/>
          <w:szCs w:val="20"/>
        </w:rPr>
      </w:pPr>
      <w:bookmarkStart w:id="330" w:name="_Toc458783091"/>
      <w:bookmarkStart w:id="331" w:name="_Toc459285161"/>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16</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 xml:space="preserve">: </w:t>
      </w:r>
      <w:r w:rsidR="00073BFC" w:rsidRPr="00105FFC">
        <w:rPr>
          <w:rFonts w:asciiTheme="minorHAnsi" w:eastAsiaTheme="minorHAnsi" w:hAnsiTheme="minorHAnsi" w:cstheme="minorBidi"/>
          <w:bCs/>
          <w:sz w:val="20"/>
          <w:szCs w:val="20"/>
        </w:rPr>
        <w:t>Total Medi-Cal Participating Primary Care Providers in SFY 2013-14, by Provider Sub-Group and Geographic Region</w:t>
      </w:r>
      <w:bookmarkEnd w:id="330"/>
      <w:bookmarkEnd w:id="331"/>
    </w:p>
    <w:tbl>
      <w:tblPr>
        <w:tblW w:w="0" w:type="auto"/>
        <w:tblInd w:w="93" w:type="dxa"/>
        <w:tblLook w:val="04A0" w:firstRow="1" w:lastRow="0" w:firstColumn="1" w:lastColumn="0" w:noHBand="0" w:noVBand="1"/>
      </w:tblPr>
      <w:tblGrid>
        <w:gridCol w:w="2005"/>
        <w:gridCol w:w="1473"/>
        <w:gridCol w:w="1541"/>
        <w:gridCol w:w="2107"/>
        <w:gridCol w:w="1209"/>
      </w:tblGrid>
      <w:tr w:rsidR="00073BFC" w:rsidRPr="00105FFC" w14:paraId="531261AD" w14:textId="77777777" w:rsidTr="000D6C4B">
        <w:trPr>
          <w:trHeight w:val="255"/>
        </w:trPr>
        <w:tc>
          <w:tcPr>
            <w:tcW w:w="0" w:type="auto"/>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18E98EA7" w14:textId="77777777" w:rsidR="00073BFC" w:rsidRPr="00105FFC" w:rsidRDefault="00073BFC" w:rsidP="00073BFC">
            <w:pPr>
              <w:jc w:val="center"/>
              <w:rPr>
                <w:rFonts w:asciiTheme="minorHAnsi" w:hAnsiTheme="minorHAnsi"/>
                <w:b/>
                <w:bCs/>
                <w:color w:val="FFFFFF"/>
                <w:sz w:val="20"/>
                <w:szCs w:val="20"/>
              </w:rPr>
            </w:pPr>
            <w:r w:rsidRPr="00105FFC">
              <w:rPr>
                <w:rFonts w:asciiTheme="minorHAnsi" w:hAnsiTheme="minorHAnsi"/>
                <w:b/>
                <w:bCs/>
                <w:color w:val="FFFFFF"/>
                <w:sz w:val="20"/>
                <w:szCs w:val="20"/>
              </w:rPr>
              <w:t>Primary Care Providers</w:t>
            </w:r>
          </w:p>
        </w:tc>
      </w:tr>
      <w:tr w:rsidR="00073BFC" w:rsidRPr="00105FFC" w14:paraId="085C8C84"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33A0EDB"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 xml:space="preserve"> 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65589556"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 xml:space="preserve">Total Providers </w:t>
            </w:r>
          </w:p>
        </w:tc>
        <w:tc>
          <w:tcPr>
            <w:tcW w:w="0" w:type="auto"/>
            <w:tcBorders>
              <w:top w:val="nil"/>
              <w:left w:val="nil"/>
              <w:bottom w:val="single" w:sz="4" w:space="0" w:color="auto"/>
              <w:right w:val="single" w:sz="4" w:space="0" w:color="auto"/>
            </w:tcBorders>
            <w:shd w:val="clear" w:color="000000" w:fill="F2F2F2"/>
            <w:noWrap/>
            <w:vAlign w:val="center"/>
            <w:hideMark/>
          </w:tcPr>
          <w:p w14:paraId="126603C7"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Physicians</w:t>
            </w:r>
          </w:p>
        </w:tc>
        <w:tc>
          <w:tcPr>
            <w:tcW w:w="0" w:type="auto"/>
            <w:tcBorders>
              <w:top w:val="nil"/>
              <w:left w:val="nil"/>
              <w:bottom w:val="single" w:sz="4" w:space="0" w:color="auto"/>
              <w:right w:val="single" w:sz="4" w:space="0" w:color="auto"/>
            </w:tcBorders>
            <w:shd w:val="clear" w:color="000000" w:fill="F2F2F2"/>
            <w:noWrap/>
            <w:vAlign w:val="center"/>
            <w:hideMark/>
          </w:tcPr>
          <w:p w14:paraId="6EAB9340"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 Groups</w:t>
            </w:r>
          </w:p>
        </w:tc>
        <w:tc>
          <w:tcPr>
            <w:tcW w:w="0" w:type="auto"/>
            <w:tcBorders>
              <w:top w:val="nil"/>
              <w:left w:val="nil"/>
              <w:bottom w:val="single" w:sz="4" w:space="0" w:color="auto"/>
              <w:right w:val="single" w:sz="4" w:space="0" w:color="auto"/>
            </w:tcBorders>
            <w:shd w:val="clear" w:color="000000" w:fill="F2F2F2"/>
            <w:noWrap/>
            <w:vAlign w:val="center"/>
            <w:hideMark/>
          </w:tcPr>
          <w:p w14:paraId="473CF3AA"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Clinics</w:t>
            </w:r>
          </w:p>
        </w:tc>
      </w:tr>
      <w:tr w:rsidR="00073BFC" w:rsidRPr="00105FFC" w14:paraId="14BA5427"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61874991"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1E1E208F"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34,712</w:t>
            </w:r>
          </w:p>
        </w:tc>
        <w:tc>
          <w:tcPr>
            <w:tcW w:w="0" w:type="auto"/>
            <w:tcBorders>
              <w:top w:val="nil"/>
              <w:left w:val="nil"/>
              <w:bottom w:val="single" w:sz="4" w:space="0" w:color="auto"/>
              <w:right w:val="single" w:sz="4" w:space="0" w:color="auto"/>
            </w:tcBorders>
            <w:shd w:val="clear" w:color="000000" w:fill="EBF1DE"/>
            <w:noWrap/>
            <w:vAlign w:val="center"/>
            <w:hideMark/>
          </w:tcPr>
          <w:p w14:paraId="04D3E279"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31,206</w:t>
            </w:r>
          </w:p>
        </w:tc>
        <w:tc>
          <w:tcPr>
            <w:tcW w:w="0" w:type="auto"/>
            <w:tcBorders>
              <w:top w:val="nil"/>
              <w:left w:val="nil"/>
              <w:bottom w:val="single" w:sz="4" w:space="0" w:color="auto"/>
              <w:right w:val="single" w:sz="4" w:space="0" w:color="auto"/>
            </w:tcBorders>
            <w:shd w:val="clear" w:color="000000" w:fill="EBF1DE"/>
            <w:noWrap/>
            <w:vAlign w:val="center"/>
            <w:hideMark/>
          </w:tcPr>
          <w:p w14:paraId="4FA3EB3C"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2,043</w:t>
            </w:r>
          </w:p>
        </w:tc>
        <w:tc>
          <w:tcPr>
            <w:tcW w:w="0" w:type="auto"/>
            <w:tcBorders>
              <w:top w:val="nil"/>
              <w:left w:val="nil"/>
              <w:bottom w:val="single" w:sz="4" w:space="0" w:color="auto"/>
              <w:right w:val="single" w:sz="4" w:space="0" w:color="auto"/>
            </w:tcBorders>
            <w:shd w:val="clear" w:color="000000" w:fill="EBF1DE"/>
            <w:noWrap/>
            <w:vAlign w:val="center"/>
            <w:hideMark/>
          </w:tcPr>
          <w:p w14:paraId="5E844E3D"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1,463</w:t>
            </w:r>
          </w:p>
        </w:tc>
      </w:tr>
      <w:tr w:rsidR="00073BFC" w:rsidRPr="00105FFC" w14:paraId="306EBC8E"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3B156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34B154A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9,091</w:t>
            </w:r>
          </w:p>
        </w:tc>
        <w:tc>
          <w:tcPr>
            <w:tcW w:w="0" w:type="auto"/>
            <w:tcBorders>
              <w:top w:val="nil"/>
              <w:left w:val="nil"/>
              <w:bottom w:val="single" w:sz="4" w:space="0" w:color="auto"/>
              <w:right w:val="single" w:sz="4" w:space="0" w:color="auto"/>
            </w:tcBorders>
            <w:shd w:val="clear" w:color="auto" w:fill="auto"/>
            <w:noWrap/>
            <w:vAlign w:val="center"/>
            <w:hideMark/>
          </w:tcPr>
          <w:p w14:paraId="1209800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8,593</w:t>
            </w:r>
          </w:p>
        </w:tc>
        <w:tc>
          <w:tcPr>
            <w:tcW w:w="0" w:type="auto"/>
            <w:tcBorders>
              <w:top w:val="nil"/>
              <w:left w:val="nil"/>
              <w:bottom w:val="single" w:sz="4" w:space="0" w:color="auto"/>
              <w:right w:val="single" w:sz="4" w:space="0" w:color="auto"/>
            </w:tcBorders>
            <w:shd w:val="clear" w:color="auto" w:fill="auto"/>
            <w:noWrap/>
            <w:vAlign w:val="center"/>
            <w:hideMark/>
          </w:tcPr>
          <w:p w14:paraId="1180917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242</w:t>
            </w:r>
          </w:p>
        </w:tc>
        <w:tc>
          <w:tcPr>
            <w:tcW w:w="0" w:type="auto"/>
            <w:tcBorders>
              <w:top w:val="nil"/>
              <w:left w:val="nil"/>
              <w:bottom w:val="single" w:sz="4" w:space="0" w:color="auto"/>
              <w:right w:val="single" w:sz="4" w:space="0" w:color="auto"/>
            </w:tcBorders>
            <w:shd w:val="clear" w:color="auto" w:fill="auto"/>
            <w:noWrap/>
            <w:vAlign w:val="center"/>
            <w:hideMark/>
          </w:tcPr>
          <w:p w14:paraId="0C583ED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256</w:t>
            </w:r>
          </w:p>
        </w:tc>
      </w:tr>
      <w:tr w:rsidR="00073BFC" w:rsidRPr="00105FFC" w14:paraId="1D91BAA1"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46B4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12D3640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1,950</w:t>
            </w:r>
          </w:p>
        </w:tc>
        <w:tc>
          <w:tcPr>
            <w:tcW w:w="0" w:type="auto"/>
            <w:tcBorders>
              <w:top w:val="nil"/>
              <w:left w:val="nil"/>
              <w:bottom w:val="single" w:sz="4" w:space="0" w:color="auto"/>
              <w:right w:val="single" w:sz="4" w:space="0" w:color="auto"/>
            </w:tcBorders>
            <w:shd w:val="clear" w:color="auto" w:fill="auto"/>
            <w:noWrap/>
            <w:vAlign w:val="center"/>
            <w:hideMark/>
          </w:tcPr>
          <w:p w14:paraId="52B0F1A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1,716</w:t>
            </w:r>
          </w:p>
        </w:tc>
        <w:tc>
          <w:tcPr>
            <w:tcW w:w="0" w:type="auto"/>
            <w:tcBorders>
              <w:top w:val="nil"/>
              <w:left w:val="nil"/>
              <w:bottom w:val="single" w:sz="4" w:space="0" w:color="auto"/>
              <w:right w:val="single" w:sz="4" w:space="0" w:color="auto"/>
            </w:tcBorders>
            <w:shd w:val="clear" w:color="auto" w:fill="auto"/>
            <w:noWrap/>
            <w:vAlign w:val="center"/>
            <w:hideMark/>
          </w:tcPr>
          <w:p w14:paraId="693270D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113</w:t>
            </w:r>
          </w:p>
        </w:tc>
        <w:tc>
          <w:tcPr>
            <w:tcW w:w="0" w:type="auto"/>
            <w:tcBorders>
              <w:top w:val="nil"/>
              <w:left w:val="nil"/>
              <w:bottom w:val="single" w:sz="4" w:space="0" w:color="auto"/>
              <w:right w:val="single" w:sz="4" w:space="0" w:color="auto"/>
            </w:tcBorders>
            <w:shd w:val="clear" w:color="auto" w:fill="auto"/>
            <w:noWrap/>
            <w:vAlign w:val="center"/>
            <w:hideMark/>
          </w:tcPr>
          <w:p w14:paraId="4F2019F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121</w:t>
            </w:r>
          </w:p>
        </w:tc>
      </w:tr>
      <w:tr w:rsidR="00073BFC" w:rsidRPr="00105FFC" w14:paraId="67A3C51B"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B1836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070B339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4,345</w:t>
            </w:r>
          </w:p>
        </w:tc>
        <w:tc>
          <w:tcPr>
            <w:tcW w:w="0" w:type="auto"/>
            <w:tcBorders>
              <w:top w:val="nil"/>
              <w:left w:val="nil"/>
              <w:bottom w:val="single" w:sz="4" w:space="0" w:color="auto"/>
              <w:right w:val="single" w:sz="4" w:space="0" w:color="auto"/>
            </w:tcBorders>
            <w:shd w:val="clear" w:color="auto" w:fill="auto"/>
            <w:noWrap/>
            <w:vAlign w:val="center"/>
            <w:hideMark/>
          </w:tcPr>
          <w:p w14:paraId="53C685E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3,818</w:t>
            </w:r>
          </w:p>
        </w:tc>
        <w:tc>
          <w:tcPr>
            <w:tcW w:w="0" w:type="auto"/>
            <w:tcBorders>
              <w:top w:val="nil"/>
              <w:left w:val="nil"/>
              <w:bottom w:val="single" w:sz="4" w:space="0" w:color="auto"/>
              <w:right w:val="single" w:sz="4" w:space="0" w:color="auto"/>
            </w:tcBorders>
            <w:shd w:val="clear" w:color="auto" w:fill="auto"/>
            <w:noWrap/>
            <w:vAlign w:val="center"/>
            <w:hideMark/>
          </w:tcPr>
          <w:p w14:paraId="020C30F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234</w:t>
            </w:r>
          </w:p>
        </w:tc>
        <w:tc>
          <w:tcPr>
            <w:tcW w:w="0" w:type="auto"/>
            <w:tcBorders>
              <w:top w:val="nil"/>
              <w:left w:val="nil"/>
              <w:bottom w:val="single" w:sz="4" w:space="0" w:color="auto"/>
              <w:right w:val="single" w:sz="4" w:space="0" w:color="auto"/>
            </w:tcBorders>
            <w:shd w:val="clear" w:color="auto" w:fill="auto"/>
            <w:noWrap/>
            <w:vAlign w:val="center"/>
            <w:hideMark/>
          </w:tcPr>
          <w:p w14:paraId="28BFF84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293</w:t>
            </w:r>
          </w:p>
        </w:tc>
      </w:tr>
      <w:tr w:rsidR="00073BFC" w:rsidRPr="00105FFC" w14:paraId="25B0937E"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D987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3A5DF5A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390</w:t>
            </w:r>
          </w:p>
        </w:tc>
        <w:tc>
          <w:tcPr>
            <w:tcW w:w="0" w:type="auto"/>
            <w:tcBorders>
              <w:top w:val="nil"/>
              <w:left w:val="nil"/>
              <w:bottom w:val="single" w:sz="4" w:space="0" w:color="auto"/>
              <w:right w:val="single" w:sz="4" w:space="0" w:color="auto"/>
            </w:tcBorders>
            <w:shd w:val="clear" w:color="auto" w:fill="auto"/>
            <w:noWrap/>
            <w:vAlign w:val="center"/>
            <w:hideMark/>
          </w:tcPr>
          <w:p w14:paraId="41A5CFE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329</w:t>
            </w:r>
          </w:p>
        </w:tc>
        <w:tc>
          <w:tcPr>
            <w:tcW w:w="0" w:type="auto"/>
            <w:tcBorders>
              <w:top w:val="nil"/>
              <w:left w:val="nil"/>
              <w:bottom w:val="single" w:sz="4" w:space="0" w:color="auto"/>
              <w:right w:val="single" w:sz="4" w:space="0" w:color="auto"/>
            </w:tcBorders>
            <w:shd w:val="clear" w:color="auto" w:fill="auto"/>
            <w:noWrap/>
            <w:vAlign w:val="center"/>
            <w:hideMark/>
          </w:tcPr>
          <w:p w14:paraId="1125884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14:paraId="67EA61A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43</w:t>
            </w:r>
          </w:p>
        </w:tc>
      </w:tr>
      <w:tr w:rsidR="00073BFC" w:rsidRPr="00105FFC" w14:paraId="51C4E9DD"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17041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4805C75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10,047</w:t>
            </w:r>
          </w:p>
        </w:tc>
        <w:tc>
          <w:tcPr>
            <w:tcW w:w="0" w:type="auto"/>
            <w:tcBorders>
              <w:top w:val="nil"/>
              <w:left w:val="nil"/>
              <w:bottom w:val="single" w:sz="4" w:space="0" w:color="auto"/>
              <w:right w:val="single" w:sz="4" w:space="0" w:color="auto"/>
            </w:tcBorders>
            <w:shd w:val="clear" w:color="auto" w:fill="auto"/>
            <w:noWrap/>
            <w:vAlign w:val="center"/>
            <w:hideMark/>
          </w:tcPr>
          <w:p w14:paraId="20BD49A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9,042</w:t>
            </w:r>
          </w:p>
        </w:tc>
        <w:tc>
          <w:tcPr>
            <w:tcW w:w="0" w:type="auto"/>
            <w:tcBorders>
              <w:top w:val="nil"/>
              <w:left w:val="nil"/>
              <w:bottom w:val="single" w:sz="4" w:space="0" w:color="auto"/>
              <w:right w:val="single" w:sz="4" w:space="0" w:color="auto"/>
            </w:tcBorders>
            <w:shd w:val="clear" w:color="auto" w:fill="auto"/>
            <w:noWrap/>
            <w:vAlign w:val="center"/>
            <w:hideMark/>
          </w:tcPr>
          <w:p w14:paraId="18BF252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723</w:t>
            </w:r>
          </w:p>
        </w:tc>
        <w:tc>
          <w:tcPr>
            <w:tcW w:w="0" w:type="auto"/>
            <w:tcBorders>
              <w:top w:val="nil"/>
              <w:left w:val="nil"/>
              <w:bottom w:val="single" w:sz="4" w:space="0" w:color="auto"/>
              <w:right w:val="single" w:sz="4" w:space="0" w:color="auto"/>
            </w:tcBorders>
            <w:shd w:val="clear" w:color="auto" w:fill="auto"/>
            <w:noWrap/>
            <w:vAlign w:val="center"/>
            <w:hideMark/>
          </w:tcPr>
          <w:p w14:paraId="7800CCF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282</w:t>
            </w:r>
          </w:p>
        </w:tc>
      </w:tr>
      <w:tr w:rsidR="00073BFC" w:rsidRPr="00105FFC" w14:paraId="5556BCBC"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4CA91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3A00919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480</w:t>
            </w:r>
          </w:p>
        </w:tc>
        <w:tc>
          <w:tcPr>
            <w:tcW w:w="0" w:type="auto"/>
            <w:tcBorders>
              <w:top w:val="nil"/>
              <w:left w:val="nil"/>
              <w:bottom w:val="single" w:sz="4" w:space="0" w:color="auto"/>
              <w:right w:val="single" w:sz="4" w:space="0" w:color="auto"/>
            </w:tcBorders>
            <w:shd w:val="clear" w:color="auto" w:fill="auto"/>
            <w:noWrap/>
            <w:vAlign w:val="center"/>
            <w:hideMark/>
          </w:tcPr>
          <w:p w14:paraId="42DEB98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380</w:t>
            </w:r>
          </w:p>
        </w:tc>
        <w:tc>
          <w:tcPr>
            <w:tcW w:w="0" w:type="auto"/>
            <w:tcBorders>
              <w:top w:val="nil"/>
              <w:left w:val="nil"/>
              <w:bottom w:val="single" w:sz="4" w:space="0" w:color="auto"/>
              <w:right w:val="single" w:sz="4" w:space="0" w:color="auto"/>
            </w:tcBorders>
            <w:shd w:val="clear" w:color="auto" w:fill="auto"/>
            <w:noWrap/>
            <w:vAlign w:val="center"/>
            <w:hideMark/>
          </w:tcPr>
          <w:p w14:paraId="757F6DA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31</w:t>
            </w:r>
          </w:p>
        </w:tc>
        <w:tc>
          <w:tcPr>
            <w:tcW w:w="0" w:type="auto"/>
            <w:tcBorders>
              <w:top w:val="nil"/>
              <w:left w:val="nil"/>
              <w:bottom w:val="single" w:sz="4" w:space="0" w:color="auto"/>
              <w:right w:val="single" w:sz="4" w:space="0" w:color="auto"/>
            </w:tcBorders>
            <w:shd w:val="clear" w:color="auto" w:fill="auto"/>
            <w:noWrap/>
            <w:vAlign w:val="center"/>
            <w:hideMark/>
          </w:tcPr>
          <w:p w14:paraId="349F10D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69</w:t>
            </w:r>
          </w:p>
        </w:tc>
      </w:tr>
      <w:tr w:rsidR="00073BFC" w:rsidRPr="00105FFC" w14:paraId="6B80CC18"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9358F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5EC86E9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2,688</w:t>
            </w:r>
          </w:p>
        </w:tc>
        <w:tc>
          <w:tcPr>
            <w:tcW w:w="0" w:type="auto"/>
            <w:tcBorders>
              <w:top w:val="nil"/>
              <w:left w:val="nil"/>
              <w:bottom w:val="single" w:sz="4" w:space="0" w:color="auto"/>
              <w:right w:val="single" w:sz="4" w:space="0" w:color="auto"/>
            </w:tcBorders>
            <w:shd w:val="clear" w:color="auto" w:fill="auto"/>
            <w:noWrap/>
            <w:vAlign w:val="center"/>
            <w:hideMark/>
          </w:tcPr>
          <w:p w14:paraId="4A48857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2,464</w:t>
            </w:r>
          </w:p>
        </w:tc>
        <w:tc>
          <w:tcPr>
            <w:tcW w:w="0" w:type="auto"/>
            <w:tcBorders>
              <w:top w:val="nil"/>
              <w:left w:val="nil"/>
              <w:bottom w:val="single" w:sz="4" w:space="0" w:color="auto"/>
              <w:right w:val="single" w:sz="4" w:space="0" w:color="auto"/>
            </w:tcBorders>
            <w:shd w:val="clear" w:color="auto" w:fill="auto"/>
            <w:noWrap/>
            <w:vAlign w:val="center"/>
            <w:hideMark/>
          </w:tcPr>
          <w:p w14:paraId="5B35909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118</w:t>
            </w:r>
          </w:p>
        </w:tc>
        <w:tc>
          <w:tcPr>
            <w:tcW w:w="0" w:type="auto"/>
            <w:tcBorders>
              <w:top w:val="nil"/>
              <w:left w:val="nil"/>
              <w:bottom w:val="single" w:sz="4" w:space="0" w:color="auto"/>
              <w:right w:val="single" w:sz="4" w:space="0" w:color="auto"/>
            </w:tcBorders>
            <w:shd w:val="clear" w:color="auto" w:fill="auto"/>
            <w:noWrap/>
            <w:vAlign w:val="center"/>
            <w:hideMark/>
          </w:tcPr>
          <w:p w14:paraId="30F96AB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106</w:t>
            </w:r>
          </w:p>
        </w:tc>
      </w:tr>
      <w:tr w:rsidR="00073BFC" w:rsidRPr="00105FFC" w14:paraId="51516720"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2A31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16D7724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1,524</w:t>
            </w:r>
          </w:p>
        </w:tc>
        <w:tc>
          <w:tcPr>
            <w:tcW w:w="0" w:type="auto"/>
            <w:tcBorders>
              <w:top w:val="nil"/>
              <w:left w:val="nil"/>
              <w:bottom w:val="single" w:sz="4" w:space="0" w:color="auto"/>
              <w:right w:val="single" w:sz="4" w:space="0" w:color="auto"/>
            </w:tcBorders>
            <w:shd w:val="clear" w:color="auto" w:fill="auto"/>
            <w:noWrap/>
            <w:vAlign w:val="center"/>
            <w:hideMark/>
          </w:tcPr>
          <w:p w14:paraId="6247441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1,410</w:t>
            </w:r>
          </w:p>
        </w:tc>
        <w:tc>
          <w:tcPr>
            <w:tcW w:w="0" w:type="auto"/>
            <w:tcBorders>
              <w:top w:val="nil"/>
              <w:left w:val="nil"/>
              <w:bottom w:val="single" w:sz="4" w:space="0" w:color="auto"/>
              <w:right w:val="single" w:sz="4" w:space="0" w:color="auto"/>
            </w:tcBorders>
            <w:shd w:val="clear" w:color="auto" w:fill="auto"/>
            <w:noWrap/>
            <w:vAlign w:val="center"/>
            <w:hideMark/>
          </w:tcPr>
          <w:p w14:paraId="630AFDD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14:paraId="37B90DC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64</w:t>
            </w:r>
          </w:p>
        </w:tc>
      </w:tr>
      <w:tr w:rsidR="00073BFC" w:rsidRPr="00105FFC" w14:paraId="54EBFCF5"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EE117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5A1FD53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9,494</w:t>
            </w:r>
          </w:p>
        </w:tc>
        <w:tc>
          <w:tcPr>
            <w:tcW w:w="0" w:type="auto"/>
            <w:tcBorders>
              <w:top w:val="nil"/>
              <w:left w:val="nil"/>
              <w:bottom w:val="single" w:sz="4" w:space="0" w:color="auto"/>
              <w:right w:val="single" w:sz="4" w:space="0" w:color="auto"/>
            </w:tcBorders>
            <w:shd w:val="clear" w:color="auto" w:fill="auto"/>
            <w:noWrap/>
            <w:vAlign w:val="center"/>
            <w:hideMark/>
          </w:tcPr>
          <w:p w14:paraId="1243B5E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8,670</w:t>
            </w:r>
          </w:p>
        </w:tc>
        <w:tc>
          <w:tcPr>
            <w:tcW w:w="0" w:type="auto"/>
            <w:tcBorders>
              <w:top w:val="nil"/>
              <w:left w:val="nil"/>
              <w:bottom w:val="single" w:sz="4" w:space="0" w:color="auto"/>
              <w:right w:val="single" w:sz="4" w:space="0" w:color="auto"/>
            </w:tcBorders>
            <w:shd w:val="clear" w:color="auto" w:fill="auto"/>
            <w:noWrap/>
            <w:vAlign w:val="center"/>
            <w:hideMark/>
          </w:tcPr>
          <w:p w14:paraId="4AA5988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582</w:t>
            </w:r>
          </w:p>
        </w:tc>
        <w:tc>
          <w:tcPr>
            <w:tcW w:w="0" w:type="auto"/>
            <w:tcBorders>
              <w:top w:val="nil"/>
              <w:left w:val="nil"/>
              <w:bottom w:val="single" w:sz="4" w:space="0" w:color="auto"/>
              <w:right w:val="single" w:sz="4" w:space="0" w:color="auto"/>
            </w:tcBorders>
            <w:shd w:val="clear" w:color="auto" w:fill="auto"/>
            <w:noWrap/>
            <w:vAlign w:val="center"/>
            <w:hideMark/>
          </w:tcPr>
          <w:p w14:paraId="4DDA90A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242</w:t>
            </w:r>
          </w:p>
        </w:tc>
      </w:tr>
    </w:tbl>
    <w:p w14:paraId="7C5415DF" w14:textId="77777777" w:rsidR="00073BFC" w:rsidRPr="00105FFC" w:rsidRDefault="00073BFC" w:rsidP="00073BFC">
      <w:pPr>
        <w:spacing w:after="120"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40D8082B" w14:textId="77777777" w:rsidR="00073BFC" w:rsidRPr="00105FFC" w:rsidRDefault="00073BFC" w:rsidP="00073BFC">
      <w:pPr>
        <w:spacing w:after="120" w:line="276" w:lineRule="auto"/>
        <w:rPr>
          <w:rFonts w:asciiTheme="minorHAnsi" w:eastAsiaTheme="minorHAnsi" w:hAnsiTheme="minorHAnsi" w:cs="Tahoma"/>
          <w:sz w:val="16"/>
          <w:szCs w:val="16"/>
        </w:rPr>
      </w:pPr>
    </w:p>
    <w:p w14:paraId="3ABE32B6" w14:textId="77777777" w:rsidR="00073BFC" w:rsidRPr="00105FFC" w:rsidRDefault="001641BD" w:rsidP="00073BFC">
      <w:pPr>
        <w:rPr>
          <w:rFonts w:asciiTheme="minorHAnsi" w:eastAsiaTheme="minorHAnsi" w:hAnsiTheme="minorHAnsi" w:cstheme="minorBidi"/>
          <w:bCs/>
          <w:sz w:val="20"/>
          <w:szCs w:val="20"/>
        </w:rPr>
      </w:pPr>
      <w:bookmarkStart w:id="332" w:name="_Toc458783092"/>
      <w:bookmarkStart w:id="333" w:name="_Toc459285162"/>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17</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 xml:space="preserve">: </w:t>
      </w:r>
      <w:r w:rsidR="00073BFC" w:rsidRPr="00105FFC">
        <w:rPr>
          <w:rFonts w:asciiTheme="minorHAnsi" w:eastAsiaTheme="minorHAnsi" w:hAnsiTheme="minorHAnsi" w:cstheme="minorBidi"/>
          <w:bCs/>
          <w:sz w:val="20"/>
          <w:szCs w:val="20"/>
        </w:rPr>
        <w:t>Total Medi-Cal Participating Primary Care Providers in SFY 2014-15, by Provider Sub-Group and Geographic Region</w:t>
      </w:r>
      <w:bookmarkEnd w:id="332"/>
      <w:bookmarkEnd w:id="333"/>
    </w:p>
    <w:tbl>
      <w:tblPr>
        <w:tblW w:w="0" w:type="auto"/>
        <w:tblInd w:w="93" w:type="dxa"/>
        <w:tblLook w:val="04A0" w:firstRow="1" w:lastRow="0" w:firstColumn="1" w:lastColumn="0" w:noHBand="0" w:noVBand="1"/>
      </w:tblPr>
      <w:tblGrid>
        <w:gridCol w:w="2005"/>
        <w:gridCol w:w="1473"/>
        <w:gridCol w:w="1541"/>
        <w:gridCol w:w="2107"/>
        <w:gridCol w:w="1209"/>
      </w:tblGrid>
      <w:tr w:rsidR="00073BFC" w:rsidRPr="00105FFC" w14:paraId="4572EF9E" w14:textId="77777777" w:rsidTr="000D6C4B">
        <w:trPr>
          <w:trHeight w:val="359"/>
        </w:trPr>
        <w:tc>
          <w:tcPr>
            <w:tcW w:w="0" w:type="auto"/>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2DAC48D5" w14:textId="77777777" w:rsidR="00073BFC" w:rsidRPr="00105FFC" w:rsidRDefault="00073BFC" w:rsidP="00073BFC">
            <w:pPr>
              <w:jc w:val="center"/>
              <w:rPr>
                <w:rFonts w:asciiTheme="minorHAnsi" w:hAnsiTheme="minorHAnsi"/>
                <w:b/>
                <w:bCs/>
                <w:color w:val="FFFFFF"/>
                <w:sz w:val="20"/>
                <w:szCs w:val="20"/>
              </w:rPr>
            </w:pPr>
            <w:r w:rsidRPr="00105FFC">
              <w:rPr>
                <w:rFonts w:asciiTheme="minorHAnsi" w:hAnsiTheme="minorHAnsi"/>
                <w:b/>
                <w:bCs/>
                <w:color w:val="FFFFFF"/>
                <w:sz w:val="20"/>
                <w:szCs w:val="20"/>
              </w:rPr>
              <w:t>Primary Care Providers</w:t>
            </w:r>
          </w:p>
        </w:tc>
      </w:tr>
      <w:tr w:rsidR="00073BFC" w:rsidRPr="00105FFC" w14:paraId="1579B7A9"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55F4AE0"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13C86259"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Providers</w:t>
            </w:r>
          </w:p>
        </w:tc>
        <w:tc>
          <w:tcPr>
            <w:tcW w:w="0" w:type="auto"/>
            <w:tcBorders>
              <w:top w:val="nil"/>
              <w:left w:val="nil"/>
              <w:bottom w:val="single" w:sz="4" w:space="0" w:color="auto"/>
              <w:right w:val="single" w:sz="4" w:space="0" w:color="auto"/>
            </w:tcBorders>
            <w:shd w:val="clear" w:color="000000" w:fill="F2F2F2"/>
            <w:noWrap/>
            <w:vAlign w:val="center"/>
            <w:hideMark/>
          </w:tcPr>
          <w:p w14:paraId="0971A430"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Physicians</w:t>
            </w:r>
          </w:p>
        </w:tc>
        <w:tc>
          <w:tcPr>
            <w:tcW w:w="0" w:type="auto"/>
            <w:tcBorders>
              <w:top w:val="nil"/>
              <w:left w:val="nil"/>
              <w:bottom w:val="single" w:sz="4" w:space="0" w:color="auto"/>
              <w:right w:val="single" w:sz="4" w:space="0" w:color="auto"/>
            </w:tcBorders>
            <w:shd w:val="clear" w:color="000000" w:fill="F2F2F2"/>
            <w:noWrap/>
            <w:vAlign w:val="center"/>
            <w:hideMark/>
          </w:tcPr>
          <w:p w14:paraId="67B46D39"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 Groups</w:t>
            </w:r>
          </w:p>
        </w:tc>
        <w:tc>
          <w:tcPr>
            <w:tcW w:w="0" w:type="auto"/>
            <w:tcBorders>
              <w:top w:val="nil"/>
              <w:left w:val="nil"/>
              <w:bottom w:val="single" w:sz="4" w:space="0" w:color="auto"/>
              <w:right w:val="single" w:sz="4" w:space="0" w:color="auto"/>
            </w:tcBorders>
            <w:shd w:val="clear" w:color="000000" w:fill="F2F2F2"/>
            <w:noWrap/>
            <w:vAlign w:val="center"/>
            <w:hideMark/>
          </w:tcPr>
          <w:p w14:paraId="0FCF0EDC"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Clinics</w:t>
            </w:r>
          </w:p>
        </w:tc>
      </w:tr>
      <w:tr w:rsidR="00073BFC" w:rsidRPr="00105FFC" w14:paraId="769A8754"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79878889"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5F8DEE2C"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36,737</w:t>
            </w:r>
          </w:p>
        </w:tc>
        <w:tc>
          <w:tcPr>
            <w:tcW w:w="0" w:type="auto"/>
            <w:tcBorders>
              <w:top w:val="nil"/>
              <w:left w:val="nil"/>
              <w:bottom w:val="single" w:sz="4" w:space="0" w:color="auto"/>
              <w:right w:val="single" w:sz="4" w:space="0" w:color="auto"/>
            </w:tcBorders>
            <w:shd w:val="clear" w:color="000000" w:fill="EBF1DE"/>
            <w:noWrap/>
            <w:vAlign w:val="center"/>
            <w:hideMark/>
          </w:tcPr>
          <w:p w14:paraId="62F6F84E"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33,192</w:t>
            </w:r>
          </w:p>
        </w:tc>
        <w:tc>
          <w:tcPr>
            <w:tcW w:w="0" w:type="auto"/>
            <w:tcBorders>
              <w:top w:val="nil"/>
              <w:left w:val="nil"/>
              <w:bottom w:val="single" w:sz="4" w:space="0" w:color="auto"/>
              <w:right w:val="single" w:sz="4" w:space="0" w:color="auto"/>
            </w:tcBorders>
            <w:shd w:val="clear" w:color="000000" w:fill="EBF1DE"/>
            <w:noWrap/>
            <w:vAlign w:val="center"/>
            <w:hideMark/>
          </w:tcPr>
          <w:p w14:paraId="37A0BEE0"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2,018</w:t>
            </w:r>
          </w:p>
        </w:tc>
        <w:tc>
          <w:tcPr>
            <w:tcW w:w="0" w:type="auto"/>
            <w:tcBorders>
              <w:top w:val="nil"/>
              <w:left w:val="nil"/>
              <w:bottom w:val="single" w:sz="4" w:space="0" w:color="auto"/>
              <w:right w:val="single" w:sz="4" w:space="0" w:color="auto"/>
            </w:tcBorders>
            <w:shd w:val="clear" w:color="000000" w:fill="EBF1DE"/>
            <w:noWrap/>
            <w:vAlign w:val="center"/>
            <w:hideMark/>
          </w:tcPr>
          <w:p w14:paraId="2CC7587D"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1,527</w:t>
            </w:r>
          </w:p>
        </w:tc>
      </w:tr>
      <w:tr w:rsidR="00073BFC" w:rsidRPr="00105FFC" w14:paraId="41285EAA"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468C2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2A7B06D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9,512</w:t>
            </w:r>
          </w:p>
        </w:tc>
        <w:tc>
          <w:tcPr>
            <w:tcW w:w="0" w:type="auto"/>
            <w:tcBorders>
              <w:top w:val="nil"/>
              <w:left w:val="nil"/>
              <w:bottom w:val="single" w:sz="4" w:space="0" w:color="auto"/>
              <w:right w:val="single" w:sz="4" w:space="0" w:color="auto"/>
            </w:tcBorders>
            <w:shd w:val="clear" w:color="auto" w:fill="auto"/>
            <w:noWrap/>
            <w:vAlign w:val="center"/>
            <w:hideMark/>
          </w:tcPr>
          <w:p w14:paraId="4CC21DB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9,020</w:t>
            </w:r>
          </w:p>
        </w:tc>
        <w:tc>
          <w:tcPr>
            <w:tcW w:w="0" w:type="auto"/>
            <w:tcBorders>
              <w:top w:val="nil"/>
              <w:left w:val="nil"/>
              <w:bottom w:val="single" w:sz="4" w:space="0" w:color="auto"/>
              <w:right w:val="single" w:sz="4" w:space="0" w:color="auto"/>
            </w:tcBorders>
            <w:shd w:val="clear" w:color="auto" w:fill="auto"/>
            <w:noWrap/>
            <w:vAlign w:val="center"/>
            <w:hideMark/>
          </w:tcPr>
          <w:p w14:paraId="4DFA53B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236</w:t>
            </w:r>
          </w:p>
        </w:tc>
        <w:tc>
          <w:tcPr>
            <w:tcW w:w="0" w:type="auto"/>
            <w:tcBorders>
              <w:top w:val="nil"/>
              <w:left w:val="nil"/>
              <w:bottom w:val="single" w:sz="4" w:space="0" w:color="auto"/>
              <w:right w:val="single" w:sz="4" w:space="0" w:color="auto"/>
            </w:tcBorders>
            <w:shd w:val="clear" w:color="auto" w:fill="auto"/>
            <w:noWrap/>
            <w:vAlign w:val="center"/>
            <w:hideMark/>
          </w:tcPr>
          <w:p w14:paraId="176963D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256</w:t>
            </w:r>
          </w:p>
        </w:tc>
      </w:tr>
      <w:tr w:rsidR="00073BFC" w:rsidRPr="00105FFC" w14:paraId="12753895"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C469A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3E156FC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w:t>
            </w:r>
          </w:p>
        </w:tc>
        <w:tc>
          <w:tcPr>
            <w:tcW w:w="0" w:type="auto"/>
            <w:tcBorders>
              <w:top w:val="nil"/>
              <w:left w:val="nil"/>
              <w:bottom w:val="single" w:sz="4" w:space="0" w:color="auto"/>
              <w:right w:val="single" w:sz="4" w:space="0" w:color="auto"/>
            </w:tcBorders>
            <w:shd w:val="clear" w:color="auto" w:fill="auto"/>
            <w:noWrap/>
            <w:vAlign w:val="center"/>
            <w:hideMark/>
          </w:tcPr>
          <w:p w14:paraId="576EE04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1,772</w:t>
            </w:r>
          </w:p>
        </w:tc>
        <w:tc>
          <w:tcPr>
            <w:tcW w:w="0" w:type="auto"/>
            <w:tcBorders>
              <w:top w:val="nil"/>
              <w:left w:val="nil"/>
              <w:bottom w:val="single" w:sz="4" w:space="0" w:color="auto"/>
              <w:right w:val="single" w:sz="4" w:space="0" w:color="auto"/>
            </w:tcBorders>
            <w:shd w:val="clear" w:color="auto" w:fill="auto"/>
            <w:noWrap/>
            <w:vAlign w:val="center"/>
            <w:hideMark/>
          </w:tcPr>
          <w:p w14:paraId="539F686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113</w:t>
            </w:r>
          </w:p>
        </w:tc>
        <w:tc>
          <w:tcPr>
            <w:tcW w:w="0" w:type="auto"/>
            <w:tcBorders>
              <w:top w:val="nil"/>
              <w:left w:val="nil"/>
              <w:bottom w:val="single" w:sz="4" w:space="0" w:color="auto"/>
              <w:right w:val="single" w:sz="4" w:space="0" w:color="auto"/>
            </w:tcBorders>
            <w:shd w:val="clear" w:color="auto" w:fill="auto"/>
            <w:noWrap/>
            <w:vAlign w:val="center"/>
            <w:hideMark/>
          </w:tcPr>
          <w:p w14:paraId="2574F20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129</w:t>
            </w:r>
          </w:p>
        </w:tc>
      </w:tr>
      <w:tr w:rsidR="00073BFC" w:rsidRPr="00105FFC" w14:paraId="57E4FC89"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8574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79097D5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4,527</w:t>
            </w:r>
          </w:p>
        </w:tc>
        <w:tc>
          <w:tcPr>
            <w:tcW w:w="0" w:type="auto"/>
            <w:tcBorders>
              <w:top w:val="nil"/>
              <w:left w:val="nil"/>
              <w:bottom w:val="single" w:sz="4" w:space="0" w:color="auto"/>
              <w:right w:val="single" w:sz="4" w:space="0" w:color="auto"/>
            </w:tcBorders>
            <w:shd w:val="clear" w:color="auto" w:fill="auto"/>
            <w:noWrap/>
            <w:vAlign w:val="center"/>
            <w:hideMark/>
          </w:tcPr>
          <w:p w14:paraId="7C1A22B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3,978</w:t>
            </w:r>
          </w:p>
        </w:tc>
        <w:tc>
          <w:tcPr>
            <w:tcW w:w="0" w:type="auto"/>
            <w:tcBorders>
              <w:top w:val="nil"/>
              <w:left w:val="nil"/>
              <w:bottom w:val="single" w:sz="4" w:space="0" w:color="auto"/>
              <w:right w:val="single" w:sz="4" w:space="0" w:color="auto"/>
            </w:tcBorders>
            <w:shd w:val="clear" w:color="auto" w:fill="auto"/>
            <w:noWrap/>
            <w:vAlign w:val="center"/>
            <w:hideMark/>
          </w:tcPr>
          <w:p w14:paraId="11B26B4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237</w:t>
            </w:r>
          </w:p>
        </w:tc>
        <w:tc>
          <w:tcPr>
            <w:tcW w:w="0" w:type="auto"/>
            <w:tcBorders>
              <w:top w:val="nil"/>
              <w:left w:val="nil"/>
              <w:bottom w:val="single" w:sz="4" w:space="0" w:color="auto"/>
              <w:right w:val="single" w:sz="4" w:space="0" w:color="auto"/>
            </w:tcBorders>
            <w:shd w:val="clear" w:color="auto" w:fill="auto"/>
            <w:noWrap/>
            <w:vAlign w:val="center"/>
            <w:hideMark/>
          </w:tcPr>
          <w:p w14:paraId="04CA171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312</w:t>
            </w:r>
          </w:p>
        </w:tc>
      </w:tr>
      <w:tr w:rsidR="00073BFC" w:rsidRPr="00105FFC" w14:paraId="5B4D030F"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B9078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0362DE9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354</w:t>
            </w:r>
          </w:p>
        </w:tc>
        <w:tc>
          <w:tcPr>
            <w:tcW w:w="0" w:type="auto"/>
            <w:tcBorders>
              <w:top w:val="nil"/>
              <w:left w:val="nil"/>
              <w:bottom w:val="single" w:sz="4" w:space="0" w:color="auto"/>
              <w:right w:val="single" w:sz="4" w:space="0" w:color="auto"/>
            </w:tcBorders>
            <w:shd w:val="clear" w:color="auto" w:fill="auto"/>
            <w:noWrap/>
            <w:vAlign w:val="center"/>
            <w:hideMark/>
          </w:tcPr>
          <w:p w14:paraId="0302668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294</w:t>
            </w:r>
          </w:p>
        </w:tc>
        <w:tc>
          <w:tcPr>
            <w:tcW w:w="0" w:type="auto"/>
            <w:tcBorders>
              <w:top w:val="nil"/>
              <w:left w:val="nil"/>
              <w:bottom w:val="single" w:sz="4" w:space="0" w:color="auto"/>
              <w:right w:val="single" w:sz="4" w:space="0" w:color="auto"/>
            </w:tcBorders>
            <w:shd w:val="clear" w:color="auto" w:fill="auto"/>
            <w:noWrap/>
            <w:vAlign w:val="center"/>
            <w:hideMark/>
          </w:tcPr>
          <w:p w14:paraId="0E2425C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14:paraId="1BCB24B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43</w:t>
            </w:r>
          </w:p>
        </w:tc>
      </w:tr>
      <w:tr w:rsidR="00073BFC" w:rsidRPr="00105FFC" w14:paraId="1ECED618"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7B2A3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740F830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11,012</w:t>
            </w:r>
          </w:p>
        </w:tc>
        <w:tc>
          <w:tcPr>
            <w:tcW w:w="0" w:type="auto"/>
            <w:tcBorders>
              <w:top w:val="nil"/>
              <w:left w:val="nil"/>
              <w:bottom w:val="single" w:sz="4" w:space="0" w:color="auto"/>
              <w:right w:val="single" w:sz="4" w:space="0" w:color="auto"/>
            </w:tcBorders>
            <w:shd w:val="clear" w:color="auto" w:fill="auto"/>
            <w:noWrap/>
            <w:vAlign w:val="center"/>
            <w:hideMark/>
          </w:tcPr>
          <w:p w14:paraId="122297D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9,984</w:t>
            </w:r>
          </w:p>
        </w:tc>
        <w:tc>
          <w:tcPr>
            <w:tcW w:w="0" w:type="auto"/>
            <w:tcBorders>
              <w:top w:val="nil"/>
              <w:left w:val="nil"/>
              <w:bottom w:val="single" w:sz="4" w:space="0" w:color="auto"/>
              <w:right w:val="single" w:sz="4" w:space="0" w:color="auto"/>
            </w:tcBorders>
            <w:shd w:val="clear" w:color="auto" w:fill="auto"/>
            <w:noWrap/>
            <w:vAlign w:val="center"/>
            <w:hideMark/>
          </w:tcPr>
          <w:p w14:paraId="54279C9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722</w:t>
            </w:r>
          </w:p>
        </w:tc>
        <w:tc>
          <w:tcPr>
            <w:tcW w:w="0" w:type="auto"/>
            <w:tcBorders>
              <w:top w:val="nil"/>
              <w:left w:val="nil"/>
              <w:bottom w:val="single" w:sz="4" w:space="0" w:color="auto"/>
              <w:right w:val="single" w:sz="4" w:space="0" w:color="auto"/>
            </w:tcBorders>
            <w:shd w:val="clear" w:color="auto" w:fill="auto"/>
            <w:noWrap/>
            <w:vAlign w:val="center"/>
            <w:hideMark/>
          </w:tcPr>
          <w:p w14:paraId="0EB05C3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306</w:t>
            </w:r>
          </w:p>
        </w:tc>
      </w:tr>
      <w:tr w:rsidR="00073BFC" w:rsidRPr="00105FFC" w14:paraId="25C56B71"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F812F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6AFC42B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410</w:t>
            </w:r>
          </w:p>
        </w:tc>
        <w:tc>
          <w:tcPr>
            <w:tcW w:w="0" w:type="auto"/>
            <w:tcBorders>
              <w:top w:val="nil"/>
              <w:left w:val="nil"/>
              <w:bottom w:val="single" w:sz="4" w:space="0" w:color="auto"/>
              <w:right w:val="single" w:sz="4" w:space="0" w:color="auto"/>
            </w:tcBorders>
            <w:shd w:val="clear" w:color="auto" w:fill="auto"/>
            <w:noWrap/>
            <w:vAlign w:val="center"/>
            <w:hideMark/>
          </w:tcPr>
          <w:p w14:paraId="6A97DD6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319</w:t>
            </w:r>
          </w:p>
        </w:tc>
        <w:tc>
          <w:tcPr>
            <w:tcW w:w="0" w:type="auto"/>
            <w:tcBorders>
              <w:top w:val="nil"/>
              <w:left w:val="nil"/>
              <w:bottom w:val="single" w:sz="4" w:space="0" w:color="auto"/>
              <w:right w:val="single" w:sz="4" w:space="0" w:color="auto"/>
            </w:tcBorders>
            <w:shd w:val="clear" w:color="auto" w:fill="auto"/>
            <w:noWrap/>
            <w:vAlign w:val="center"/>
            <w:hideMark/>
          </w:tcPr>
          <w:p w14:paraId="5F16063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14:paraId="6AFA777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67</w:t>
            </w:r>
          </w:p>
        </w:tc>
      </w:tr>
      <w:tr w:rsidR="00073BFC" w:rsidRPr="00105FFC" w14:paraId="5F1941E0"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B7A0D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1CA273A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2,712</w:t>
            </w:r>
          </w:p>
        </w:tc>
        <w:tc>
          <w:tcPr>
            <w:tcW w:w="0" w:type="auto"/>
            <w:tcBorders>
              <w:top w:val="nil"/>
              <w:left w:val="nil"/>
              <w:bottom w:val="single" w:sz="4" w:space="0" w:color="auto"/>
              <w:right w:val="single" w:sz="4" w:space="0" w:color="auto"/>
            </w:tcBorders>
            <w:shd w:val="clear" w:color="auto" w:fill="auto"/>
            <w:noWrap/>
            <w:vAlign w:val="center"/>
            <w:hideMark/>
          </w:tcPr>
          <w:p w14:paraId="1F3BD12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2,488</w:t>
            </w:r>
          </w:p>
        </w:tc>
        <w:tc>
          <w:tcPr>
            <w:tcW w:w="0" w:type="auto"/>
            <w:tcBorders>
              <w:top w:val="nil"/>
              <w:left w:val="nil"/>
              <w:bottom w:val="single" w:sz="4" w:space="0" w:color="auto"/>
              <w:right w:val="single" w:sz="4" w:space="0" w:color="auto"/>
            </w:tcBorders>
            <w:shd w:val="clear" w:color="auto" w:fill="auto"/>
            <w:noWrap/>
            <w:vAlign w:val="center"/>
            <w:hideMark/>
          </w:tcPr>
          <w:p w14:paraId="54D42FF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115</w:t>
            </w:r>
          </w:p>
        </w:tc>
        <w:tc>
          <w:tcPr>
            <w:tcW w:w="0" w:type="auto"/>
            <w:tcBorders>
              <w:top w:val="nil"/>
              <w:left w:val="nil"/>
              <w:bottom w:val="single" w:sz="4" w:space="0" w:color="auto"/>
              <w:right w:val="single" w:sz="4" w:space="0" w:color="auto"/>
            </w:tcBorders>
            <w:shd w:val="clear" w:color="auto" w:fill="auto"/>
            <w:noWrap/>
            <w:vAlign w:val="center"/>
            <w:hideMark/>
          </w:tcPr>
          <w:p w14:paraId="6B42072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109</w:t>
            </w:r>
          </w:p>
        </w:tc>
      </w:tr>
      <w:tr w:rsidR="00073BFC" w:rsidRPr="00105FFC" w14:paraId="012A678F"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011EF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310ED05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1,494</w:t>
            </w:r>
          </w:p>
        </w:tc>
        <w:tc>
          <w:tcPr>
            <w:tcW w:w="0" w:type="auto"/>
            <w:tcBorders>
              <w:top w:val="nil"/>
              <w:left w:val="nil"/>
              <w:bottom w:val="single" w:sz="4" w:space="0" w:color="auto"/>
              <w:right w:val="single" w:sz="4" w:space="0" w:color="auto"/>
            </w:tcBorders>
            <w:shd w:val="clear" w:color="auto" w:fill="auto"/>
            <w:noWrap/>
            <w:vAlign w:val="center"/>
            <w:hideMark/>
          </w:tcPr>
          <w:p w14:paraId="205B59D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1,381</w:t>
            </w:r>
          </w:p>
        </w:tc>
        <w:tc>
          <w:tcPr>
            <w:tcW w:w="0" w:type="auto"/>
            <w:tcBorders>
              <w:top w:val="nil"/>
              <w:left w:val="nil"/>
              <w:bottom w:val="single" w:sz="4" w:space="0" w:color="auto"/>
              <w:right w:val="single" w:sz="4" w:space="0" w:color="auto"/>
            </w:tcBorders>
            <w:shd w:val="clear" w:color="auto" w:fill="auto"/>
            <w:noWrap/>
            <w:vAlign w:val="center"/>
            <w:hideMark/>
          </w:tcPr>
          <w:p w14:paraId="6B919A5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49</w:t>
            </w:r>
          </w:p>
        </w:tc>
        <w:tc>
          <w:tcPr>
            <w:tcW w:w="0" w:type="auto"/>
            <w:tcBorders>
              <w:top w:val="nil"/>
              <w:left w:val="nil"/>
              <w:bottom w:val="single" w:sz="4" w:space="0" w:color="auto"/>
              <w:right w:val="single" w:sz="4" w:space="0" w:color="auto"/>
            </w:tcBorders>
            <w:shd w:val="clear" w:color="auto" w:fill="auto"/>
            <w:noWrap/>
            <w:vAlign w:val="center"/>
            <w:hideMark/>
          </w:tcPr>
          <w:p w14:paraId="4BD9E4C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64</w:t>
            </w:r>
          </w:p>
        </w:tc>
      </w:tr>
      <w:tr w:rsidR="00073BFC" w:rsidRPr="00105FFC" w14:paraId="40C4E801"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D3947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19F2956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10,095</w:t>
            </w:r>
          </w:p>
        </w:tc>
        <w:tc>
          <w:tcPr>
            <w:tcW w:w="0" w:type="auto"/>
            <w:tcBorders>
              <w:top w:val="nil"/>
              <w:left w:val="nil"/>
              <w:bottom w:val="single" w:sz="4" w:space="0" w:color="auto"/>
              <w:right w:val="single" w:sz="4" w:space="0" w:color="auto"/>
            </w:tcBorders>
            <w:shd w:val="clear" w:color="auto" w:fill="auto"/>
            <w:noWrap/>
            <w:vAlign w:val="center"/>
            <w:hideMark/>
          </w:tcPr>
          <w:p w14:paraId="0A5B953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9,269</w:t>
            </w:r>
          </w:p>
        </w:tc>
        <w:tc>
          <w:tcPr>
            <w:tcW w:w="0" w:type="auto"/>
            <w:tcBorders>
              <w:top w:val="nil"/>
              <w:left w:val="nil"/>
              <w:bottom w:val="single" w:sz="4" w:space="0" w:color="auto"/>
              <w:right w:val="single" w:sz="4" w:space="0" w:color="auto"/>
            </w:tcBorders>
            <w:shd w:val="clear" w:color="auto" w:fill="auto"/>
            <w:noWrap/>
            <w:vAlign w:val="center"/>
            <w:hideMark/>
          </w:tcPr>
          <w:p w14:paraId="767873A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571</w:t>
            </w:r>
          </w:p>
        </w:tc>
        <w:tc>
          <w:tcPr>
            <w:tcW w:w="0" w:type="auto"/>
            <w:tcBorders>
              <w:top w:val="nil"/>
              <w:left w:val="nil"/>
              <w:bottom w:val="single" w:sz="4" w:space="0" w:color="auto"/>
              <w:right w:val="single" w:sz="4" w:space="0" w:color="auto"/>
            </w:tcBorders>
            <w:shd w:val="clear" w:color="auto" w:fill="auto"/>
            <w:noWrap/>
            <w:vAlign w:val="center"/>
            <w:hideMark/>
          </w:tcPr>
          <w:p w14:paraId="05F91C7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255</w:t>
            </w:r>
          </w:p>
        </w:tc>
      </w:tr>
    </w:tbl>
    <w:p w14:paraId="5D0536BE" w14:textId="77777777" w:rsidR="00164521" w:rsidRPr="00105FFC" w:rsidRDefault="00073BFC" w:rsidP="00073BFC">
      <w:pPr>
        <w:spacing w:after="120"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2C1202B2" w14:textId="77777777" w:rsidR="00164521" w:rsidRPr="00105FFC" w:rsidRDefault="00164521">
      <w:pPr>
        <w:spacing w:after="200" w:line="276" w:lineRule="auto"/>
        <w:rPr>
          <w:rFonts w:asciiTheme="minorHAnsi" w:eastAsiaTheme="minorHAnsi" w:hAnsiTheme="minorHAnsi" w:cs="Tahoma"/>
          <w:sz w:val="16"/>
          <w:szCs w:val="16"/>
        </w:rPr>
      </w:pPr>
      <w:r w:rsidRPr="00105FFC">
        <w:rPr>
          <w:rFonts w:asciiTheme="minorHAnsi" w:eastAsiaTheme="minorHAnsi" w:hAnsiTheme="minorHAnsi" w:cs="Tahoma"/>
          <w:sz w:val="16"/>
          <w:szCs w:val="16"/>
        </w:rPr>
        <w:br w:type="page"/>
      </w:r>
    </w:p>
    <w:p w14:paraId="49FE412D" w14:textId="77777777" w:rsidR="00073BFC" w:rsidRPr="00105FFC" w:rsidRDefault="001641BD" w:rsidP="00073BFC">
      <w:pPr>
        <w:rPr>
          <w:rFonts w:asciiTheme="minorHAnsi" w:eastAsiaTheme="minorHAnsi" w:hAnsiTheme="minorHAnsi" w:cstheme="minorBidi"/>
          <w:bCs/>
          <w:sz w:val="20"/>
          <w:szCs w:val="20"/>
        </w:rPr>
      </w:pPr>
      <w:bookmarkStart w:id="334" w:name="_Toc458782969"/>
      <w:bookmarkStart w:id="335" w:name="_Toc459285080"/>
      <w:bookmarkStart w:id="336" w:name="_Toc459285271"/>
      <w:bookmarkStart w:id="337" w:name="_Toc459286712"/>
      <w:r w:rsidRPr="00105FFC">
        <w:rPr>
          <w:rFonts w:asciiTheme="minorHAnsi" w:eastAsiaTheme="minorHAnsi" w:hAnsiTheme="minorHAnsi" w:cstheme="minorBidi"/>
          <w:b/>
          <w:bCs/>
          <w:sz w:val="20"/>
          <w:szCs w:val="20"/>
        </w:rPr>
        <w:t xml:space="preserve">Figure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Figure \* ARABIC </w:instrText>
      </w:r>
      <w:r w:rsidR="00073BFC" w:rsidRPr="00105FFC">
        <w:rPr>
          <w:rFonts w:asciiTheme="minorHAnsi" w:eastAsiaTheme="minorHAnsi" w:hAnsiTheme="minorHAnsi" w:cstheme="minorBidi"/>
          <w:b/>
          <w:bCs/>
          <w:sz w:val="20"/>
          <w:szCs w:val="20"/>
        </w:rPr>
        <w:fldChar w:fldCharType="separate"/>
      </w:r>
      <w:r w:rsidR="000E1B8E">
        <w:rPr>
          <w:rFonts w:asciiTheme="minorHAnsi" w:eastAsiaTheme="minorHAnsi" w:hAnsiTheme="minorHAnsi" w:cstheme="minorBidi"/>
          <w:b/>
          <w:bCs/>
          <w:noProof/>
          <w:sz w:val="20"/>
          <w:szCs w:val="20"/>
        </w:rPr>
        <w:t>31</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
          <w:bCs/>
          <w:sz w:val="18"/>
          <w:szCs w:val="18"/>
        </w:rPr>
        <w:t xml:space="preserve"> </w:t>
      </w:r>
      <w:r w:rsidR="00073BFC" w:rsidRPr="00105FFC">
        <w:rPr>
          <w:rFonts w:asciiTheme="minorHAnsi" w:eastAsiaTheme="minorHAnsi" w:hAnsiTheme="minorHAnsi" w:cstheme="minorBidi"/>
          <w:bCs/>
          <w:sz w:val="20"/>
          <w:szCs w:val="20"/>
        </w:rPr>
        <w:t>Total Medi-Cal Participating Primary Care Providers from SFY 2013-14 to 2014-15, by Geographic Region</w:t>
      </w:r>
      <w:bookmarkEnd w:id="334"/>
      <w:bookmarkEnd w:id="335"/>
      <w:bookmarkEnd w:id="336"/>
      <w:bookmarkEnd w:id="337"/>
    </w:p>
    <w:p w14:paraId="3A17455F" w14:textId="77777777" w:rsidR="00073BFC" w:rsidRPr="00105FFC" w:rsidRDefault="00073BFC" w:rsidP="00073BFC">
      <w:pPr>
        <w:spacing w:line="276" w:lineRule="auto"/>
        <w:rPr>
          <w:rFonts w:asciiTheme="minorHAnsi" w:eastAsiaTheme="minorHAnsi" w:hAnsiTheme="minorHAnsi" w:cstheme="minorBidi"/>
          <w:sz w:val="22"/>
          <w:szCs w:val="22"/>
        </w:rPr>
      </w:pPr>
      <w:r w:rsidRPr="00105FFC">
        <w:rPr>
          <w:rFonts w:asciiTheme="minorHAnsi" w:eastAsiaTheme="minorHAnsi" w:hAnsiTheme="minorHAnsi" w:cstheme="minorBidi"/>
          <w:noProof/>
          <w:sz w:val="22"/>
          <w:szCs w:val="22"/>
        </w:rPr>
        <w:drawing>
          <wp:inline distT="0" distB="0" distL="0" distR="0" wp14:anchorId="1DDBABF3" wp14:editId="0F605CC0">
            <wp:extent cx="5943600" cy="2743200"/>
            <wp:effectExtent l="0" t="0" r="0" b="0"/>
            <wp:docPr id="44" name="Chart 44" descr="STATEWIDE: 2013-14 34,712; 2014-15 36,737 &#10;&#10;Bay Area: 2013-14   9,091; 2014-15   9,512 &#10;&#10;Central Coast: 2013-14   1,950; 2014-15   2,014 &#10;&#10;Central Valley: 2013-14   4,345; 2014-15   4,527 &#10;&#10;Far North: 2013-14 390; 2014-15 354 &#10;&#10;Los Angeles: 2013-14 10,047; 2014-15 11,012 &#10;&#10;North Coast: 2013-14 480; 2014-15 410 &#10;&#10;Sacramento Valley: 2013-14   2,688; 2014-15   2,712 &#10;&#10;Sierra Range/Foothills: 2013-14   1,524; 2014-15   1,494 &#10;&#10;Southern California: 2013-14   9,494; 2014-15 10,095 &#10;" title="Total Medi-Cal Participating Primary Care Providers from SFY 2013-14 to 2014-15, by Geographic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9CD282D" w14:textId="77777777" w:rsidR="00073BFC" w:rsidRPr="00105FFC" w:rsidRDefault="00073BFC" w:rsidP="00374BF0">
      <w:pPr>
        <w:spacing w:after="120"/>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3E8B17F2" w14:textId="77777777" w:rsidR="002A1066" w:rsidRPr="00105FFC" w:rsidRDefault="002A1066" w:rsidP="002A1066">
      <w:pPr>
        <w:spacing w:line="276" w:lineRule="auto"/>
        <w:rPr>
          <w:rFonts w:asciiTheme="minorHAnsi" w:eastAsiaTheme="minorHAnsi" w:hAnsiTheme="minorHAnsi" w:cstheme="minorBidi"/>
        </w:rPr>
      </w:pPr>
    </w:p>
    <w:p w14:paraId="79227155" w14:textId="77777777" w:rsidR="002A1066" w:rsidRPr="00105FFC" w:rsidRDefault="002A1066" w:rsidP="002A1066">
      <w:pPr>
        <w:spacing w:line="276" w:lineRule="auto"/>
        <w:rPr>
          <w:rFonts w:asciiTheme="minorHAnsi" w:eastAsiaTheme="minorHAnsi" w:hAnsiTheme="minorHAnsi" w:cstheme="minorBidi"/>
        </w:rPr>
      </w:pPr>
      <w:r w:rsidRPr="00105FFC">
        <w:rPr>
          <w:rFonts w:asciiTheme="minorHAnsi" w:eastAsiaTheme="minorHAnsi" w:hAnsiTheme="minorHAnsi" w:cstheme="minorBidi"/>
        </w:rPr>
        <w:t>Table 1</w:t>
      </w:r>
      <w:r w:rsidR="00581549" w:rsidRPr="00105FFC">
        <w:rPr>
          <w:rFonts w:asciiTheme="minorHAnsi" w:eastAsiaTheme="minorHAnsi" w:hAnsiTheme="minorHAnsi" w:cstheme="minorBidi"/>
        </w:rPr>
        <w:t>8</w:t>
      </w:r>
      <w:r w:rsidRPr="00105FFC">
        <w:rPr>
          <w:rFonts w:asciiTheme="minorHAnsi" w:eastAsiaTheme="minorHAnsi" w:hAnsiTheme="minorHAnsi" w:cstheme="minorBidi"/>
        </w:rPr>
        <w:t xml:space="preserve"> di</w:t>
      </w:r>
      <w:r w:rsidR="00543514" w:rsidRPr="00105FFC">
        <w:rPr>
          <w:rFonts w:asciiTheme="minorHAnsi" w:eastAsiaTheme="minorHAnsi" w:hAnsiTheme="minorHAnsi" w:cstheme="minorBidi"/>
        </w:rPr>
        <w:t>splays FFS Full-Scope Medi-Cal eligible o</w:t>
      </w:r>
      <w:r w:rsidRPr="00105FFC">
        <w:rPr>
          <w:rFonts w:asciiTheme="minorHAnsi" w:eastAsiaTheme="minorHAnsi" w:hAnsiTheme="minorHAnsi" w:cstheme="minorBidi"/>
        </w:rPr>
        <w:t>nly beneficiary-to-primary-care-provider ra</w:t>
      </w:r>
      <w:r w:rsidR="00543514" w:rsidRPr="00105FFC">
        <w:rPr>
          <w:rFonts w:asciiTheme="minorHAnsi" w:eastAsiaTheme="minorHAnsi" w:hAnsiTheme="minorHAnsi" w:cstheme="minorBidi"/>
        </w:rPr>
        <w:t>tios in SFY 2013-14 and 2014-15</w:t>
      </w:r>
      <w:r w:rsidRPr="00105FFC">
        <w:rPr>
          <w:rFonts w:asciiTheme="minorHAnsi" w:eastAsiaTheme="minorHAnsi" w:hAnsiTheme="minorHAnsi" w:cstheme="minorBidi"/>
        </w:rPr>
        <w:t xml:space="preserve"> by geographic region. </w:t>
      </w:r>
      <w:r w:rsidR="00A164CD" w:rsidRPr="00105FFC">
        <w:rPr>
          <w:rFonts w:asciiTheme="minorHAnsi" w:eastAsiaTheme="minorHAnsi" w:hAnsiTheme="minorHAnsi" w:cstheme="minorBidi"/>
        </w:rPr>
        <w:t xml:space="preserve"> </w:t>
      </w:r>
      <w:r w:rsidR="00543514" w:rsidRPr="00105FFC">
        <w:rPr>
          <w:rFonts w:asciiTheme="minorHAnsi" w:eastAsiaTheme="minorHAnsi" w:hAnsiTheme="minorHAnsi" w:cstheme="minorBidi"/>
        </w:rPr>
        <w:t>The first two columns display the ratios for</w:t>
      </w:r>
      <w:r w:rsidR="00A164CD" w:rsidRPr="00105FFC">
        <w:rPr>
          <w:rFonts w:asciiTheme="minorHAnsi" w:eastAsiaTheme="minorHAnsi" w:hAnsiTheme="minorHAnsi" w:cstheme="minorBidi"/>
        </w:rPr>
        <w:t xml:space="preserve"> individuals who were entitled to limited scope services only and also individuals who were eligible for both Medi-Cal and Medicare services.  These groups were excluded as they are either not entitled to </w:t>
      </w:r>
      <w:r w:rsidR="00466044" w:rsidRPr="00105FFC">
        <w:rPr>
          <w:rFonts w:asciiTheme="minorHAnsi" w:eastAsiaTheme="minorHAnsi" w:hAnsiTheme="minorHAnsi" w:cstheme="minorBidi"/>
        </w:rPr>
        <w:t xml:space="preserve">Medi-Cal covered </w:t>
      </w:r>
      <w:r w:rsidR="00A164CD" w:rsidRPr="00105FFC">
        <w:rPr>
          <w:rFonts w:asciiTheme="minorHAnsi" w:eastAsiaTheme="minorHAnsi" w:hAnsiTheme="minorHAnsi" w:cstheme="minorBidi"/>
        </w:rPr>
        <w:t>primary care services, or services not classified as emergency, or Medicare generally provides most primary care services.  If these groups were included, the population to primary care ratio would be no greater than 105</w:t>
      </w:r>
      <w:r w:rsidR="003315AB" w:rsidRPr="00105FFC">
        <w:rPr>
          <w:rFonts w:asciiTheme="minorHAnsi" w:eastAsiaTheme="minorHAnsi" w:hAnsiTheme="minorHAnsi" w:cstheme="minorBidi"/>
        </w:rPr>
        <w:t xml:space="preserve"> (last column, Table 18)</w:t>
      </w:r>
      <w:r w:rsidR="00A164CD" w:rsidRPr="00105FFC">
        <w:rPr>
          <w:rFonts w:asciiTheme="minorHAnsi" w:eastAsiaTheme="minorHAnsi" w:hAnsiTheme="minorHAnsi" w:cstheme="minorBidi"/>
        </w:rPr>
        <w:t xml:space="preserve">.  </w:t>
      </w:r>
    </w:p>
    <w:p w14:paraId="3962C297" w14:textId="77777777" w:rsidR="002A1066" w:rsidRPr="00105FFC" w:rsidRDefault="002A1066" w:rsidP="00374BF0">
      <w:pPr>
        <w:spacing w:after="120"/>
        <w:rPr>
          <w:rFonts w:asciiTheme="minorHAnsi" w:eastAsiaTheme="minorHAnsi" w:hAnsiTheme="minorHAnsi" w:cs="Tahoma"/>
          <w:sz w:val="20"/>
          <w:szCs w:val="20"/>
        </w:rPr>
      </w:pPr>
    </w:p>
    <w:p w14:paraId="1CCFE650" w14:textId="77777777" w:rsidR="00774675" w:rsidRPr="00105FFC" w:rsidRDefault="00774675" w:rsidP="00774675">
      <w:pPr>
        <w:rPr>
          <w:rFonts w:asciiTheme="minorHAnsi" w:eastAsiaTheme="minorHAnsi" w:hAnsiTheme="minorHAnsi" w:cstheme="minorBidi"/>
          <w:bCs/>
          <w:sz w:val="20"/>
          <w:szCs w:val="20"/>
        </w:rPr>
      </w:pPr>
      <w:bookmarkStart w:id="338" w:name="_Toc458783093"/>
      <w:bookmarkStart w:id="339" w:name="_Toc459285163"/>
      <w:r w:rsidRPr="00105FFC">
        <w:rPr>
          <w:rFonts w:asciiTheme="minorHAnsi" w:eastAsiaTheme="minorHAnsi" w:hAnsiTheme="minorHAnsi" w:cstheme="minorBidi"/>
          <w:b/>
          <w:bCs/>
          <w:sz w:val="20"/>
          <w:szCs w:val="20"/>
        </w:rPr>
        <w:t xml:space="preserve">Table </w:t>
      </w:r>
      <w:r w:rsidRPr="00105FFC">
        <w:rPr>
          <w:rFonts w:asciiTheme="minorHAnsi" w:eastAsiaTheme="minorHAnsi" w:hAnsiTheme="minorHAnsi" w:cstheme="minorBidi"/>
          <w:b/>
          <w:bCs/>
          <w:sz w:val="20"/>
          <w:szCs w:val="20"/>
        </w:rPr>
        <w:fldChar w:fldCharType="begin"/>
      </w:r>
      <w:r w:rsidRPr="00105FFC">
        <w:rPr>
          <w:rFonts w:asciiTheme="minorHAnsi" w:eastAsiaTheme="minorHAnsi" w:hAnsiTheme="minorHAnsi" w:cstheme="minorBidi"/>
          <w:b/>
          <w:bCs/>
          <w:sz w:val="20"/>
          <w:szCs w:val="20"/>
        </w:rPr>
        <w:instrText xml:space="preserve"> SEQ Table \* ARABIC </w:instrText>
      </w:r>
      <w:r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18</w:t>
      </w:r>
      <w:r w:rsidRPr="00105FFC">
        <w:rPr>
          <w:rFonts w:asciiTheme="minorHAnsi" w:eastAsiaTheme="minorHAnsi" w:hAnsiTheme="minorHAnsi" w:cstheme="minorBidi"/>
          <w:b/>
          <w:bCs/>
          <w:sz w:val="20"/>
          <w:szCs w:val="20"/>
        </w:rPr>
        <w:fldChar w:fldCharType="end"/>
      </w:r>
      <w:r w:rsidRPr="00105FFC">
        <w:rPr>
          <w:rFonts w:asciiTheme="minorHAnsi" w:eastAsiaTheme="minorHAnsi" w:hAnsiTheme="minorHAnsi" w:cstheme="minorBidi"/>
          <w:b/>
          <w:bCs/>
          <w:sz w:val="20"/>
          <w:szCs w:val="20"/>
        </w:rPr>
        <w:t xml:space="preserve">: </w:t>
      </w:r>
      <w:r w:rsidRPr="00105FFC">
        <w:rPr>
          <w:rFonts w:asciiTheme="minorHAnsi" w:eastAsiaTheme="minorHAnsi" w:hAnsiTheme="minorHAnsi" w:cstheme="minorBidi"/>
          <w:bCs/>
          <w:sz w:val="20"/>
          <w:szCs w:val="20"/>
        </w:rPr>
        <w:t>FFS Full-Scope Medi-Cal Only Beneficiary-to-Primary-Care-Provider Ratios in SFY 2013-14 and 2014-15, by Geographic Region</w:t>
      </w:r>
      <w:bookmarkEnd w:id="338"/>
      <w:bookmarkEnd w:id="339"/>
    </w:p>
    <w:tbl>
      <w:tblPr>
        <w:tblW w:w="0" w:type="auto"/>
        <w:tblInd w:w="93" w:type="dxa"/>
        <w:tblLook w:val="04A0" w:firstRow="1" w:lastRow="0" w:firstColumn="1" w:lastColumn="0" w:noHBand="0" w:noVBand="1"/>
      </w:tblPr>
      <w:tblGrid>
        <w:gridCol w:w="2005"/>
        <w:gridCol w:w="1221"/>
        <w:gridCol w:w="1221"/>
        <w:gridCol w:w="2205"/>
      </w:tblGrid>
      <w:tr w:rsidR="00A164CD" w:rsidRPr="00105FFC" w14:paraId="662471A5" w14:textId="77777777" w:rsidTr="00F439C7">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C33B2A" w14:textId="77777777" w:rsidR="00A164CD" w:rsidRPr="00105FFC" w:rsidRDefault="00A164CD"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52C1ABA0" w14:textId="77777777" w:rsidR="00A164CD" w:rsidRPr="00105FFC" w:rsidRDefault="00A164CD"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SFY 2013-14</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6AE1EC38" w14:textId="77777777" w:rsidR="00A164CD" w:rsidRPr="00105FFC" w:rsidRDefault="00A164CD"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SFY 2014-15</w:t>
            </w:r>
          </w:p>
        </w:tc>
        <w:tc>
          <w:tcPr>
            <w:tcW w:w="2205" w:type="dxa"/>
            <w:tcBorders>
              <w:top w:val="single" w:sz="4" w:space="0" w:color="auto"/>
              <w:left w:val="nil"/>
              <w:bottom w:val="single" w:sz="4" w:space="0" w:color="auto"/>
              <w:right w:val="single" w:sz="4" w:space="0" w:color="auto"/>
            </w:tcBorders>
            <w:shd w:val="clear" w:color="000000" w:fill="F2F2F2"/>
          </w:tcPr>
          <w:p w14:paraId="78300B0A" w14:textId="77777777" w:rsidR="00A164CD" w:rsidRPr="00105FFC" w:rsidRDefault="00A164CD"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 xml:space="preserve">Population / Primary Care Ratio Assuming All FFS Eligibles </w:t>
            </w:r>
            <w:r w:rsidR="00F439C7" w:rsidRPr="00105FFC">
              <w:rPr>
                <w:rFonts w:asciiTheme="minorHAnsi" w:hAnsiTheme="minorHAnsi"/>
                <w:b/>
                <w:bCs/>
                <w:color w:val="000000"/>
                <w:sz w:val="20"/>
                <w:szCs w:val="20"/>
              </w:rPr>
              <w:t>Are Eligible for Primacy Care (SFY 14-15)</w:t>
            </w:r>
          </w:p>
        </w:tc>
      </w:tr>
      <w:tr w:rsidR="00A164CD" w:rsidRPr="00105FFC" w14:paraId="061440D5" w14:textId="77777777" w:rsidTr="00F439C7">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1F28C041" w14:textId="77777777" w:rsidR="00A164CD" w:rsidRPr="00105FFC" w:rsidRDefault="00A164CD"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79643402" w14:textId="77777777" w:rsidR="00A164CD" w:rsidRPr="00105FFC" w:rsidRDefault="00A164CD"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16.8</w:t>
            </w:r>
          </w:p>
        </w:tc>
        <w:tc>
          <w:tcPr>
            <w:tcW w:w="0" w:type="auto"/>
            <w:tcBorders>
              <w:top w:val="nil"/>
              <w:left w:val="nil"/>
              <w:bottom w:val="single" w:sz="4" w:space="0" w:color="auto"/>
              <w:right w:val="single" w:sz="4" w:space="0" w:color="auto"/>
            </w:tcBorders>
            <w:shd w:val="clear" w:color="000000" w:fill="EBF1DE"/>
            <w:noWrap/>
            <w:vAlign w:val="center"/>
            <w:hideMark/>
          </w:tcPr>
          <w:p w14:paraId="142C2BFD" w14:textId="77777777" w:rsidR="00A164CD" w:rsidRPr="00105FFC" w:rsidRDefault="00A164CD"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21.8</w:t>
            </w:r>
          </w:p>
        </w:tc>
        <w:tc>
          <w:tcPr>
            <w:tcW w:w="2205" w:type="dxa"/>
            <w:tcBorders>
              <w:top w:val="nil"/>
              <w:left w:val="nil"/>
              <w:bottom w:val="single" w:sz="4" w:space="0" w:color="auto"/>
              <w:right w:val="single" w:sz="4" w:space="0" w:color="auto"/>
            </w:tcBorders>
            <w:shd w:val="clear" w:color="000000" w:fill="EBF1DE"/>
          </w:tcPr>
          <w:p w14:paraId="7DA034BD" w14:textId="77777777" w:rsidR="00A164CD" w:rsidRPr="00105FFC" w:rsidRDefault="00F439C7"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90.9</w:t>
            </w:r>
          </w:p>
        </w:tc>
      </w:tr>
      <w:tr w:rsidR="00A164CD" w:rsidRPr="00105FFC" w14:paraId="5AB3CE28" w14:textId="77777777" w:rsidTr="00F439C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07DCC2"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12ACCCDB"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8.9</w:t>
            </w:r>
          </w:p>
        </w:tc>
        <w:tc>
          <w:tcPr>
            <w:tcW w:w="0" w:type="auto"/>
            <w:tcBorders>
              <w:top w:val="nil"/>
              <w:left w:val="nil"/>
              <w:bottom w:val="single" w:sz="4" w:space="0" w:color="auto"/>
              <w:right w:val="single" w:sz="4" w:space="0" w:color="auto"/>
            </w:tcBorders>
            <w:shd w:val="clear" w:color="auto" w:fill="auto"/>
            <w:noWrap/>
            <w:vAlign w:val="center"/>
            <w:hideMark/>
          </w:tcPr>
          <w:p w14:paraId="0A3BA0E3"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15.7</w:t>
            </w:r>
          </w:p>
        </w:tc>
        <w:tc>
          <w:tcPr>
            <w:tcW w:w="2205" w:type="dxa"/>
            <w:tcBorders>
              <w:top w:val="nil"/>
              <w:left w:val="nil"/>
              <w:bottom w:val="single" w:sz="4" w:space="0" w:color="auto"/>
              <w:right w:val="single" w:sz="4" w:space="0" w:color="auto"/>
            </w:tcBorders>
          </w:tcPr>
          <w:p w14:paraId="2C97E834" w14:textId="77777777" w:rsidR="00A164CD" w:rsidRPr="00105FFC" w:rsidRDefault="00F439C7" w:rsidP="00774675">
            <w:pPr>
              <w:jc w:val="center"/>
              <w:rPr>
                <w:rFonts w:asciiTheme="minorHAnsi" w:hAnsiTheme="minorHAnsi"/>
                <w:color w:val="000000"/>
                <w:sz w:val="20"/>
                <w:szCs w:val="20"/>
              </w:rPr>
            </w:pPr>
            <w:r w:rsidRPr="00105FFC">
              <w:rPr>
                <w:rFonts w:asciiTheme="minorHAnsi" w:hAnsiTheme="minorHAnsi"/>
                <w:color w:val="000000"/>
                <w:sz w:val="20"/>
                <w:szCs w:val="20"/>
              </w:rPr>
              <w:t>49.6</w:t>
            </w:r>
          </w:p>
        </w:tc>
      </w:tr>
      <w:tr w:rsidR="00A164CD" w:rsidRPr="00105FFC" w14:paraId="76E6D04B" w14:textId="77777777" w:rsidTr="00F439C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F8C85F"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692BB74E"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19.7</w:t>
            </w:r>
          </w:p>
        </w:tc>
        <w:tc>
          <w:tcPr>
            <w:tcW w:w="0" w:type="auto"/>
            <w:tcBorders>
              <w:top w:val="nil"/>
              <w:left w:val="nil"/>
              <w:bottom w:val="single" w:sz="4" w:space="0" w:color="auto"/>
              <w:right w:val="single" w:sz="4" w:space="0" w:color="auto"/>
            </w:tcBorders>
            <w:shd w:val="clear" w:color="auto" w:fill="auto"/>
            <w:noWrap/>
            <w:vAlign w:val="center"/>
            <w:hideMark/>
          </w:tcPr>
          <w:p w14:paraId="4D242086"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4.9</w:t>
            </w:r>
          </w:p>
        </w:tc>
        <w:tc>
          <w:tcPr>
            <w:tcW w:w="2205" w:type="dxa"/>
            <w:tcBorders>
              <w:top w:val="nil"/>
              <w:left w:val="nil"/>
              <w:bottom w:val="single" w:sz="4" w:space="0" w:color="auto"/>
              <w:right w:val="single" w:sz="4" w:space="0" w:color="auto"/>
            </w:tcBorders>
          </w:tcPr>
          <w:p w14:paraId="7E0091D0" w14:textId="77777777" w:rsidR="00A164CD" w:rsidRPr="00105FFC" w:rsidRDefault="00F439C7" w:rsidP="00774675">
            <w:pPr>
              <w:jc w:val="center"/>
              <w:rPr>
                <w:rFonts w:asciiTheme="minorHAnsi" w:hAnsiTheme="minorHAnsi"/>
                <w:color w:val="000000"/>
                <w:sz w:val="20"/>
                <w:szCs w:val="20"/>
              </w:rPr>
            </w:pPr>
            <w:r w:rsidRPr="00105FFC">
              <w:rPr>
                <w:rFonts w:asciiTheme="minorHAnsi" w:hAnsiTheme="minorHAnsi"/>
                <w:color w:val="000000"/>
                <w:sz w:val="20"/>
                <w:szCs w:val="20"/>
              </w:rPr>
              <w:t>61.8</w:t>
            </w:r>
          </w:p>
        </w:tc>
      </w:tr>
      <w:tr w:rsidR="00A164CD" w:rsidRPr="00105FFC" w14:paraId="2CE5175C" w14:textId="77777777" w:rsidTr="00F439C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D1D7A4"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004A74F1"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center"/>
            <w:hideMark/>
          </w:tcPr>
          <w:p w14:paraId="4374E42B"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31.3</w:t>
            </w:r>
          </w:p>
        </w:tc>
        <w:tc>
          <w:tcPr>
            <w:tcW w:w="2205" w:type="dxa"/>
            <w:tcBorders>
              <w:top w:val="nil"/>
              <w:left w:val="nil"/>
              <w:bottom w:val="single" w:sz="4" w:space="0" w:color="auto"/>
              <w:right w:val="single" w:sz="4" w:space="0" w:color="auto"/>
            </w:tcBorders>
          </w:tcPr>
          <w:p w14:paraId="76621C50" w14:textId="77777777" w:rsidR="00A164CD" w:rsidRPr="00105FFC" w:rsidRDefault="00F439C7" w:rsidP="00774675">
            <w:pPr>
              <w:jc w:val="center"/>
              <w:rPr>
                <w:rFonts w:asciiTheme="minorHAnsi" w:hAnsiTheme="minorHAnsi"/>
                <w:color w:val="000000"/>
                <w:sz w:val="20"/>
                <w:szCs w:val="20"/>
              </w:rPr>
            </w:pPr>
            <w:r w:rsidRPr="00105FFC">
              <w:rPr>
                <w:rFonts w:asciiTheme="minorHAnsi" w:hAnsiTheme="minorHAnsi"/>
                <w:color w:val="000000"/>
                <w:sz w:val="20"/>
                <w:szCs w:val="20"/>
              </w:rPr>
              <w:t>98.4</w:t>
            </w:r>
          </w:p>
        </w:tc>
      </w:tr>
      <w:tr w:rsidR="00A164CD" w:rsidRPr="00105FFC" w14:paraId="4D2055F8" w14:textId="77777777" w:rsidTr="00F439C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DE648"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6F384B65"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5DB1499E"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3.2</w:t>
            </w:r>
          </w:p>
        </w:tc>
        <w:tc>
          <w:tcPr>
            <w:tcW w:w="2205" w:type="dxa"/>
            <w:tcBorders>
              <w:top w:val="nil"/>
              <w:left w:val="nil"/>
              <w:bottom w:val="single" w:sz="4" w:space="0" w:color="auto"/>
              <w:right w:val="single" w:sz="4" w:space="0" w:color="auto"/>
            </w:tcBorders>
          </w:tcPr>
          <w:p w14:paraId="756209D6" w14:textId="77777777" w:rsidR="00A164CD" w:rsidRPr="00105FFC" w:rsidRDefault="00F439C7" w:rsidP="00774675">
            <w:pPr>
              <w:jc w:val="center"/>
              <w:rPr>
                <w:rFonts w:asciiTheme="minorHAnsi" w:hAnsiTheme="minorHAnsi"/>
                <w:color w:val="000000"/>
                <w:sz w:val="20"/>
                <w:szCs w:val="20"/>
              </w:rPr>
            </w:pPr>
            <w:r w:rsidRPr="00105FFC">
              <w:rPr>
                <w:rFonts w:asciiTheme="minorHAnsi" w:hAnsiTheme="minorHAnsi"/>
                <w:color w:val="000000"/>
                <w:sz w:val="20"/>
                <w:szCs w:val="20"/>
              </w:rPr>
              <w:t>44.7</w:t>
            </w:r>
          </w:p>
        </w:tc>
      </w:tr>
      <w:tr w:rsidR="00A164CD" w:rsidRPr="00105FFC" w14:paraId="4B3F47C7" w14:textId="77777777" w:rsidTr="00F439C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8EF56A"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4369DA0B"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24.5</w:t>
            </w:r>
          </w:p>
        </w:tc>
        <w:tc>
          <w:tcPr>
            <w:tcW w:w="0" w:type="auto"/>
            <w:tcBorders>
              <w:top w:val="nil"/>
              <w:left w:val="nil"/>
              <w:bottom w:val="single" w:sz="4" w:space="0" w:color="auto"/>
              <w:right w:val="single" w:sz="4" w:space="0" w:color="auto"/>
            </w:tcBorders>
            <w:shd w:val="clear" w:color="auto" w:fill="auto"/>
            <w:noWrap/>
            <w:vAlign w:val="center"/>
            <w:hideMark/>
          </w:tcPr>
          <w:p w14:paraId="4EDEBF9F"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18.3</w:t>
            </w:r>
          </w:p>
        </w:tc>
        <w:tc>
          <w:tcPr>
            <w:tcW w:w="2205" w:type="dxa"/>
            <w:tcBorders>
              <w:top w:val="nil"/>
              <w:left w:val="nil"/>
              <w:bottom w:val="single" w:sz="4" w:space="0" w:color="auto"/>
              <w:right w:val="single" w:sz="4" w:space="0" w:color="auto"/>
            </w:tcBorders>
          </w:tcPr>
          <w:p w14:paraId="526A189E" w14:textId="77777777" w:rsidR="00A164CD" w:rsidRPr="00105FFC" w:rsidRDefault="00F439C7" w:rsidP="00774675">
            <w:pPr>
              <w:jc w:val="center"/>
              <w:rPr>
                <w:rFonts w:asciiTheme="minorHAnsi" w:hAnsiTheme="minorHAnsi"/>
                <w:color w:val="000000"/>
                <w:sz w:val="20"/>
                <w:szCs w:val="20"/>
              </w:rPr>
            </w:pPr>
            <w:r w:rsidRPr="00105FFC">
              <w:rPr>
                <w:rFonts w:asciiTheme="minorHAnsi" w:hAnsiTheme="minorHAnsi"/>
                <w:color w:val="000000"/>
                <w:sz w:val="20"/>
                <w:szCs w:val="20"/>
              </w:rPr>
              <w:t>105.4</w:t>
            </w:r>
          </w:p>
        </w:tc>
      </w:tr>
      <w:tr w:rsidR="00A164CD" w:rsidRPr="00105FFC" w14:paraId="2F5A17D0" w14:textId="77777777" w:rsidTr="00F439C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18A16"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170B644F"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14:paraId="2B13D6E9"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2.1</w:t>
            </w:r>
          </w:p>
        </w:tc>
        <w:tc>
          <w:tcPr>
            <w:tcW w:w="2205" w:type="dxa"/>
            <w:tcBorders>
              <w:top w:val="nil"/>
              <w:left w:val="nil"/>
              <w:bottom w:val="single" w:sz="4" w:space="0" w:color="auto"/>
              <w:right w:val="single" w:sz="4" w:space="0" w:color="auto"/>
            </w:tcBorders>
          </w:tcPr>
          <w:p w14:paraId="33286291" w14:textId="77777777" w:rsidR="00A164CD" w:rsidRPr="00105FFC" w:rsidRDefault="00F439C7" w:rsidP="00774675">
            <w:pPr>
              <w:jc w:val="center"/>
              <w:rPr>
                <w:rFonts w:asciiTheme="minorHAnsi" w:hAnsiTheme="minorHAnsi"/>
                <w:color w:val="000000"/>
                <w:sz w:val="20"/>
                <w:szCs w:val="20"/>
              </w:rPr>
            </w:pPr>
            <w:r w:rsidRPr="00105FFC">
              <w:rPr>
                <w:rFonts w:asciiTheme="minorHAnsi" w:hAnsiTheme="minorHAnsi"/>
                <w:color w:val="000000"/>
                <w:sz w:val="20"/>
                <w:szCs w:val="20"/>
              </w:rPr>
              <w:t>45.6</w:t>
            </w:r>
          </w:p>
        </w:tc>
      </w:tr>
      <w:tr w:rsidR="00A164CD" w:rsidRPr="00105FFC" w14:paraId="5EB0C48E" w14:textId="77777777" w:rsidTr="00F439C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056D0"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5B1F31A4"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6.0</w:t>
            </w:r>
          </w:p>
        </w:tc>
        <w:tc>
          <w:tcPr>
            <w:tcW w:w="0" w:type="auto"/>
            <w:tcBorders>
              <w:top w:val="nil"/>
              <w:left w:val="nil"/>
              <w:bottom w:val="single" w:sz="4" w:space="0" w:color="auto"/>
              <w:right w:val="single" w:sz="4" w:space="0" w:color="auto"/>
            </w:tcBorders>
            <w:shd w:val="clear" w:color="auto" w:fill="auto"/>
            <w:noWrap/>
            <w:vAlign w:val="center"/>
            <w:hideMark/>
          </w:tcPr>
          <w:p w14:paraId="56C056BD"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29.8</w:t>
            </w:r>
          </w:p>
        </w:tc>
        <w:tc>
          <w:tcPr>
            <w:tcW w:w="2205" w:type="dxa"/>
            <w:tcBorders>
              <w:top w:val="nil"/>
              <w:left w:val="nil"/>
              <w:bottom w:val="single" w:sz="4" w:space="0" w:color="auto"/>
              <w:right w:val="single" w:sz="4" w:space="0" w:color="auto"/>
            </w:tcBorders>
          </w:tcPr>
          <w:p w14:paraId="2BCC7BA9" w14:textId="77777777" w:rsidR="00A164CD" w:rsidRPr="00105FFC" w:rsidRDefault="00F439C7" w:rsidP="00774675">
            <w:pPr>
              <w:jc w:val="center"/>
              <w:rPr>
                <w:rFonts w:asciiTheme="minorHAnsi" w:hAnsiTheme="minorHAnsi"/>
                <w:color w:val="000000"/>
                <w:sz w:val="20"/>
                <w:szCs w:val="20"/>
              </w:rPr>
            </w:pPr>
            <w:r w:rsidRPr="00105FFC">
              <w:rPr>
                <w:rFonts w:asciiTheme="minorHAnsi" w:hAnsiTheme="minorHAnsi"/>
                <w:color w:val="000000"/>
                <w:sz w:val="20"/>
                <w:szCs w:val="20"/>
              </w:rPr>
              <w:t>80.7</w:t>
            </w:r>
          </w:p>
        </w:tc>
      </w:tr>
      <w:tr w:rsidR="00A164CD" w:rsidRPr="00105FFC" w14:paraId="7761521D" w14:textId="77777777" w:rsidTr="00F439C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16456"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1F230E89"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14:paraId="1EF168B3"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15.7</w:t>
            </w:r>
          </w:p>
        </w:tc>
        <w:tc>
          <w:tcPr>
            <w:tcW w:w="2205" w:type="dxa"/>
            <w:tcBorders>
              <w:top w:val="nil"/>
              <w:left w:val="nil"/>
              <w:bottom w:val="single" w:sz="4" w:space="0" w:color="auto"/>
              <w:right w:val="single" w:sz="4" w:space="0" w:color="auto"/>
            </w:tcBorders>
          </w:tcPr>
          <w:p w14:paraId="2E4A6715" w14:textId="77777777" w:rsidR="00A164CD" w:rsidRPr="00105FFC" w:rsidRDefault="00F439C7" w:rsidP="00774675">
            <w:pPr>
              <w:jc w:val="center"/>
              <w:rPr>
                <w:rFonts w:asciiTheme="minorHAnsi" w:hAnsiTheme="minorHAnsi"/>
                <w:color w:val="000000"/>
                <w:sz w:val="20"/>
                <w:szCs w:val="20"/>
              </w:rPr>
            </w:pPr>
            <w:r w:rsidRPr="00105FFC">
              <w:rPr>
                <w:rFonts w:asciiTheme="minorHAnsi" w:hAnsiTheme="minorHAnsi"/>
                <w:color w:val="000000"/>
                <w:sz w:val="20"/>
                <w:szCs w:val="20"/>
              </w:rPr>
              <w:t>49.0</w:t>
            </w:r>
          </w:p>
        </w:tc>
      </w:tr>
      <w:tr w:rsidR="00A164CD" w:rsidRPr="00105FFC" w14:paraId="4A0B6F99" w14:textId="77777777" w:rsidTr="00F439C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98194B"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450F4EB4"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11.5</w:t>
            </w:r>
          </w:p>
        </w:tc>
        <w:tc>
          <w:tcPr>
            <w:tcW w:w="0" w:type="auto"/>
            <w:tcBorders>
              <w:top w:val="nil"/>
              <w:left w:val="nil"/>
              <w:bottom w:val="single" w:sz="4" w:space="0" w:color="auto"/>
              <w:right w:val="single" w:sz="4" w:space="0" w:color="auto"/>
            </w:tcBorders>
            <w:shd w:val="clear" w:color="auto" w:fill="auto"/>
            <w:noWrap/>
            <w:vAlign w:val="center"/>
            <w:hideMark/>
          </w:tcPr>
          <w:p w14:paraId="774B1DFD" w14:textId="77777777" w:rsidR="00A164CD" w:rsidRPr="00105FFC" w:rsidRDefault="00A164CD" w:rsidP="00774675">
            <w:pPr>
              <w:jc w:val="center"/>
              <w:rPr>
                <w:rFonts w:asciiTheme="minorHAnsi" w:hAnsiTheme="minorHAnsi"/>
                <w:color w:val="000000"/>
                <w:sz w:val="20"/>
                <w:szCs w:val="20"/>
              </w:rPr>
            </w:pPr>
            <w:r w:rsidRPr="00105FFC">
              <w:rPr>
                <w:rFonts w:asciiTheme="minorHAnsi" w:hAnsiTheme="minorHAnsi"/>
                <w:color w:val="000000"/>
                <w:sz w:val="20"/>
                <w:szCs w:val="20"/>
              </w:rPr>
              <w:t>19.0</w:t>
            </w:r>
          </w:p>
        </w:tc>
        <w:tc>
          <w:tcPr>
            <w:tcW w:w="2205" w:type="dxa"/>
            <w:tcBorders>
              <w:top w:val="nil"/>
              <w:left w:val="nil"/>
              <w:bottom w:val="single" w:sz="4" w:space="0" w:color="auto"/>
              <w:right w:val="single" w:sz="4" w:space="0" w:color="auto"/>
            </w:tcBorders>
          </w:tcPr>
          <w:p w14:paraId="17CA6182" w14:textId="77777777" w:rsidR="00A164CD" w:rsidRPr="00105FFC" w:rsidRDefault="00F439C7" w:rsidP="00774675">
            <w:pPr>
              <w:jc w:val="center"/>
              <w:rPr>
                <w:rFonts w:asciiTheme="minorHAnsi" w:hAnsiTheme="minorHAnsi"/>
                <w:color w:val="000000"/>
                <w:sz w:val="20"/>
                <w:szCs w:val="20"/>
              </w:rPr>
            </w:pPr>
            <w:r w:rsidRPr="00105FFC">
              <w:rPr>
                <w:rFonts w:asciiTheme="minorHAnsi" w:hAnsiTheme="minorHAnsi"/>
                <w:color w:val="000000"/>
                <w:sz w:val="20"/>
                <w:szCs w:val="20"/>
              </w:rPr>
              <w:t>80.6</w:t>
            </w:r>
          </w:p>
        </w:tc>
      </w:tr>
    </w:tbl>
    <w:p w14:paraId="33C52357" w14:textId="77777777" w:rsidR="00164521" w:rsidRPr="00105FFC" w:rsidRDefault="00774675" w:rsidP="002A1066">
      <w:pPr>
        <w:spacing w:line="276" w:lineRule="auto"/>
        <w:rPr>
          <w:rFonts w:asciiTheme="minorHAnsi" w:eastAsiaTheme="minorHAnsi" w:hAnsiTheme="minorHAnsi" w:cstheme="minorBidi"/>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2CE98385" w14:textId="77777777" w:rsidR="002A1066" w:rsidRPr="00105FFC" w:rsidRDefault="002A1066" w:rsidP="002A1066">
      <w:pPr>
        <w:spacing w:line="276" w:lineRule="auto"/>
        <w:rPr>
          <w:rFonts w:asciiTheme="minorHAnsi" w:eastAsiaTheme="minorHAnsi" w:hAnsiTheme="minorHAnsi" w:cstheme="minorBidi"/>
        </w:rPr>
      </w:pPr>
    </w:p>
    <w:p w14:paraId="156740AA" w14:textId="77777777" w:rsidR="00164521" w:rsidRPr="00105FFC" w:rsidRDefault="00164521" w:rsidP="002A1066">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Statewide during both SFY 2013-14 and SFY 2014-15, Primary Care providers that provided services to Medi-Cal beneficiaries were concentrated in the Clinic (22,906 during SFY 2013-14 </w:t>
      </w:r>
      <w:r w:rsidR="00A13734" w:rsidRPr="00105FFC">
        <w:rPr>
          <w:rFonts w:asciiTheme="minorHAnsi" w:eastAsiaTheme="minorHAnsi" w:hAnsiTheme="minorHAnsi" w:cstheme="minorBidi"/>
        </w:rPr>
        <w:t>and 24,503 during SFY 2014-15)</w:t>
      </w:r>
      <w:r w:rsidRPr="00105FFC">
        <w:rPr>
          <w:rFonts w:asciiTheme="minorHAnsi" w:eastAsiaTheme="minorHAnsi" w:hAnsiTheme="minorHAnsi" w:cstheme="minorBidi"/>
        </w:rPr>
        <w:t xml:space="preserve"> and Hospital Outpatient (19,850 during SFY 2013-14 and 20,920 during SFY 2014-15) service settings. The geographic regions with the largest number of participating Primary Care providers during both SFY 2013-14 and SFY 2014-15, regardless of service setting, were the Bay Area, Los Angeles, and Southern California (</w:t>
      </w:r>
      <w:r w:rsidR="004D14D5" w:rsidRPr="00105FFC">
        <w:rPr>
          <w:rFonts w:asciiTheme="minorHAnsi" w:eastAsiaTheme="minorHAnsi" w:hAnsiTheme="minorHAnsi" w:cstheme="minorBidi"/>
        </w:rPr>
        <w:t xml:space="preserve">Tables </w:t>
      </w:r>
      <w:r w:rsidR="00581549" w:rsidRPr="00105FFC">
        <w:rPr>
          <w:rFonts w:asciiTheme="minorHAnsi" w:eastAsiaTheme="minorHAnsi" w:hAnsiTheme="minorHAnsi" w:cstheme="minorBidi"/>
        </w:rPr>
        <w:t>19</w:t>
      </w:r>
      <w:r w:rsidR="004D14D5" w:rsidRPr="00105FFC">
        <w:rPr>
          <w:rFonts w:asciiTheme="minorHAnsi" w:eastAsiaTheme="minorHAnsi" w:hAnsiTheme="minorHAnsi" w:cstheme="minorBidi"/>
        </w:rPr>
        <w:t>-</w:t>
      </w:r>
      <w:r w:rsidR="00581549" w:rsidRPr="00105FFC">
        <w:rPr>
          <w:rFonts w:asciiTheme="minorHAnsi" w:eastAsiaTheme="minorHAnsi" w:hAnsiTheme="minorHAnsi" w:cstheme="minorBidi"/>
        </w:rPr>
        <w:t>20</w:t>
      </w:r>
      <w:r w:rsidRPr="00105FFC">
        <w:rPr>
          <w:rFonts w:asciiTheme="minorHAnsi" w:eastAsiaTheme="minorHAnsi" w:hAnsiTheme="minorHAnsi" w:cstheme="minorBidi"/>
        </w:rPr>
        <w:t>).</w:t>
      </w:r>
    </w:p>
    <w:p w14:paraId="352867D7" w14:textId="77777777" w:rsidR="002A1066" w:rsidRPr="00105FFC" w:rsidRDefault="002A1066" w:rsidP="002A1066">
      <w:pPr>
        <w:rPr>
          <w:rFonts w:asciiTheme="minorHAnsi" w:eastAsiaTheme="minorHAnsi" w:hAnsiTheme="minorHAnsi" w:cstheme="minorBidi"/>
          <w:b/>
          <w:bCs/>
          <w:sz w:val="20"/>
          <w:szCs w:val="20"/>
        </w:rPr>
      </w:pPr>
    </w:p>
    <w:p w14:paraId="6A2471C7" w14:textId="77777777" w:rsidR="00164521" w:rsidRPr="00105FFC" w:rsidRDefault="00164521" w:rsidP="00164521">
      <w:pPr>
        <w:rPr>
          <w:rFonts w:asciiTheme="minorHAnsi" w:eastAsiaTheme="minorHAnsi" w:hAnsiTheme="minorHAnsi" w:cstheme="minorBidi"/>
          <w:b/>
          <w:bCs/>
          <w:sz w:val="20"/>
          <w:szCs w:val="20"/>
        </w:rPr>
      </w:pPr>
      <w:bookmarkStart w:id="340" w:name="_Toc458783094"/>
      <w:bookmarkStart w:id="341" w:name="_Toc459285164"/>
      <w:r w:rsidRPr="00105FFC">
        <w:rPr>
          <w:rFonts w:asciiTheme="minorHAnsi" w:eastAsiaTheme="minorHAnsi" w:hAnsiTheme="minorHAnsi" w:cstheme="minorBidi"/>
          <w:b/>
          <w:bCs/>
          <w:sz w:val="20"/>
          <w:szCs w:val="20"/>
        </w:rPr>
        <w:t xml:space="preserve">Table </w:t>
      </w:r>
      <w:r w:rsidRPr="00105FFC">
        <w:rPr>
          <w:rFonts w:asciiTheme="minorHAnsi" w:eastAsiaTheme="minorHAnsi" w:hAnsiTheme="minorHAnsi" w:cstheme="minorBidi"/>
          <w:b/>
          <w:bCs/>
          <w:sz w:val="20"/>
          <w:szCs w:val="20"/>
        </w:rPr>
        <w:fldChar w:fldCharType="begin"/>
      </w:r>
      <w:r w:rsidRPr="00105FFC">
        <w:rPr>
          <w:rFonts w:asciiTheme="minorHAnsi" w:eastAsiaTheme="minorHAnsi" w:hAnsiTheme="minorHAnsi" w:cstheme="minorBidi"/>
          <w:b/>
          <w:bCs/>
          <w:sz w:val="20"/>
          <w:szCs w:val="20"/>
        </w:rPr>
        <w:instrText xml:space="preserve"> SEQ Table \* ARABIC </w:instrText>
      </w:r>
      <w:r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19</w:t>
      </w:r>
      <w:r w:rsidRPr="00105FFC">
        <w:rPr>
          <w:rFonts w:asciiTheme="minorHAnsi" w:eastAsiaTheme="minorHAnsi" w:hAnsiTheme="minorHAnsi" w:cstheme="minorBidi"/>
          <w:b/>
          <w:bCs/>
          <w:sz w:val="20"/>
          <w:szCs w:val="20"/>
        </w:rPr>
        <w:fldChar w:fldCharType="end"/>
      </w:r>
      <w:r w:rsidRPr="00105FFC">
        <w:rPr>
          <w:rFonts w:asciiTheme="minorHAnsi" w:eastAsiaTheme="minorHAnsi" w:hAnsiTheme="minorHAnsi" w:cstheme="minorBidi"/>
          <w:b/>
          <w:bCs/>
          <w:sz w:val="20"/>
          <w:szCs w:val="20"/>
        </w:rPr>
        <w:t xml:space="preserve">: </w:t>
      </w:r>
      <w:r w:rsidRPr="00105FFC">
        <w:rPr>
          <w:rFonts w:asciiTheme="minorHAnsi" w:eastAsiaTheme="minorHAnsi" w:hAnsiTheme="minorHAnsi" w:cstheme="minorBidi"/>
          <w:bCs/>
          <w:sz w:val="20"/>
          <w:szCs w:val="20"/>
        </w:rPr>
        <w:t>Total Medi-Cal Participating Primary Care Providers in SFY 2013-14, by Service Setting and Geographic Region</w:t>
      </w:r>
      <w:bookmarkEnd w:id="340"/>
      <w:bookmarkEnd w:id="341"/>
    </w:p>
    <w:tbl>
      <w:tblPr>
        <w:tblW w:w="0" w:type="auto"/>
        <w:tblInd w:w="93" w:type="dxa"/>
        <w:tblLook w:val="04A0" w:firstRow="1" w:lastRow="0" w:firstColumn="1" w:lastColumn="0" w:noHBand="0" w:noVBand="1"/>
      </w:tblPr>
      <w:tblGrid>
        <w:gridCol w:w="2005"/>
        <w:gridCol w:w="777"/>
        <w:gridCol w:w="1130"/>
        <w:gridCol w:w="1230"/>
        <w:gridCol w:w="970"/>
      </w:tblGrid>
      <w:tr w:rsidR="00206D06" w:rsidRPr="00105FFC" w14:paraId="528C0E1D" w14:textId="77777777" w:rsidTr="00206D06">
        <w:trPr>
          <w:trHeight w:val="300"/>
        </w:trPr>
        <w:tc>
          <w:tcPr>
            <w:tcW w:w="5142"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132DD4DC" w14:textId="77777777" w:rsidR="00206D06" w:rsidRPr="00105FFC" w:rsidRDefault="00206D06" w:rsidP="00774675">
            <w:pPr>
              <w:jc w:val="center"/>
              <w:rPr>
                <w:rFonts w:asciiTheme="minorHAnsi" w:hAnsiTheme="minorHAnsi"/>
                <w:b/>
                <w:bCs/>
                <w:color w:val="FFFFFF"/>
                <w:sz w:val="20"/>
                <w:szCs w:val="20"/>
              </w:rPr>
            </w:pPr>
            <w:r w:rsidRPr="00105FFC">
              <w:rPr>
                <w:rFonts w:asciiTheme="minorHAnsi" w:hAnsiTheme="minorHAnsi"/>
                <w:b/>
                <w:bCs/>
                <w:color w:val="FFFFFF"/>
                <w:sz w:val="20"/>
                <w:szCs w:val="20"/>
              </w:rPr>
              <w:t>Primary Care Providers</w:t>
            </w:r>
          </w:p>
        </w:tc>
        <w:tc>
          <w:tcPr>
            <w:tcW w:w="970" w:type="dxa"/>
            <w:tcBorders>
              <w:top w:val="single" w:sz="4" w:space="0" w:color="auto"/>
              <w:left w:val="single" w:sz="4" w:space="0" w:color="auto"/>
              <w:bottom w:val="single" w:sz="4" w:space="0" w:color="auto"/>
              <w:right w:val="single" w:sz="4" w:space="0" w:color="000000"/>
            </w:tcBorders>
            <w:shd w:val="clear" w:color="000000" w:fill="000000"/>
          </w:tcPr>
          <w:p w14:paraId="604BAF2C" w14:textId="77777777" w:rsidR="00206D06" w:rsidRPr="00105FFC" w:rsidRDefault="00206D06" w:rsidP="00774675">
            <w:pPr>
              <w:jc w:val="center"/>
              <w:rPr>
                <w:rFonts w:asciiTheme="minorHAnsi" w:hAnsiTheme="minorHAnsi"/>
                <w:b/>
                <w:bCs/>
                <w:color w:val="FFFFFF"/>
                <w:sz w:val="20"/>
                <w:szCs w:val="20"/>
              </w:rPr>
            </w:pPr>
          </w:p>
        </w:tc>
      </w:tr>
      <w:tr w:rsidR="00206D06" w:rsidRPr="00105FFC" w14:paraId="43170401" w14:textId="77777777" w:rsidTr="00206D06">
        <w:trPr>
          <w:trHeight w:val="300"/>
        </w:trPr>
        <w:tc>
          <w:tcPr>
            <w:tcW w:w="2005" w:type="dxa"/>
            <w:tcBorders>
              <w:top w:val="nil"/>
              <w:left w:val="single" w:sz="4" w:space="0" w:color="auto"/>
              <w:bottom w:val="single" w:sz="4" w:space="0" w:color="auto"/>
              <w:right w:val="single" w:sz="4" w:space="0" w:color="auto"/>
            </w:tcBorders>
            <w:shd w:val="clear" w:color="000000" w:fill="F2F2F2"/>
            <w:noWrap/>
            <w:vAlign w:val="center"/>
            <w:hideMark/>
          </w:tcPr>
          <w:p w14:paraId="62065449"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777" w:type="dxa"/>
            <w:tcBorders>
              <w:top w:val="nil"/>
              <w:left w:val="nil"/>
              <w:bottom w:val="single" w:sz="4" w:space="0" w:color="auto"/>
              <w:right w:val="single" w:sz="4" w:space="0" w:color="auto"/>
            </w:tcBorders>
            <w:shd w:val="clear" w:color="000000" w:fill="F2F2F2"/>
            <w:noWrap/>
            <w:vAlign w:val="center"/>
          </w:tcPr>
          <w:p w14:paraId="27DC67FC"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Clinics</w:t>
            </w:r>
          </w:p>
        </w:tc>
        <w:tc>
          <w:tcPr>
            <w:tcW w:w="1130" w:type="dxa"/>
            <w:tcBorders>
              <w:top w:val="nil"/>
              <w:left w:val="nil"/>
              <w:bottom w:val="single" w:sz="4" w:space="0" w:color="auto"/>
              <w:right w:val="single" w:sz="4" w:space="0" w:color="auto"/>
            </w:tcBorders>
            <w:shd w:val="clear" w:color="000000" w:fill="F2F2F2"/>
            <w:noWrap/>
            <w:vAlign w:val="center"/>
          </w:tcPr>
          <w:p w14:paraId="4D8E04DD"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Outpatient</w:t>
            </w:r>
          </w:p>
        </w:tc>
        <w:tc>
          <w:tcPr>
            <w:tcW w:w="1230" w:type="dxa"/>
            <w:tcBorders>
              <w:top w:val="nil"/>
              <w:left w:val="nil"/>
              <w:bottom w:val="single" w:sz="4" w:space="0" w:color="auto"/>
              <w:right w:val="single" w:sz="4" w:space="0" w:color="auto"/>
            </w:tcBorders>
            <w:shd w:val="clear" w:color="000000" w:fill="F2F2F2"/>
            <w:noWrap/>
            <w:vAlign w:val="center"/>
          </w:tcPr>
          <w:p w14:paraId="5C5D75B7"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Emergency Department</w:t>
            </w:r>
          </w:p>
        </w:tc>
        <w:tc>
          <w:tcPr>
            <w:tcW w:w="970" w:type="dxa"/>
            <w:tcBorders>
              <w:top w:val="nil"/>
              <w:left w:val="nil"/>
              <w:bottom w:val="single" w:sz="4" w:space="0" w:color="auto"/>
              <w:right w:val="single" w:sz="4" w:space="0" w:color="auto"/>
            </w:tcBorders>
            <w:shd w:val="clear" w:color="000000" w:fill="F2F2F2"/>
            <w:vAlign w:val="center"/>
          </w:tcPr>
          <w:p w14:paraId="0879C8BF"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Other</w:t>
            </w:r>
          </w:p>
        </w:tc>
      </w:tr>
      <w:tr w:rsidR="00206D06" w:rsidRPr="00105FFC" w14:paraId="7D99AAAB" w14:textId="77777777" w:rsidTr="00206D06">
        <w:trPr>
          <w:trHeight w:val="300"/>
        </w:trPr>
        <w:tc>
          <w:tcPr>
            <w:tcW w:w="2005" w:type="dxa"/>
            <w:tcBorders>
              <w:top w:val="nil"/>
              <w:left w:val="single" w:sz="4" w:space="0" w:color="auto"/>
              <w:bottom w:val="single" w:sz="4" w:space="0" w:color="auto"/>
              <w:right w:val="single" w:sz="4" w:space="0" w:color="auto"/>
            </w:tcBorders>
            <w:shd w:val="clear" w:color="000000" w:fill="EBF1DE"/>
            <w:noWrap/>
            <w:vAlign w:val="center"/>
            <w:hideMark/>
          </w:tcPr>
          <w:p w14:paraId="6501722D"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777" w:type="dxa"/>
            <w:tcBorders>
              <w:top w:val="nil"/>
              <w:left w:val="nil"/>
              <w:bottom w:val="single" w:sz="4" w:space="0" w:color="auto"/>
              <w:right w:val="single" w:sz="4" w:space="0" w:color="auto"/>
            </w:tcBorders>
            <w:shd w:val="clear" w:color="000000" w:fill="EBF1DE"/>
            <w:noWrap/>
            <w:vAlign w:val="center"/>
          </w:tcPr>
          <w:p w14:paraId="0386240F"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22,906</w:t>
            </w:r>
          </w:p>
        </w:tc>
        <w:tc>
          <w:tcPr>
            <w:tcW w:w="1130" w:type="dxa"/>
            <w:tcBorders>
              <w:top w:val="nil"/>
              <w:left w:val="nil"/>
              <w:bottom w:val="single" w:sz="4" w:space="0" w:color="auto"/>
              <w:right w:val="single" w:sz="4" w:space="0" w:color="auto"/>
            </w:tcBorders>
            <w:shd w:val="clear" w:color="000000" w:fill="EBF1DE"/>
            <w:noWrap/>
            <w:vAlign w:val="center"/>
          </w:tcPr>
          <w:p w14:paraId="4C2202A7"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19,850</w:t>
            </w:r>
          </w:p>
        </w:tc>
        <w:tc>
          <w:tcPr>
            <w:tcW w:w="1230" w:type="dxa"/>
            <w:tcBorders>
              <w:top w:val="nil"/>
              <w:left w:val="nil"/>
              <w:bottom w:val="single" w:sz="4" w:space="0" w:color="auto"/>
              <w:right w:val="single" w:sz="4" w:space="0" w:color="auto"/>
            </w:tcBorders>
            <w:shd w:val="clear" w:color="000000" w:fill="EBF1DE"/>
            <w:noWrap/>
            <w:vAlign w:val="center"/>
          </w:tcPr>
          <w:p w14:paraId="4FCCAB24"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5,793</w:t>
            </w:r>
          </w:p>
        </w:tc>
        <w:tc>
          <w:tcPr>
            <w:tcW w:w="970" w:type="dxa"/>
            <w:tcBorders>
              <w:top w:val="nil"/>
              <w:left w:val="nil"/>
              <w:bottom w:val="single" w:sz="4" w:space="0" w:color="auto"/>
              <w:right w:val="single" w:sz="4" w:space="0" w:color="auto"/>
            </w:tcBorders>
            <w:shd w:val="clear" w:color="000000" w:fill="EBF1DE"/>
            <w:vAlign w:val="center"/>
          </w:tcPr>
          <w:p w14:paraId="79CE622F"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6,951</w:t>
            </w:r>
          </w:p>
        </w:tc>
      </w:tr>
      <w:tr w:rsidR="00206D06" w:rsidRPr="00105FFC" w14:paraId="24DE0194" w14:textId="77777777" w:rsidTr="00206D06">
        <w:trPr>
          <w:trHeight w:val="300"/>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0B355D3B"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777" w:type="dxa"/>
            <w:tcBorders>
              <w:top w:val="nil"/>
              <w:left w:val="nil"/>
              <w:bottom w:val="single" w:sz="4" w:space="0" w:color="auto"/>
              <w:right w:val="single" w:sz="4" w:space="0" w:color="auto"/>
            </w:tcBorders>
            <w:shd w:val="clear" w:color="auto" w:fill="auto"/>
            <w:noWrap/>
            <w:vAlign w:val="center"/>
          </w:tcPr>
          <w:p w14:paraId="194664B2"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5,125</w:t>
            </w:r>
          </w:p>
        </w:tc>
        <w:tc>
          <w:tcPr>
            <w:tcW w:w="1130" w:type="dxa"/>
            <w:tcBorders>
              <w:top w:val="nil"/>
              <w:left w:val="nil"/>
              <w:bottom w:val="single" w:sz="4" w:space="0" w:color="auto"/>
              <w:right w:val="single" w:sz="4" w:space="0" w:color="auto"/>
            </w:tcBorders>
            <w:shd w:val="clear" w:color="auto" w:fill="auto"/>
            <w:noWrap/>
            <w:vAlign w:val="center"/>
          </w:tcPr>
          <w:p w14:paraId="3C91C659"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5,229</w:t>
            </w:r>
          </w:p>
        </w:tc>
        <w:tc>
          <w:tcPr>
            <w:tcW w:w="1230" w:type="dxa"/>
            <w:tcBorders>
              <w:top w:val="nil"/>
              <w:left w:val="nil"/>
              <w:bottom w:val="single" w:sz="4" w:space="0" w:color="auto"/>
              <w:right w:val="single" w:sz="4" w:space="0" w:color="auto"/>
            </w:tcBorders>
            <w:shd w:val="clear" w:color="auto" w:fill="auto"/>
            <w:noWrap/>
            <w:vAlign w:val="center"/>
          </w:tcPr>
          <w:p w14:paraId="3F731B53"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1,162</w:t>
            </w:r>
          </w:p>
        </w:tc>
        <w:tc>
          <w:tcPr>
            <w:tcW w:w="970" w:type="dxa"/>
            <w:tcBorders>
              <w:top w:val="nil"/>
              <w:left w:val="nil"/>
              <w:bottom w:val="single" w:sz="4" w:space="0" w:color="auto"/>
              <w:right w:val="single" w:sz="4" w:space="0" w:color="auto"/>
            </w:tcBorders>
            <w:shd w:val="clear" w:color="auto" w:fill="auto"/>
            <w:vAlign w:val="center"/>
          </w:tcPr>
          <w:p w14:paraId="3DEC1492"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1,193</w:t>
            </w:r>
          </w:p>
        </w:tc>
      </w:tr>
      <w:tr w:rsidR="00206D06" w:rsidRPr="00105FFC" w14:paraId="2DB411FC" w14:textId="77777777" w:rsidTr="00206D06">
        <w:trPr>
          <w:trHeight w:val="300"/>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73EF4AC0"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777" w:type="dxa"/>
            <w:tcBorders>
              <w:top w:val="nil"/>
              <w:left w:val="nil"/>
              <w:bottom w:val="single" w:sz="4" w:space="0" w:color="auto"/>
              <w:right w:val="single" w:sz="4" w:space="0" w:color="auto"/>
            </w:tcBorders>
            <w:shd w:val="clear" w:color="auto" w:fill="auto"/>
            <w:noWrap/>
            <w:vAlign w:val="center"/>
          </w:tcPr>
          <w:p w14:paraId="3E13AC99"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1,190</w:t>
            </w:r>
          </w:p>
        </w:tc>
        <w:tc>
          <w:tcPr>
            <w:tcW w:w="1130" w:type="dxa"/>
            <w:tcBorders>
              <w:top w:val="nil"/>
              <w:left w:val="nil"/>
              <w:bottom w:val="single" w:sz="4" w:space="0" w:color="auto"/>
              <w:right w:val="single" w:sz="4" w:space="0" w:color="auto"/>
            </w:tcBorders>
            <w:shd w:val="clear" w:color="auto" w:fill="auto"/>
            <w:noWrap/>
            <w:vAlign w:val="center"/>
          </w:tcPr>
          <w:p w14:paraId="13D1455F"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1,120</w:t>
            </w:r>
          </w:p>
        </w:tc>
        <w:tc>
          <w:tcPr>
            <w:tcW w:w="1230" w:type="dxa"/>
            <w:tcBorders>
              <w:top w:val="nil"/>
              <w:left w:val="nil"/>
              <w:bottom w:val="single" w:sz="4" w:space="0" w:color="auto"/>
              <w:right w:val="single" w:sz="4" w:space="0" w:color="auto"/>
            </w:tcBorders>
            <w:shd w:val="clear" w:color="auto" w:fill="auto"/>
            <w:noWrap/>
            <w:vAlign w:val="center"/>
          </w:tcPr>
          <w:p w14:paraId="5E5F148B"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413</w:t>
            </w:r>
          </w:p>
        </w:tc>
        <w:tc>
          <w:tcPr>
            <w:tcW w:w="970" w:type="dxa"/>
            <w:tcBorders>
              <w:top w:val="nil"/>
              <w:left w:val="nil"/>
              <w:bottom w:val="single" w:sz="4" w:space="0" w:color="auto"/>
              <w:right w:val="single" w:sz="4" w:space="0" w:color="auto"/>
            </w:tcBorders>
            <w:shd w:val="clear" w:color="auto" w:fill="auto"/>
            <w:vAlign w:val="center"/>
          </w:tcPr>
          <w:p w14:paraId="00A3F9D5"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196</w:t>
            </w:r>
          </w:p>
        </w:tc>
      </w:tr>
      <w:tr w:rsidR="00206D06" w:rsidRPr="00105FFC" w14:paraId="6BA8D9E7" w14:textId="77777777" w:rsidTr="00206D06">
        <w:trPr>
          <w:trHeight w:val="300"/>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7022AD76"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777" w:type="dxa"/>
            <w:tcBorders>
              <w:top w:val="nil"/>
              <w:left w:val="nil"/>
              <w:bottom w:val="single" w:sz="4" w:space="0" w:color="auto"/>
              <w:right w:val="single" w:sz="4" w:space="0" w:color="auto"/>
            </w:tcBorders>
            <w:shd w:val="clear" w:color="auto" w:fill="auto"/>
            <w:noWrap/>
            <w:vAlign w:val="center"/>
          </w:tcPr>
          <w:p w14:paraId="7D65870E"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2,892</w:t>
            </w:r>
          </w:p>
        </w:tc>
        <w:tc>
          <w:tcPr>
            <w:tcW w:w="1130" w:type="dxa"/>
            <w:tcBorders>
              <w:top w:val="nil"/>
              <w:left w:val="nil"/>
              <w:bottom w:val="single" w:sz="4" w:space="0" w:color="auto"/>
              <w:right w:val="single" w:sz="4" w:space="0" w:color="auto"/>
            </w:tcBorders>
            <w:shd w:val="clear" w:color="auto" w:fill="auto"/>
            <w:noWrap/>
            <w:vAlign w:val="center"/>
          </w:tcPr>
          <w:p w14:paraId="3AFB1DFF"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2,254</w:t>
            </w:r>
          </w:p>
        </w:tc>
        <w:tc>
          <w:tcPr>
            <w:tcW w:w="1230" w:type="dxa"/>
            <w:tcBorders>
              <w:top w:val="nil"/>
              <w:left w:val="nil"/>
              <w:bottom w:val="single" w:sz="4" w:space="0" w:color="auto"/>
              <w:right w:val="single" w:sz="4" w:space="0" w:color="auto"/>
            </w:tcBorders>
            <w:shd w:val="clear" w:color="auto" w:fill="auto"/>
            <w:noWrap/>
            <w:vAlign w:val="center"/>
          </w:tcPr>
          <w:p w14:paraId="4EBA877E"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791</w:t>
            </w:r>
          </w:p>
        </w:tc>
        <w:tc>
          <w:tcPr>
            <w:tcW w:w="970" w:type="dxa"/>
            <w:tcBorders>
              <w:top w:val="nil"/>
              <w:left w:val="nil"/>
              <w:bottom w:val="single" w:sz="4" w:space="0" w:color="auto"/>
              <w:right w:val="single" w:sz="4" w:space="0" w:color="auto"/>
            </w:tcBorders>
            <w:shd w:val="clear" w:color="auto" w:fill="auto"/>
            <w:vAlign w:val="center"/>
          </w:tcPr>
          <w:p w14:paraId="64ECCE07"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875</w:t>
            </w:r>
          </w:p>
        </w:tc>
      </w:tr>
      <w:tr w:rsidR="00206D06" w:rsidRPr="00105FFC" w14:paraId="2D36CAAC" w14:textId="77777777" w:rsidTr="00206D06">
        <w:trPr>
          <w:trHeight w:val="300"/>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47BC5A52"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777" w:type="dxa"/>
            <w:tcBorders>
              <w:top w:val="nil"/>
              <w:left w:val="nil"/>
              <w:bottom w:val="single" w:sz="4" w:space="0" w:color="auto"/>
              <w:right w:val="single" w:sz="4" w:space="0" w:color="auto"/>
            </w:tcBorders>
            <w:shd w:val="clear" w:color="auto" w:fill="auto"/>
            <w:noWrap/>
            <w:vAlign w:val="center"/>
          </w:tcPr>
          <w:p w14:paraId="1FE1C8BE"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222</w:t>
            </w:r>
          </w:p>
        </w:tc>
        <w:tc>
          <w:tcPr>
            <w:tcW w:w="1130" w:type="dxa"/>
            <w:tcBorders>
              <w:top w:val="nil"/>
              <w:left w:val="nil"/>
              <w:bottom w:val="single" w:sz="4" w:space="0" w:color="auto"/>
              <w:right w:val="single" w:sz="4" w:space="0" w:color="auto"/>
            </w:tcBorders>
            <w:shd w:val="clear" w:color="auto" w:fill="auto"/>
            <w:noWrap/>
            <w:vAlign w:val="center"/>
          </w:tcPr>
          <w:p w14:paraId="33DEE968"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205</w:t>
            </w:r>
          </w:p>
        </w:tc>
        <w:tc>
          <w:tcPr>
            <w:tcW w:w="1230" w:type="dxa"/>
            <w:tcBorders>
              <w:top w:val="nil"/>
              <w:left w:val="nil"/>
              <w:bottom w:val="single" w:sz="4" w:space="0" w:color="auto"/>
              <w:right w:val="single" w:sz="4" w:space="0" w:color="auto"/>
            </w:tcBorders>
            <w:shd w:val="clear" w:color="auto" w:fill="auto"/>
            <w:noWrap/>
            <w:vAlign w:val="center"/>
          </w:tcPr>
          <w:p w14:paraId="09AD0018"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76</w:t>
            </w:r>
          </w:p>
        </w:tc>
        <w:tc>
          <w:tcPr>
            <w:tcW w:w="970" w:type="dxa"/>
            <w:tcBorders>
              <w:top w:val="nil"/>
              <w:left w:val="nil"/>
              <w:bottom w:val="single" w:sz="4" w:space="0" w:color="auto"/>
              <w:right w:val="single" w:sz="4" w:space="0" w:color="auto"/>
            </w:tcBorders>
            <w:shd w:val="clear" w:color="auto" w:fill="auto"/>
            <w:vAlign w:val="center"/>
          </w:tcPr>
          <w:p w14:paraId="4CE94CDE"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83</w:t>
            </w:r>
          </w:p>
        </w:tc>
      </w:tr>
      <w:tr w:rsidR="00206D06" w:rsidRPr="00105FFC" w14:paraId="6623EFF7" w14:textId="77777777" w:rsidTr="00206D06">
        <w:trPr>
          <w:trHeight w:val="300"/>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2A0A0326"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777" w:type="dxa"/>
            <w:tcBorders>
              <w:top w:val="nil"/>
              <w:left w:val="nil"/>
              <w:bottom w:val="single" w:sz="4" w:space="0" w:color="auto"/>
              <w:right w:val="single" w:sz="4" w:space="0" w:color="auto"/>
            </w:tcBorders>
            <w:shd w:val="clear" w:color="auto" w:fill="auto"/>
            <w:noWrap/>
            <w:vAlign w:val="center"/>
          </w:tcPr>
          <w:p w14:paraId="5D279A66"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6,357</w:t>
            </w:r>
          </w:p>
        </w:tc>
        <w:tc>
          <w:tcPr>
            <w:tcW w:w="1130" w:type="dxa"/>
            <w:tcBorders>
              <w:top w:val="nil"/>
              <w:left w:val="nil"/>
              <w:bottom w:val="single" w:sz="4" w:space="0" w:color="auto"/>
              <w:right w:val="single" w:sz="4" w:space="0" w:color="auto"/>
            </w:tcBorders>
            <w:shd w:val="clear" w:color="auto" w:fill="auto"/>
            <w:noWrap/>
            <w:vAlign w:val="center"/>
          </w:tcPr>
          <w:p w14:paraId="535B33D7"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5,012</w:t>
            </w:r>
          </w:p>
        </w:tc>
        <w:tc>
          <w:tcPr>
            <w:tcW w:w="1230" w:type="dxa"/>
            <w:tcBorders>
              <w:top w:val="nil"/>
              <w:left w:val="nil"/>
              <w:bottom w:val="single" w:sz="4" w:space="0" w:color="auto"/>
              <w:right w:val="single" w:sz="4" w:space="0" w:color="auto"/>
            </w:tcBorders>
            <w:shd w:val="clear" w:color="auto" w:fill="auto"/>
            <w:noWrap/>
            <w:vAlign w:val="center"/>
          </w:tcPr>
          <w:p w14:paraId="6CE09173"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1,310</w:t>
            </w:r>
          </w:p>
        </w:tc>
        <w:tc>
          <w:tcPr>
            <w:tcW w:w="970" w:type="dxa"/>
            <w:tcBorders>
              <w:top w:val="nil"/>
              <w:left w:val="nil"/>
              <w:bottom w:val="single" w:sz="4" w:space="0" w:color="auto"/>
              <w:right w:val="single" w:sz="4" w:space="0" w:color="auto"/>
            </w:tcBorders>
            <w:shd w:val="clear" w:color="auto" w:fill="auto"/>
            <w:vAlign w:val="center"/>
          </w:tcPr>
          <w:p w14:paraId="7E38DA84"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2,506</w:t>
            </w:r>
          </w:p>
        </w:tc>
      </w:tr>
      <w:tr w:rsidR="00206D06" w:rsidRPr="00105FFC" w14:paraId="0B058DF2" w14:textId="77777777" w:rsidTr="00206D06">
        <w:trPr>
          <w:trHeight w:val="300"/>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0BB9B3DF"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777" w:type="dxa"/>
            <w:tcBorders>
              <w:top w:val="nil"/>
              <w:left w:val="nil"/>
              <w:bottom w:val="single" w:sz="4" w:space="0" w:color="auto"/>
              <w:right w:val="single" w:sz="4" w:space="0" w:color="auto"/>
            </w:tcBorders>
            <w:shd w:val="clear" w:color="auto" w:fill="auto"/>
            <w:noWrap/>
            <w:vAlign w:val="center"/>
          </w:tcPr>
          <w:p w14:paraId="6E361D05"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277</w:t>
            </w:r>
          </w:p>
        </w:tc>
        <w:tc>
          <w:tcPr>
            <w:tcW w:w="1130" w:type="dxa"/>
            <w:tcBorders>
              <w:top w:val="nil"/>
              <w:left w:val="nil"/>
              <w:bottom w:val="single" w:sz="4" w:space="0" w:color="auto"/>
              <w:right w:val="single" w:sz="4" w:space="0" w:color="auto"/>
            </w:tcBorders>
            <w:shd w:val="clear" w:color="auto" w:fill="auto"/>
            <w:noWrap/>
            <w:vAlign w:val="center"/>
          </w:tcPr>
          <w:p w14:paraId="2D042CB3"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326</w:t>
            </w:r>
          </w:p>
        </w:tc>
        <w:tc>
          <w:tcPr>
            <w:tcW w:w="1230" w:type="dxa"/>
            <w:tcBorders>
              <w:top w:val="nil"/>
              <w:left w:val="nil"/>
              <w:bottom w:val="single" w:sz="4" w:space="0" w:color="auto"/>
              <w:right w:val="single" w:sz="4" w:space="0" w:color="auto"/>
            </w:tcBorders>
            <w:shd w:val="clear" w:color="auto" w:fill="auto"/>
            <w:noWrap/>
            <w:vAlign w:val="center"/>
          </w:tcPr>
          <w:p w14:paraId="14338774"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92</w:t>
            </w:r>
          </w:p>
        </w:tc>
        <w:tc>
          <w:tcPr>
            <w:tcW w:w="970" w:type="dxa"/>
            <w:tcBorders>
              <w:top w:val="nil"/>
              <w:left w:val="nil"/>
              <w:bottom w:val="single" w:sz="4" w:space="0" w:color="auto"/>
              <w:right w:val="single" w:sz="4" w:space="0" w:color="auto"/>
            </w:tcBorders>
            <w:shd w:val="clear" w:color="auto" w:fill="auto"/>
            <w:vAlign w:val="center"/>
          </w:tcPr>
          <w:p w14:paraId="17E01801"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81</w:t>
            </w:r>
          </w:p>
        </w:tc>
      </w:tr>
      <w:tr w:rsidR="00206D06" w:rsidRPr="00105FFC" w14:paraId="61A53E69" w14:textId="77777777" w:rsidTr="00206D06">
        <w:trPr>
          <w:trHeight w:val="300"/>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6F233D80"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777" w:type="dxa"/>
            <w:tcBorders>
              <w:top w:val="nil"/>
              <w:left w:val="nil"/>
              <w:bottom w:val="single" w:sz="4" w:space="0" w:color="auto"/>
              <w:right w:val="single" w:sz="4" w:space="0" w:color="auto"/>
            </w:tcBorders>
            <w:shd w:val="clear" w:color="auto" w:fill="auto"/>
            <w:noWrap/>
            <w:vAlign w:val="center"/>
          </w:tcPr>
          <w:p w14:paraId="35FB475E"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1,483</w:t>
            </w:r>
          </w:p>
        </w:tc>
        <w:tc>
          <w:tcPr>
            <w:tcW w:w="1130" w:type="dxa"/>
            <w:tcBorders>
              <w:top w:val="nil"/>
              <w:left w:val="nil"/>
              <w:bottom w:val="single" w:sz="4" w:space="0" w:color="auto"/>
              <w:right w:val="single" w:sz="4" w:space="0" w:color="auto"/>
            </w:tcBorders>
            <w:shd w:val="clear" w:color="auto" w:fill="auto"/>
            <w:noWrap/>
            <w:vAlign w:val="center"/>
          </w:tcPr>
          <w:p w14:paraId="03EDC256"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1,655</w:t>
            </w:r>
          </w:p>
        </w:tc>
        <w:tc>
          <w:tcPr>
            <w:tcW w:w="1230" w:type="dxa"/>
            <w:tcBorders>
              <w:top w:val="nil"/>
              <w:left w:val="nil"/>
              <w:bottom w:val="single" w:sz="4" w:space="0" w:color="auto"/>
              <w:right w:val="single" w:sz="4" w:space="0" w:color="auto"/>
            </w:tcBorders>
            <w:shd w:val="clear" w:color="auto" w:fill="auto"/>
            <w:noWrap/>
            <w:vAlign w:val="center"/>
          </w:tcPr>
          <w:p w14:paraId="534500E8"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415</w:t>
            </w:r>
          </w:p>
        </w:tc>
        <w:tc>
          <w:tcPr>
            <w:tcW w:w="970" w:type="dxa"/>
            <w:tcBorders>
              <w:top w:val="nil"/>
              <w:left w:val="nil"/>
              <w:bottom w:val="single" w:sz="4" w:space="0" w:color="auto"/>
              <w:right w:val="single" w:sz="4" w:space="0" w:color="auto"/>
            </w:tcBorders>
            <w:shd w:val="clear" w:color="auto" w:fill="auto"/>
            <w:vAlign w:val="center"/>
          </w:tcPr>
          <w:p w14:paraId="1940AFCE"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363</w:t>
            </w:r>
          </w:p>
        </w:tc>
      </w:tr>
      <w:tr w:rsidR="00206D06" w:rsidRPr="00105FFC" w14:paraId="15FC20CE" w14:textId="77777777" w:rsidTr="00206D06">
        <w:trPr>
          <w:trHeight w:val="300"/>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1B58346A"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777" w:type="dxa"/>
            <w:tcBorders>
              <w:top w:val="nil"/>
              <w:left w:val="nil"/>
              <w:bottom w:val="single" w:sz="4" w:space="0" w:color="auto"/>
              <w:right w:val="single" w:sz="4" w:space="0" w:color="auto"/>
            </w:tcBorders>
            <w:shd w:val="clear" w:color="auto" w:fill="auto"/>
            <w:noWrap/>
            <w:vAlign w:val="center"/>
          </w:tcPr>
          <w:p w14:paraId="21DF7A10"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731</w:t>
            </w:r>
          </w:p>
        </w:tc>
        <w:tc>
          <w:tcPr>
            <w:tcW w:w="1130" w:type="dxa"/>
            <w:tcBorders>
              <w:top w:val="nil"/>
              <w:left w:val="nil"/>
              <w:bottom w:val="single" w:sz="4" w:space="0" w:color="auto"/>
              <w:right w:val="single" w:sz="4" w:space="0" w:color="auto"/>
            </w:tcBorders>
            <w:shd w:val="clear" w:color="auto" w:fill="auto"/>
            <w:noWrap/>
            <w:vAlign w:val="center"/>
          </w:tcPr>
          <w:p w14:paraId="155A6A18"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905</w:t>
            </w:r>
          </w:p>
        </w:tc>
        <w:tc>
          <w:tcPr>
            <w:tcW w:w="1230" w:type="dxa"/>
            <w:tcBorders>
              <w:top w:val="nil"/>
              <w:left w:val="nil"/>
              <w:bottom w:val="single" w:sz="4" w:space="0" w:color="auto"/>
              <w:right w:val="single" w:sz="4" w:space="0" w:color="auto"/>
            </w:tcBorders>
            <w:shd w:val="clear" w:color="auto" w:fill="auto"/>
            <w:noWrap/>
            <w:vAlign w:val="center"/>
          </w:tcPr>
          <w:p w14:paraId="48A4C9A0"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233</w:t>
            </w:r>
          </w:p>
        </w:tc>
        <w:tc>
          <w:tcPr>
            <w:tcW w:w="970" w:type="dxa"/>
            <w:tcBorders>
              <w:top w:val="nil"/>
              <w:left w:val="nil"/>
              <w:bottom w:val="single" w:sz="4" w:space="0" w:color="auto"/>
              <w:right w:val="single" w:sz="4" w:space="0" w:color="auto"/>
            </w:tcBorders>
            <w:shd w:val="clear" w:color="auto" w:fill="auto"/>
            <w:vAlign w:val="center"/>
          </w:tcPr>
          <w:p w14:paraId="74D7CDB9"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218</w:t>
            </w:r>
          </w:p>
        </w:tc>
      </w:tr>
      <w:tr w:rsidR="00206D06" w:rsidRPr="00105FFC" w14:paraId="1AE9E034" w14:textId="77777777" w:rsidTr="00206D06">
        <w:trPr>
          <w:trHeight w:val="300"/>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04833636"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777" w:type="dxa"/>
            <w:tcBorders>
              <w:top w:val="nil"/>
              <w:left w:val="nil"/>
              <w:bottom w:val="single" w:sz="4" w:space="0" w:color="auto"/>
              <w:right w:val="single" w:sz="4" w:space="0" w:color="auto"/>
            </w:tcBorders>
            <w:shd w:val="clear" w:color="auto" w:fill="auto"/>
            <w:noWrap/>
            <w:vAlign w:val="center"/>
          </w:tcPr>
          <w:p w14:paraId="38C37203"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5,806</w:t>
            </w:r>
          </w:p>
        </w:tc>
        <w:tc>
          <w:tcPr>
            <w:tcW w:w="1130" w:type="dxa"/>
            <w:tcBorders>
              <w:top w:val="nil"/>
              <w:left w:val="nil"/>
              <w:bottom w:val="single" w:sz="4" w:space="0" w:color="auto"/>
              <w:right w:val="single" w:sz="4" w:space="0" w:color="auto"/>
            </w:tcBorders>
            <w:shd w:val="clear" w:color="auto" w:fill="auto"/>
            <w:noWrap/>
            <w:vAlign w:val="center"/>
          </w:tcPr>
          <w:p w14:paraId="3CF9A000"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4,929</w:t>
            </w:r>
          </w:p>
        </w:tc>
        <w:tc>
          <w:tcPr>
            <w:tcW w:w="1230" w:type="dxa"/>
            <w:tcBorders>
              <w:top w:val="nil"/>
              <w:left w:val="nil"/>
              <w:bottom w:val="single" w:sz="4" w:space="0" w:color="auto"/>
              <w:right w:val="single" w:sz="4" w:space="0" w:color="auto"/>
            </w:tcBorders>
            <w:shd w:val="clear" w:color="auto" w:fill="auto"/>
            <w:noWrap/>
            <w:vAlign w:val="center"/>
          </w:tcPr>
          <w:p w14:paraId="4F7C01B5"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1,606</w:t>
            </w:r>
          </w:p>
        </w:tc>
        <w:tc>
          <w:tcPr>
            <w:tcW w:w="970" w:type="dxa"/>
            <w:tcBorders>
              <w:top w:val="nil"/>
              <w:left w:val="nil"/>
              <w:bottom w:val="single" w:sz="4" w:space="0" w:color="auto"/>
              <w:right w:val="single" w:sz="4" w:space="0" w:color="auto"/>
            </w:tcBorders>
            <w:shd w:val="clear" w:color="auto" w:fill="auto"/>
            <w:vAlign w:val="center"/>
          </w:tcPr>
          <w:p w14:paraId="635A5132"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1,891</w:t>
            </w:r>
          </w:p>
        </w:tc>
      </w:tr>
    </w:tbl>
    <w:p w14:paraId="194AFA18" w14:textId="77777777" w:rsidR="00164521" w:rsidRPr="00105FFC" w:rsidRDefault="00164521" w:rsidP="00205EF2">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6C691DF8" w14:textId="77777777" w:rsidR="00164521" w:rsidRPr="00105FFC" w:rsidRDefault="00164521" w:rsidP="00205EF2">
      <w:pPr>
        <w:spacing w:line="276" w:lineRule="auto"/>
        <w:rPr>
          <w:rFonts w:asciiTheme="minorHAnsi" w:eastAsiaTheme="minorHAnsi" w:hAnsiTheme="minorHAnsi" w:cs="Tahoma"/>
          <w:sz w:val="16"/>
          <w:szCs w:val="16"/>
        </w:rPr>
      </w:pPr>
    </w:p>
    <w:p w14:paraId="17AF963A" w14:textId="77777777" w:rsidR="00164521" w:rsidRPr="00105FFC" w:rsidRDefault="00164521" w:rsidP="00164521">
      <w:pPr>
        <w:rPr>
          <w:rFonts w:asciiTheme="minorHAnsi" w:eastAsiaTheme="minorHAnsi" w:hAnsiTheme="minorHAnsi" w:cstheme="minorBidi"/>
          <w:b/>
          <w:bCs/>
          <w:sz w:val="20"/>
          <w:szCs w:val="20"/>
        </w:rPr>
      </w:pPr>
      <w:bookmarkStart w:id="342" w:name="_Toc458783095"/>
      <w:bookmarkStart w:id="343" w:name="_Toc459285165"/>
      <w:r w:rsidRPr="00105FFC">
        <w:rPr>
          <w:rFonts w:asciiTheme="minorHAnsi" w:eastAsiaTheme="minorHAnsi" w:hAnsiTheme="minorHAnsi" w:cstheme="minorBidi"/>
          <w:b/>
          <w:bCs/>
          <w:sz w:val="20"/>
          <w:szCs w:val="20"/>
        </w:rPr>
        <w:t xml:space="preserve">Table </w:t>
      </w:r>
      <w:r w:rsidRPr="00105FFC">
        <w:rPr>
          <w:rFonts w:asciiTheme="minorHAnsi" w:eastAsiaTheme="minorHAnsi" w:hAnsiTheme="minorHAnsi" w:cstheme="minorBidi"/>
          <w:b/>
          <w:bCs/>
          <w:sz w:val="20"/>
          <w:szCs w:val="20"/>
        </w:rPr>
        <w:fldChar w:fldCharType="begin"/>
      </w:r>
      <w:r w:rsidRPr="00105FFC">
        <w:rPr>
          <w:rFonts w:asciiTheme="minorHAnsi" w:eastAsiaTheme="minorHAnsi" w:hAnsiTheme="minorHAnsi" w:cstheme="minorBidi"/>
          <w:b/>
          <w:bCs/>
          <w:sz w:val="20"/>
          <w:szCs w:val="20"/>
        </w:rPr>
        <w:instrText xml:space="preserve"> SEQ Table \* ARABIC </w:instrText>
      </w:r>
      <w:r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20</w:t>
      </w:r>
      <w:r w:rsidRPr="00105FFC">
        <w:rPr>
          <w:rFonts w:asciiTheme="minorHAnsi" w:eastAsiaTheme="minorHAnsi" w:hAnsiTheme="minorHAnsi" w:cstheme="minorBidi"/>
          <w:b/>
          <w:bCs/>
          <w:sz w:val="20"/>
          <w:szCs w:val="20"/>
        </w:rPr>
        <w:fldChar w:fldCharType="end"/>
      </w:r>
      <w:r w:rsidRPr="00105FFC">
        <w:rPr>
          <w:rFonts w:asciiTheme="minorHAnsi" w:eastAsiaTheme="minorHAnsi" w:hAnsiTheme="minorHAnsi" w:cstheme="minorBidi"/>
          <w:b/>
          <w:bCs/>
          <w:sz w:val="20"/>
          <w:szCs w:val="20"/>
        </w:rPr>
        <w:t xml:space="preserve">: </w:t>
      </w:r>
      <w:r w:rsidRPr="00105FFC">
        <w:rPr>
          <w:rFonts w:asciiTheme="minorHAnsi" w:eastAsiaTheme="minorHAnsi" w:hAnsiTheme="minorHAnsi" w:cstheme="minorBidi"/>
          <w:bCs/>
          <w:sz w:val="20"/>
          <w:szCs w:val="20"/>
        </w:rPr>
        <w:t>Total Medi-Cal Participating Primary Care Providers in SFY 2014-15, by Service Setting and Geographic Region</w:t>
      </w:r>
      <w:bookmarkEnd w:id="342"/>
      <w:bookmarkEnd w:id="343"/>
    </w:p>
    <w:tbl>
      <w:tblPr>
        <w:tblW w:w="0" w:type="auto"/>
        <w:tblInd w:w="93" w:type="dxa"/>
        <w:tblLook w:val="04A0" w:firstRow="1" w:lastRow="0" w:firstColumn="1" w:lastColumn="0" w:noHBand="0" w:noVBand="1"/>
      </w:tblPr>
      <w:tblGrid>
        <w:gridCol w:w="2005"/>
        <w:gridCol w:w="775"/>
        <w:gridCol w:w="1130"/>
        <w:gridCol w:w="1230"/>
        <w:gridCol w:w="972"/>
      </w:tblGrid>
      <w:tr w:rsidR="00164521" w:rsidRPr="00105FFC" w14:paraId="4525D1D7" w14:textId="77777777" w:rsidTr="00206D06">
        <w:trPr>
          <w:trHeight w:val="300"/>
        </w:trPr>
        <w:tc>
          <w:tcPr>
            <w:tcW w:w="6112"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4622EE89" w14:textId="77777777" w:rsidR="00164521" w:rsidRPr="00105FFC" w:rsidRDefault="00164521" w:rsidP="00774675">
            <w:pPr>
              <w:jc w:val="center"/>
              <w:rPr>
                <w:rFonts w:asciiTheme="minorHAnsi" w:hAnsiTheme="minorHAnsi"/>
                <w:b/>
                <w:bCs/>
                <w:color w:val="FFFFFF"/>
                <w:sz w:val="20"/>
                <w:szCs w:val="20"/>
              </w:rPr>
            </w:pPr>
            <w:r w:rsidRPr="00105FFC">
              <w:rPr>
                <w:rFonts w:asciiTheme="minorHAnsi" w:hAnsiTheme="minorHAnsi"/>
                <w:b/>
                <w:bCs/>
                <w:color w:val="FFFFFF"/>
                <w:sz w:val="20"/>
                <w:szCs w:val="20"/>
              </w:rPr>
              <w:t>Primary Care Providers</w:t>
            </w:r>
          </w:p>
        </w:tc>
      </w:tr>
      <w:tr w:rsidR="00206D06" w:rsidRPr="00105FFC" w14:paraId="7A820A95" w14:textId="77777777" w:rsidTr="00206D06">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6EFF74D"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tcPr>
          <w:p w14:paraId="4EEF28C7"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Clinics</w:t>
            </w:r>
          </w:p>
        </w:tc>
        <w:tc>
          <w:tcPr>
            <w:tcW w:w="1130" w:type="dxa"/>
            <w:tcBorders>
              <w:top w:val="nil"/>
              <w:left w:val="nil"/>
              <w:bottom w:val="single" w:sz="4" w:space="0" w:color="auto"/>
              <w:right w:val="single" w:sz="4" w:space="0" w:color="auto"/>
            </w:tcBorders>
            <w:shd w:val="clear" w:color="000000" w:fill="F2F2F2"/>
            <w:noWrap/>
            <w:vAlign w:val="center"/>
            <w:hideMark/>
          </w:tcPr>
          <w:p w14:paraId="47FC3209"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Outpatient</w:t>
            </w:r>
          </w:p>
        </w:tc>
        <w:tc>
          <w:tcPr>
            <w:tcW w:w="1230" w:type="dxa"/>
            <w:tcBorders>
              <w:top w:val="nil"/>
              <w:left w:val="nil"/>
              <w:bottom w:val="single" w:sz="4" w:space="0" w:color="auto"/>
              <w:right w:val="single" w:sz="4" w:space="0" w:color="auto"/>
            </w:tcBorders>
            <w:shd w:val="clear" w:color="000000" w:fill="F2F2F2"/>
            <w:noWrap/>
            <w:vAlign w:val="center"/>
          </w:tcPr>
          <w:p w14:paraId="311851A5"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Emergency Department</w:t>
            </w:r>
          </w:p>
        </w:tc>
        <w:tc>
          <w:tcPr>
            <w:tcW w:w="972" w:type="dxa"/>
            <w:tcBorders>
              <w:top w:val="nil"/>
              <w:left w:val="nil"/>
              <w:bottom w:val="single" w:sz="4" w:space="0" w:color="auto"/>
              <w:right w:val="single" w:sz="4" w:space="0" w:color="auto"/>
            </w:tcBorders>
            <w:shd w:val="clear" w:color="000000" w:fill="F2F2F2"/>
            <w:noWrap/>
            <w:vAlign w:val="center"/>
            <w:hideMark/>
          </w:tcPr>
          <w:p w14:paraId="0D0100A2"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Other</w:t>
            </w:r>
          </w:p>
        </w:tc>
      </w:tr>
      <w:tr w:rsidR="00206D06" w:rsidRPr="00105FFC" w14:paraId="16C47356" w14:textId="77777777" w:rsidTr="00206D06">
        <w:trPr>
          <w:trHeight w:val="300"/>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69DCFE1F"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tcPr>
          <w:p w14:paraId="5E0DDF2D"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24,503</w:t>
            </w:r>
          </w:p>
        </w:tc>
        <w:tc>
          <w:tcPr>
            <w:tcW w:w="1130" w:type="dxa"/>
            <w:tcBorders>
              <w:top w:val="nil"/>
              <w:left w:val="nil"/>
              <w:bottom w:val="single" w:sz="4" w:space="0" w:color="auto"/>
              <w:right w:val="single" w:sz="4" w:space="0" w:color="auto"/>
            </w:tcBorders>
            <w:shd w:val="clear" w:color="000000" w:fill="EBF1DE"/>
            <w:noWrap/>
            <w:vAlign w:val="center"/>
            <w:hideMark/>
          </w:tcPr>
          <w:p w14:paraId="55379B1C"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20,920</w:t>
            </w:r>
          </w:p>
        </w:tc>
        <w:tc>
          <w:tcPr>
            <w:tcW w:w="1230" w:type="dxa"/>
            <w:tcBorders>
              <w:top w:val="nil"/>
              <w:left w:val="nil"/>
              <w:bottom w:val="single" w:sz="4" w:space="0" w:color="auto"/>
              <w:right w:val="single" w:sz="4" w:space="0" w:color="auto"/>
            </w:tcBorders>
            <w:shd w:val="clear" w:color="000000" w:fill="EBF1DE"/>
            <w:noWrap/>
            <w:vAlign w:val="center"/>
          </w:tcPr>
          <w:p w14:paraId="5146723D"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6,263</w:t>
            </w:r>
          </w:p>
        </w:tc>
        <w:tc>
          <w:tcPr>
            <w:tcW w:w="972" w:type="dxa"/>
            <w:tcBorders>
              <w:top w:val="nil"/>
              <w:left w:val="nil"/>
              <w:bottom w:val="single" w:sz="4" w:space="0" w:color="auto"/>
              <w:right w:val="single" w:sz="4" w:space="0" w:color="auto"/>
            </w:tcBorders>
            <w:shd w:val="clear" w:color="000000" w:fill="EBF1DE"/>
            <w:noWrap/>
            <w:vAlign w:val="center"/>
            <w:hideMark/>
          </w:tcPr>
          <w:p w14:paraId="16996BAC" w14:textId="77777777" w:rsidR="00206D06" w:rsidRPr="00105FFC" w:rsidRDefault="00206D06" w:rsidP="00206D06">
            <w:pPr>
              <w:jc w:val="center"/>
              <w:rPr>
                <w:rFonts w:asciiTheme="minorHAnsi" w:hAnsiTheme="minorHAnsi"/>
                <w:b/>
                <w:bCs/>
                <w:color w:val="000000"/>
                <w:sz w:val="20"/>
                <w:szCs w:val="20"/>
              </w:rPr>
            </w:pPr>
            <w:r w:rsidRPr="00105FFC">
              <w:rPr>
                <w:rFonts w:asciiTheme="minorHAnsi" w:hAnsiTheme="minorHAnsi"/>
                <w:b/>
                <w:bCs/>
                <w:color w:val="000000"/>
                <w:sz w:val="20"/>
                <w:szCs w:val="20"/>
              </w:rPr>
              <w:t>7,744</w:t>
            </w:r>
          </w:p>
        </w:tc>
      </w:tr>
      <w:tr w:rsidR="00206D06" w:rsidRPr="00105FFC" w14:paraId="699DCEC9" w14:textId="77777777" w:rsidTr="00206D0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897985"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tcPr>
          <w:p w14:paraId="7A079D88"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5,590</w:t>
            </w:r>
          </w:p>
        </w:tc>
        <w:tc>
          <w:tcPr>
            <w:tcW w:w="1130" w:type="dxa"/>
            <w:tcBorders>
              <w:top w:val="nil"/>
              <w:left w:val="nil"/>
              <w:bottom w:val="single" w:sz="4" w:space="0" w:color="auto"/>
              <w:right w:val="single" w:sz="4" w:space="0" w:color="auto"/>
            </w:tcBorders>
            <w:shd w:val="clear" w:color="auto" w:fill="auto"/>
            <w:noWrap/>
            <w:vAlign w:val="center"/>
            <w:hideMark/>
          </w:tcPr>
          <w:p w14:paraId="11336FC8"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5,453</w:t>
            </w:r>
          </w:p>
        </w:tc>
        <w:tc>
          <w:tcPr>
            <w:tcW w:w="1230" w:type="dxa"/>
            <w:tcBorders>
              <w:top w:val="nil"/>
              <w:left w:val="nil"/>
              <w:bottom w:val="single" w:sz="4" w:space="0" w:color="auto"/>
              <w:right w:val="single" w:sz="4" w:space="0" w:color="auto"/>
            </w:tcBorders>
            <w:shd w:val="clear" w:color="auto" w:fill="auto"/>
            <w:noWrap/>
            <w:vAlign w:val="center"/>
          </w:tcPr>
          <w:p w14:paraId="7D540B6B"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1,367</w:t>
            </w:r>
          </w:p>
        </w:tc>
        <w:tc>
          <w:tcPr>
            <w:tcW w:w="972" w:type="dxa"/>
            <w:tcBorders>
              <w:top w:val="nil"/>
              <w:left w:val="nil"/>
              <w:bottom w:val="single" w:sz="4" w:space="0" w:color="auto"/>
              <w:right w:val="single" w:sz="4" w:space="0" w:color="auto"/>
            </w:tcBorders>
            <w:shd w:val="clear" w:color="auto" w:fill="auto"/>
            <w:noWrap/>
            <w:vAlign w:val="center"/>
            <w:hideMark/>
          </w:tcPr>
          <w:p w14:paraId="1C46F7D1"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1,116</w:t>
            </w:r>
          </w:p>
        </w:tc>
      </w:tr>
      <w:tr w:rsidR="00206D06" w:rsidRPr="00105FFC" w14:paraId="01A19FF7" w14:textId="77777777" w:rsidTr="00206D0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12E842"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tcPr>
          <w:p w14:paraId="7E6513C0"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1,207</w:t>
            </w:r>
          </w:p>
        </w:tc>
        <w:tc>
          <w:tcPr>
            <w:tcW w:w="1130" w:type="dxa"/>
            <w:tcBorders>
              <w:top w:val="nil"/>
              <w:left w:val="nil"/>
              <w:bottom w:val="single" w:sz="4" w:space="0" w:color="auto"/>
              <w:right w:val="single" w:sz="4" w:space="0" w:color="auto"/>
            </w:tcBorders>
            <w:shd w:val="clear" w:color="auto" w:fill="auto"/>
            <w:noWrap/>
            <w:vAlign w:val="center"/>
            <w:hideMark/>
          </w:tcPr>
          <w:p w14:paraId="06B39C8C"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1,147</w:t>
            </w:r>
          </w:p>
        </w:tc>
        <w:tc>
          <w:tcPr>
            <w:tcW w:w="1230" w:type="dxa"/>
            <w:tcBorders>
              <w:top w:val="nil"/>
              <w:left w:val="nil"/>
              <w:bottom w:val="single" w:sz="4" w:space="0" w:color="auto"/>
              <w:right w:val="single" w:sz="4" w:space="0" w:color="auto"/>
            </w:tcBorders>
            <w:shd w:val="clear" w:color="auto" w:fill="auto"/>
            <w:noWrap/>
            <w:vAlign w:val="center"/>
          </w:tcPr>
          <w:p w14:paraId="33895AA3"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442</w:t>
            </w:r>
          </w:p>
        </w:tc>
        <w:tc>
          <w:tcPr>
            <w:tcW w:w="972" w:type="dxa"/>
            <w:tcBorders>
              <w:top w:val="nil"/>
              <w:left w:val="nil"/>
              <w:bottom w:val="single" w:sz="4" w:space="0" w:color="auto"/>
              <w:right w:val="single" w:sz="4" w:space="0" w:color="auto"/>
            </w:tcBorders>
            <w:shd w:val="clear" w:color="auto" w:fill="auto"/>
            <w:noWrap/>
            <w:vAlign w:val="center"/>
            <w:hideMark/>
          </w:tcPr>
          <w:p w14:paraId="3766E666"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307</w:t>
            </w:r>
          </w:p>
        </w:tc>
      </w:tr>
      <w:tr w:rsidR="00206D06" w:rsidRPr="00105FFC" w14:paraId="294242C3" w14:textId="77777777" w:rsidTr="00206D0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27018"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tcPr>
          <w:p w14:paraId="17130664"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3,007</w:t>
            </w:r>
          </w:p>
        </w:tc>
        <w:tc>
          <w:tcPr>
            <w:tcW w:w="1130" w:type="dxa"/>
            <w:tcBorders>
              <w:top w:val="nil"/>
              <w:left w:val="nil"/>
              <w:bottom w:val="single" w:sz="4" w:space="0" w:color="auto"/>
              <w:right w:val="single" w:sz="4" w:space="0" w:color="auto"/>
            </w:tcBorders>
            <w:shd w:val="clear" w:color="auto" w:fill="auto"/>
            <w:noWrap/>
            <w:vAlign w:val="center"/>
            <w:hideMark/>
          </w:tcPr>
          <w:p w14:paraId="4FE8D5C0"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2,264</w:t>
            </w:r>
          </w:p>
        </w:tc>
        <w:tc>
          <w:tcPr>
            <w:tcW w:w="1230" w:type="dxa"/>
            <w:tcBorders>
              <w:top w:val="nil"/>
              <w:left w:val="nil"/>
              <w:bottom w:val="single" w:sz="4" w:space="0" w:color="auto"/>
              <w:right w:val="single" w:sz="4" w:space="0" w:color="auto"/>
            </w:tcBorders>
            <w:shd w:val="clear" w:color="auto" w:fill="auto"/>
            <w:noWrap/>
            <w:vAlign w:val="center"/>
          </w:tcPr>
          <w:p w14:paraId="325CF769"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764</w:t>
            </w:r>
          </w:p>
        </w:tc>
        <w:tc>
          <w:tcPr>
            <w:tcW w:w="972" w:type="dxa"/>
            <w:tcBorders>
              <w:top w:val="nil"/>
              <w:left w:val="nil"/>
              <w:bottom w:val="single" w:sz="4" w:space="0" w:color="auto"/>
              <w:right w:val="single" w:sz="4" w:space="0" w:color="auto"/>
            </w:tcBorders>
            <w:shd w:val="clear" w:color="auto" w:fill="auto"/>
            <w:noWrap/>
            <w:vAlign w:val="center"/>
            <w:hideMark/>
          </w:tcPr>
          <w:p w14:paraId="338C5269"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874</w:t>
            </w:r>
          </w:p>
        </w:tc>
      </w:tr>
      <w:tr w:rsidR="00206D06" w:rsidRPr="00105FFC" w14:paraId="50E6BBD2" w14:textId="77777777" w:rsidTr="00206D0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080AA7"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tcPr>
          <w:p w14:paraId="458DA460"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175</w:t>
            </w:r>
          </w:p>
        </w:tc>
        <w:tc>
          <w:tcPr>
            <w:tcW w:w="1130" w:type="dxa"/>
            <w:tcBorders>
              <w:top w:val="nil"/>
              <w:left w:val="nil"/>
              <w:bottom w:val="single" w:sz="4" w:space="0" w:color="auto"/>
              <w:right w:val="single" w:sz="4" w:space="0" w:color="auto"/>
            </w:tcBorders>
            <w:shd w:val="clear" w:color="auto" w:fill="auto"/>
            <w:noWrap/>
            <w:vAlign w:val="center"/>
            <w:hideMark/>
          </w:tcPr>
          <w:p w14:paraId="65E7CC84"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164</w:t>
            </w:r>
          </w:p>
        </w:tc>
        <w:tc>
          <w:tcPr>
            <w:tcW w:w="1230" w:type="dxa"/>
            <w:tcBorders>
              <w:top w:val="nil"/>
              <w:left w:val="nil"/>
              <w:bottom w:val="single" w:sz="4" w:space="0" w:color="auto"/>
              <w:right w:val="single" w:sz="4" w:space="0" w:color="auto"/>
            </w:tcBorders>
            <w:shd w:val="clear" w:color="auto" w:fill="auto"/>
            <w:noWrap/>
            <w:vAlign w:val="center"/>
          </w:tcPr>
          <w:p w14:paraId="089DD566"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71</w:t>
            </w:r>
          </w:p>
        </w:tc>
        <w:tc>
          <w:tcPr>
            <w:tcW w:w="972" w:type="dxa"/>
            <w:tcBorders>
              <w:top w:val="nil"/>
              <w:left w:val="nil"/>
              <w:bottom w:val="single" w:sz="4" w:space="0" w:color="auto"/>
              <w:right w:val="single" w:sz="4" w:space="0" w:color="auto"/>
            </w:tcBorders>
            <w:shd w:val="clear" w:color="auto" w:fill="auto"/>
            <w:noWrap/>
            <w:vAlign w:val="center"/>
            <w:hideMark/>
          </w:tcPr>
          <w:p w14:paraId="2A105DAF"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64</w:t>
            </w:r>
          </w:p>
        </w:tc>
      </w:tr>
      <w:tr w:rsidR="00206D06" w:rsidRPr="00105FFC" w14:paraId="6A8A954C" w14:textId="77777777" w:rsidTr="00206D0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C03870"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tcPr>
          <w:p w14:paraId="6F41EFA9"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6,993</w:t>
            </w:r>
          </w:p>
        </w:tc>
        <w:tc>
          <w:tcPr>
            <w:tcW w:w="1130" w:type="dxa"/>
            <w:tcBorders>
              <w:top w:val="nil"/>
              <w:left w:val="nil"/>
              <w:bottom w:val="single" w:sz="4" w:space="0" w:color="auto"/>
              <w:right w:val="single" w:sz="4" w:space="0" w:color="auto"/>
            </w:tcBorders>
            <w:shd w:val="clear" w:color="auto" w:fill="auto"/>
            <w:noWrap/>
            <w:vAlign w:val="center"/>
            <w:hideMark/>
          </w:tcPr>
          <w:p w14:paraId="4F941177"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5,501</w:t>
            </w:r>
          </w:p>
        </w:tc>
        <w:tc>
          <w:tcPr>
            <w:tcW w:w="1230" w:type="dxa"/>
            <w:tcBorders>
              <w:top w:val="nil"/>
              <w:left w:val="nil"/>
              <w:bottom w:val="single" w:sz="4" w:space="0" w:color="auto"/>
              <w:right w:val="single" w:sz="4" w:space="0" w:color="auto"/>
            </w:tcBorders>
            <w:shd w:val="clear" w:color="auto" w:fill="auto"/>
            <w:noWrap/>
            <w:vAlign w:val="center"/>
          </w:tcPr>
          <w:p w14:paraId="7E6EF1CC"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1,448</w:t>
            </w:r>
          </w:p>
        </w:tc>
        <w:tc>
          <w:tcPr>
            <w:tcW w:w="972" w:type="dxa"/>
            <w:tcBorders>
              <w:top w:val="nil"/>
              <w:left w:val="nil"/>
              <w:bottom w:val="single" w:sz="4" w:space="0" w:color="auto"/>
              <w:right w:val="single" w:sz="4" w:space="0" w:color="auto"/>
            </w:tcBorders>
            <w:shd w:val="clear" w:color="auto" w:fill="auto"/>
            <w:noWrap/>
            <w:vAlign w:val="center"/>
            <w:hideMark/>
          </w:tcPr>
          <w:p w14:paraId="013F0AB6"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3,037</w:t>
            </w:r>
          </w:p>
        </w:tc>
      </w:tr>
      <w:tr w:rsidR="00206D06" w:rsidRPr="00105FFC" w14:paraId="3B116492" w14:textId="77777777" w:rsidTr="00206D0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E72C1"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tcPr>
          <w:p w14:paraId="30D53BDE"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245</w:t>
            </w:r>
          </w:p>
        </w:tc>
        <w:tc>
          <w:tcPr>
            <w:tcW w:w="1130" w:type="dxa"/>
            <w:tcBorders>
              <w:top w:val="nil"/>
              <w:left w:val="nil"/>
              <w:bottom w:val="single" w:sz="4" w:space="0" w:color="auto"/>
              <w:right w:val="single" w:sz="4" w:space="0" w:color="auto"/>
            </w:tcBorders>
            <w:shd w:val="clear" w:color="auto" w:fill="auto"/>
            <w:noWrap/>
            <w:vAlign w:val="center"/>
            <w:hideMark/>
          </w:tcPr>
          <w:p w14:paraId="7F6680BF"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224</w:t>
            </w:r>
          </w:p>
        </w:tc>
        <w:tc>
          <w:tcPr>
            <w:tcW w:w="1230" w:type="dxa"/>
            <w:tcBorders>
              <w:top w:val="nil"/>
              <w:left w:val="nil"/>
              <w:bottom w:val="single" w:sz="4" w:space="0" w:color="auto"/>
              <w:right w:val="single" w:sz="4" w:space="0" w:color="auto"/>
            </w:tcBorders>
            <w:shd w:val="clear" w:color="auto" w:fill="auto"/>
            <w:noWrap/>
            <w:vAlign w:val="center"/>
          </w:tcPr>
          <w:p w14:paraId="1A661C12"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85</w:t>
            </w:r>
          </w:p>
        </w:tc>
        <w:tc>
          <w:tcPr>
            <w:tcW w:w="972" w:type="dxa"/>
            <w:tcBorders>
              <w:top w:val="nil"/>
              <w:left w:val="nil"/>
              <w:bottom w:val="single" w:sz="4" w:space="0" w:color="auto"/>
              <w:right w:val="single" w:sz="4" w:space="0" w:color="auto"/>
            </w:tcBorders>
            <w:shd w:val="clear" w:color="auto" w:fill="auto"/>
            <w:noWrap/>
            <w:vAlign w:val="center"/>
            <w:hideMark/>
          </w:tcPr>
          <w:p w14:paraId="5A4F9B9B"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40</w:t>
            </w:r>
          </w:p>
        </w:tc>
      </w:tr>
      <w:tr w:rsidR="00206D06" w:rsidRPr="00105FFC" w14:paraId="6CA343C8" w14:textId="77777777" w:rsidTr="00206D0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C1805"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tcPr>
          <w:p w14:paraId="73424FA1"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1,415</w:t>
            </w:r>
          </w:p>
        </w:tc>
        <w:tc>
          <w:tcPr>
            <w:tcW w:w="1130" w:type="dxa"/>
            <w:tcBorders>
              <w:top w:val="nil"/>
              <w:left w:val="nil"/>
              <w:bottom w:val="single" w:sz="4" w:space="0" w:color="auto"/>
              <w:right w:val="single" w:sz="4" w:space="0" w:color="auto"/>
            </w:tcBorders>
            <w:shd w:val="clear" w:color="auto" w:fill="auto"/>
            <w:noWrap/>
            <w:vAlign w:val="center"/>
            <w:hideMark/>
          </w:tcPr>
          <w:p w14:paraId="51F5CF32"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1,676</w:t>
            </w:r>
          </w:p>
        </w:tc>
        <w:tc>
          <w:tcPr>
            <w:tcW w:w="1230" w:type="dxa"/>
            <w:tcBorders>
              <w:top w:val="nil"/>
              <w:left w:val="nil"/>
              <w:bottom w:val="single" w:sz="4" w:space="0" w:color="auto"/>
              <w:right w:val="single" w:sz="4" w:space="0" w:color="auto"/>
            </w:tcBorders>
            <w:shd w:val="clear" w:color="auto" w:fill="auto"/>
            <w:noWrap/>
            <w:vAlign w:val="center"/>
          </w:tcPr>
          <w:p w14:paraId="5E1A86CE"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463</w:t>
            </w:r>
          </w:p>
        </w:tc>
        <w:tc>
          <w:tcPr>
            <w:tcW w:w="972" w:type="dxa"/>
            <w:tcBorders>
              <w:top w:val="nil"/>
              <w:left w:val="nil"/>
              <w:bottom w:val="single" w:sz="4" w:space="0" w:color="auto"/>
              <w:right w:val="single" w:sz="4" w:space="0" w:color="auto"/>
            </w:tcBorders>
            <w:shd w:val="clear" w:color="auto" w:fill="auto"/>
            <w:noWrap/>
            <w:vAlign w:val="center"/>
            <w:hideMark/>
          </w:tcPr>
          <w:p w14:paraId="3AB27E47"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408</w:t>
            </w:r>
          </w:p>
        </w:tc>
      </w:tr>
      <w:tr w:rsidR="00206D06" w:rsidRPr="00105FFC" w14:paraId="200BC361" w14:textId="77777777" w:rsidTr="00206D0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6C2F44"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tcPr>
          <w:p w14:paraId="275E14DA"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728</w:t>
            </w:r>
          </w:p>
        </w:tc>
        <w:tc>
          <w:tcPr>
            <w:tcW w:w="1130" w:type="dxa"/>
            <w:tcBorders>
              <w:top w:val="nil"/>
              <w:left w:val="nil"/>
              <w:bottom w:val="single" w:sz="4" w:space="0" w:color="auto"/>
              <w:right w:val="single" w:sz="4" w:space="0" w:color="auto"/>
            </w:tcBorders>
            <w:shd w:val="clear" w:color="auto" w:fill="auto"/>
            <w:noWrap/>
            <w:vAlign w:val="center"/>
            <w:hideMark/>
          </w:tcPr>
          <w:p w14:paraId="5F52BE2B"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842</w:t>
            </w:r>
          </w:p>
        </w:tc>
        <w:tc>
          <w:tcPr>
            <w:tcW w:w="1230" w:type="dxa"/>
            <w:tcBorders>
              <w:top w:val="nil"/>
              <w:left w:val="nil"/>
              <w:bottom w:val="single" w:sz="4" w:space="0" w:color="auto"/>
              <w:right w:val="single" w:sz="4" w:space="0" w:color="auto"/>
            </w:tcBorders>
            <w:shd w:val="clear" w:color="auto" w:fill="auto"/>
            <w:noWrap/>
            <w:vAlign w:val="center"/>
          </w:tcPr>
          <w:p w14:paraId="045662B3"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238</w:t>
            </w:r>
          </w:p>
        </w:tc>
        <w:tc>
          <w:tcPr>
            <w:tcW w:w="972" w:type="dxa"/>
            <w:tcBorders>
              <w:top w:val="nil"/>
              <w:left w:val="nil"/>
              <w:bottom w:val="single" w:sz="4" w:space="0" w:color="auto"/>
              <w:right w:val="single" w:sz="4" w:space="0" w:color="auto"/>
            </w:tcBorders>
            <w:shd w:val="clear" w:color="auto" w:fill="auto"/>
            <w:noWrap/>
            <w:vAlign w:val="center"/>
            <w:hideMark/>
          </w:tcPr>
          <w:p w14:paraId="01150FCC"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162</w:t>
            </w:r>
          </w:p>
        </w:tc>
      </w:tr>
      <w:tr w:rsidR="00206D06" w:rsidRPr="00105FFC" w14:paraId="3AEFA095" w14:textId="77777777" w:rsidTr="00206D0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3118A"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tcPr>
          <w:p w14:paraId="53D4D467"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6,297</w:t>
            </w:r>
          </w:p>
        </w:tc>
        <w:tc>
          <w:tcPr>
            <w:tcW w:w="1130" w:type="dxa"/>
            <w:tcBorders>
              <w:top w:val="nil"/>
              <w:left w:val="nil"/>
              <w:bottom w:val="single" w:sz="4" w:space="0" w:color="auto"/>
              <w:right w:val="single" w:sz="4" w:space="0" w:color="auto"/>
            </w:tcBorders>
            <w:shd w:val="clear" w:color="auto" w:fill="auto"/>
            <w:noWrap/>
            <w:vAlign w:val="center"/>
            <w:hideMark/>
          </w:tcPr>
          <w:p w14:paraId="26E55FFE"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5,274</w:t>
            </w:r>
          </w:p>
        </w:tc>
        <w:tc>
          <w:tcPr>
            <w:tcW w:w="1230" w:type="dxa"/>
            <w:tcBorders>
              <w:top w:val="nil"/>
              <w:left w:val="nil"/>
              <w:bottom w:val="single" w:sz="4" w:space="0" w:color="auto"/>
              <w:right w:val="single" w:sz="4" w:space="0" w:color="auto"/>
            </w:tcBorders>
            <w:shd w:val="clear" w:color="auto" w:fill="auto"/>
            <w:noWrap/>
            <w:vAlign w:val="center"/>
          </w:tcPr>
          <w:p w14:paraId="48A04E51"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1,725</w:t>
            </w:r>
          </w:p>
        </w:tc>
        <w:tc>
          <w:tcPr>
            <w:tcW w:w="972" w:type="dxa"/>
            <w:tcBorders>
              <w:top w:val="nil"/>
              <w:left w:val="nil"/>
              <w:bottom w:val="single" w:sz="4" w:space="0" w:color="auto"/>
              <w:right w:val="single" w:sz="4" w:space="0" w:color="auto"/>
            </w:tcBorders>
            <w:shd w:val="clear" w:color="auto" w:fill="auto"/>
            <w:noWrap/>
            <w:vAlign w:val="center"/>
            <w:hideMark/>
          </w:tcPr>
          <w:p w14:paraId="48E9585C" w14:textId="77777777" w:rsidR="00206D06" w:rsidRPr="00105FFC" w:rsidRDefault="00206D06" w:rsidP="00206D06">
            <w:pPr>
              <w:jc w:val="center"/>
              <w:rPr>
                <w:rFonts w:asciiTheme="minorHAnsi" w:hAnsiTheme="minorHAnsi"/>
                <w:color w:val="000000"/>
                <w:sz w:val="20"/>
                <w:szCs w:val="20"/>
              </w:rPr>
            </w:pPr>
            <w:r w:rsidRPr="00105FFC">
              <w:rPr>
                <w:rFonts w:asciiTheme="minorHAnsi" w:hAnsiTheme="minorHAnsi"/>
                <w:color w:val="000000"/>
                <w:sz w:val="20"/>
                <w:szCs w:val="20"/>
              </w:rPr>
              <w:t>2,191</w:t>
            </w:r>
          </w:p>
        </w:tc>
      </w:tr>
    </w:tbl>
    <w:p w14:paraId="15F041D5" w14:textId="77777777" w:rsidR="00164521" w:rsidRPr="00105FFC" w:rsidRDefault="00164521" w:rsidP="00164521">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r w:rsidRPr="00105FFC">
        <w:rPr>
          <w:rFonts w:asciiTheme="minorHAnsi" w:eastAsiaTheme="minorHAnsi" w:hAnsiTheme="minorHAnsi" w:cs="Tahoma"/>
          <w:sz w:val="16"/>
          <w:szCs w:val="16"/>
        </w:rPr>
        <w:br w:type="page"/>
      </w:r>
    </w:p>
    <w:p w14:paraId="3D1A49B8" w14:textId="77777777" w:rsidR="00073BFC" w:rsidRPr="00105FFC" w:rsidRDefault="00073BFC" w:rsidP="00F42E51">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Statewide, approximately </w:t>
      </w:r>
      <w:r w:rsidR="00A13734" w:rsidRPr="00105FFC">
        <w:rPr>
          <w:rFonts w:asciiTheme="minorHAnsi" w:eastAsiaTheme="minorHAnsi" w:hAnsiTheme="minorHAnsi" w:cstheme="minorBidi"/>
        </w:rPr>
        <w:t>99.6</w:t>
      </w:r>
      <w:r w:rsidRPr="00105FFC">
        <w:rPr>
          <w:rFonts w:asciiTheme="minorHAnsi" w:eastAsiaTheme="minorHAnsi" w:hAnsiTheme="minorHAnsi" w:cstheme="minorBidi"/>
        </w:rPr>
        <w:t>% of FFS Medi-Cal beneficiaries certified eligible for at least 11 months in SFY 201</w:t>
      </w:r>
      <w:r w:rsidR="00A13734" w:rsidRPr="00105FFC">
        <w:rPr>
          <w:rFonts w:asciiTheme="minorHAnsi" w:eastAsiaTheme="minorHAnsi" w:hAnsiTheme="minorHAnsi" w:cstheme="minorBidi"/>
        </w:rPr>
        <w:t>4</w:t>
      </w:r>
      <w:r w:rsidRPr="00105FFC">
        <w:rPr>
          <w:rFonts w:asciiTheme="minorHAnsi" w:eastAsiaTheme="minorHAnsi" w:hAnsiTheme="minorHAnsi" w:cstheme="minorBidi"/>
        </w:rPr>
        <w:t>-1</w:t>
      </w:r>
      <w:r w:rsidR="00A13734" w:rsidRPr="00105FFC">
        <w:rPr>
          <w:rFonts w:asciiTheme="minorHAnsi" w:eastAsiaTheme="minorHAnsi" w:hAnsiTheme="minorHAnsi" w:cstheme="minorBidi"/>
        </w:rPr>
        <w:t>5</w:t>
      </w:r>
      <w:r w:rsidRPr="00105FFC">
        <w:rPr>
          <w:rFonts w:asciiTheme="minorHAnsi" w:eastAsiaTheme="minorHAnsi" w:hAnsiTheme="minorHAnsi" w:cstheme="minorBidi"/>
        </w:rPr>
        <w:t xml:space="preserve"> resided </w:t>
      </w:r>
      <w:r w:rsidR="00A13734" w:rsidRPr="00105FFC">
        <w:rPr>
          <w:rFonts w:asciiTheme="minorHAnsi" w:eastAsiaTheme="minorHAnsi" w:hAnsiTheme="minorHAnsi" w:cstheme="minorBidi"/>
        </w:rPr>
        <w:t>inside</w:t>
      </w:r>
      <w:r w:rsidRPr="00105FFC">
        <w:rPr>
          <w:rFonts w:asciiTheme="minorHAnsi" w:eastAsiaTheme="minorHAnsi" w:hAnsiTheme="minorHAnsi" w:cstheme="minorBidi"/>
        </w:rPr>
        <w:t xml:space="preserve"> of a primary care service area. The geographic regions with the largest proportions of beneficiaries residing outside of a primary care service area were the Sierra Range/Foothills (1.5%) and the Far North (1.2%). In SFY 2014-15, roughly 0.4% of FFS Medi-Cal beneficiaries certified eligible for at least 11 months resided outside of a primary care service area. The geographic regions with the largest proportions of beneficiaries residing outside of a primary care service area were the North Coast (3.8%) and the Sierra Range/Foothills (1.6%) (Table </w:t>
      </w:r>
      <w:r w:rsidR="00581549" w:rsidRPr="00105FFC">
        <w:rPr>
          <w:rFonts w:asciiTheme="minorHAnsi" w:eastAsiaTheme="minorHAnsi" w:hAnsiTheme="minorHAnsi" w:cstheme="minorBidi"/>
        </w:rPr>
        <w:t>21</w:t>
      </w:r>
      <w:r w:rsidRPr="00105FFC">
        <w:rPr>
          <w:rFonts w:asciiTheme="minorHAnsi" w:eastAsiaTheme="minorHAnsi" w:hAnsiTheme="minorHAnsi" w:cstheme="minorBidi"/>
        </w:rPr>
        <w:t>).</w:t>
      </w:r>
    </w:p>
    <w:p w14:paraId="348ADA4E" w14:textId="77777777" w:rsidR="00F42E51" w:rsidRPr="00105FFC" w:rsidRDefault="00F42E51" w:rsidP="00F42E51">
      <w:pPr>
        <w:spacing w:line="276" w:lineRule="auto"/>
        <w:rPr>
          <w:rFonts w:asciiTheme="minorHAnsi" w:eastAsiaTheme="minorHAnsi" w:hAnsiTheme="minorHAnsi" w:cstheme="minorBidi"/>
          <w:b/>
        </w:rPr>
      </w:pPr>
    </w:p>
    <w:p w14:paraId="4DE5C098" w14:textId="77777777" w:rsidR="00073BFC" w:rsidRPr="00105FFC" w:rsidRDefault="001641BD" w:rsidP="00073BFC">
      <w:pPr>
        <w:spacing w:line="276" w:lineRule="auto"/>
        <w:rPr>
          <w:rFonts w:asciiTheme="minorHAnsi" w:eastAsiaTheme="minorHAnsi" w:hAnsiTheme="minorHAnsi" w:cstheme="minorBidi"/>
          <w:b/>
          <w:sz w:val="22"/>
          <w:szCs w:val="22"/>
        </w:rPr>
      </w:pPr>
      <w:bookmarkStart w:id="344" w:name="_Toc458783096"/>
      <w:bookmarkStart w:id="345" w:name="_Toc459285166"/>
      <w:r w:rsidRPr="00105FFC">
        <w:rPr>
          <w:rFonts w:asciiTheme="minorHAnsi" w:eastAsiaTheme="minorHAnsi" w:hAnsiTheme="minorHAnsi" w:cstheme="minorBidi"/>
          <w:b/>
          <w:sz w:val="20"/>
          <w:szCs w:val="20"/>
        </w:rPr>
        <w:t xml:space="preserve">Table </w:t>
      </w:r>
      <w:r w:rsidR="00073BFC" w:rsidRPr="00105FFC">
        <w:rPr>
          <w:rFonts w:asciiTheme="minorHAnsi" w:eastAsiaTheme="minorHAnsi" w:hAnsiTheme="minorHAnsi" w:cstheme="minorBidi"/>
          <w:b/>
          <w:sz w:val="20"/>
          <w:szCs w:val="20"/>
        </w:rPr>
        <w:fldChar w:fldCharType="begin"/>
      </w:r>
      <w:r w:rsidR="00073BFC" w:rsidRPr="00105FFC">
        <w:rPr>
          <w:rFonts w:asciiTheme="minorHAnsi" w:eastAsiaTheme="minorHAnsi" w:hAnsiTheme="minorHAnsi" w:cstheme="minorBidi"/>
          <w:b/>
          <w:sz w:val="20"/>
          <w:szCs w:val="20"/>
        </w:rPr>
        <w:instrText xml:space="preserve"> SEQ Table \* ARABIC </w:instrText>
      </w:r>
      <w:r w:rsidR="00073BFC" w:rsidRPr="00105FFC">
        <w:rPr>
          <w:rFonts w:asciiTheme="minorHAnsi" w:eastAsiaTheme="minorHAnsi" w:hAnsiTheme="minorHAnsi" w:cstheme="minorBidi"/>
          <w:b/>
          <w:sz w:val="20"/>
          <w:szCs w:val="20"/>
        </w:rPr>
        <w:fldChar w:fldCharType="separate"/>
      </w:r>
      <w:r w:rsidR="00B04F0F">
        <w:rPr>
          <w:rFonts w:asciiTheme="minorHAnsi" w:eastAsiaTheme="minorHAnsi" w:hAnsiTheme="minorHAnsi" w:cstheme="minorBidi"/>
          <w:b/>
          <w:noProof/>
          <w:sz w:val="20"/>
          <w:szCs w:val="20"/>
        </w:rPr>
        <w:t>21</w:t>
      </w:r>
      <w:r w:rsidR="00073BFC" w:rsidRPr="00105FFC">
        <w:rPr>
          <w:rFonts w:asciiTheme="minorHAnsi" w:eastAsiaTheme="minorHAnsi" w:hAnsiTheme="minorHAnsi" w:cstheme="minorBidi"/>
          <w:b/>
          <w:sz w:val="20"/>
          <w:szCs w:val="20"/>
        </w:rPr>
        <w:fldChar w:fldCharType="end"/>
      </w:r>
      <w:r w:rsidR="00073BFC" w:rsidRPr="00105FFC">
        <w:rPr>
          <w:rFonts w:asciiTheme="minorHAnsi" w:eastAsiaTheme="minorHAnsi" w:hAnsiTheme="minorHAnsi" w:cstheme="minorBidi"/>
          <w:b/>
          <w:sz w:val="20"/>
          <w:szCs w:val="20"/>
        </w:rPr>
        <w:t>:</w:t>
      </w:r>
      <w:r w:rsidR="00073BFC" w:rsidRPr="00105FFC">
        <w:rPr>
          <w:rFonts w:asciiTheme="minorHAnsi" w:eastAsiaTheme="minorHAnsi" w:hAnsiTheme="minorHAnsi" w:cstheme="minorBidi"/>
          <w:sz w:val="20"/>
          <w:szCs w:val="20"/>
        </w:rPr>
        <w:t xml:space="preserve"> Proportion of FFS Medi-Cal Beneficiaries Certified Eligible for at Least 11 Months in SFY 2014-15 Who Reside </w:t>
      </w:r>
      <w:r w:rsidR="003D6FC1" w:rsidRPr="00105FFC">
        <w:rPr>
          <w:rFonts w:asciiTheme="minorHAnsi" w:eastAsiaTheme="minorHAnsi" w:hAnsiTheme="minorHAnsi" w:cstheme="minorBidi"/>
          <w:sz w:val="20"/>
          <w:szCs w:val="20"/>
        </w:rPr>
        <w:t>Inside/</w:t>
      </w:r>
      <w:r w:rsidR="00073BFC" w:rsidRPr="00105FFC">
        <w:rPr>
          <w:rFonts w:asciiTheme="minorHAnsi" w:eastAsiaTheme="minorHAnsi" w:hAnsiTheme="minorHAnsi" w:cstheme="minorBidi"/>
          <w:sz w:val="20"/>
          <w:szCs w:val="20"/>
        </w:rPr>
        <w:t>Outside of a Primary Care Service Area, by Geographic Region</w:t>
      </w:r>
      <w:bookmarkEnd w:id="344"/>
      <w:bookmarkEnd w:id="345"/>
    </w:p>
    <w:tbl>
      <w:tblPr>
        <w:tblW w:w="0" w:type="auto"/>
        <w:tblInd w:w="93" w:type="dxa"/>
        <w:tblLook w:val="04A0" w:firstRow="1" w:lastRow="0" w:firstColumn="1" w:lastColumn="0" w:noHBand="0" w:noVBand="1"/>
      </w:tblPr>
      <w:tblGrid>
        <w:gridCol w:w="2005"/>
        <w:gridCol w:w="2978"/>
        <w:gridCol w:w="3129"/>
      </w:tblGrid>
      <w:tr w:rsidR="003D6FC1" w:rsidRPr="00105FFC" w14:paraId="02CAC437" w14:textId="77777777" w:rsidTr="003D6FC1">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1A7465" w14:textId="77777777" w:rsidR="003D6FC1" w:rsidRPr="00105FFC" w:rsidRDefault="003D6FC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single" w:sz="4" w:space="0" w:color="auto"/>
              <w:left w:val="single" w:sz="4" w:space="0" w:color="auto"/>
              <w:bottom w:val="single" w:sz="4" w:space="0" w:color="auto"/>
              <w:right w:val="single" w:sz="4" w:space="0" w:color="auto"/>
            </w:tcBorders>
            <w:shd w:val="clear" w:color="000000" w:fill="F2F2F2"/>
          </w:tcPr>
          <w:p w14:paraId="4BEFECC1" w14:textId="77777777" w:rsidR="003D6FC1" w:rsidRPr="00105FFC" w:rsidRDefault="003D6FC1" w:rsidP="003D6FC1">
            <w:pPr>
              <w:jc w:val="center"/>
              <w:rPr>
                <w:rFonts w:asciiTheme="minorHAnsi" w:hAnsiTheme="minorHAnsi"/>
                <w:b/>
                <w:bCs/>
                <w:color w:val="000000"/>
                <w:sz w:val="20"/>
                <w:szCs w:val="20"/>
              </w:rPr>
            </w:pPr>
            <w:r w:rsidRPr="00105FFC">
              <w:rPr>
                <w:rFonts w:asciiTheme="minorHAnsi" w:hAnsiTheme="minorHAnsi"/>
                <w:b/>
                <w:bCs/>
                <w:color w:val="000000"/>
                <w:sz w:val="20"/>
                <w:szCs w:val="20"/>
              </w:rPr>
              <w:t>% of Beneficiaries Residing Inside</w:t>
            </w:r>
            <w:r w:rsidRPr="00105FFC">
              <w:rPr>
                <w:rFonts w:asciiTheme="minorHAnsi" w:hAnsiTheme="minorHAnsi"/>
                <w:b/>
                <w:bCs/>
                <w:color w:val="000000"/>
                <w:sz w:val="20"/>
                <w:szCs w:val="20"/>
              </w:rPr>
              <w:br/>
              <w:t>of Medical Service Area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E5A8C72" w14:textId="77777777" w:rsidR="003D6FC1" w:rsidRPr="00105FFC" w:rsidRDefault="003D6FC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 of Beneficiaries Residing Outside</w:t>
            </w:r>
            <w:r w:rsidRPr="00105FFC">
              <w:rPr>
                <w:rFonts w:asciiTheme="minorHAnsi" w:hAnsiTheme="minorHAnsi"/>
                <w:b/>
                <w:bCs/>
                <w:color w:val="000000"/>
                <w:sz w:val="20"/>
                <w:szCs w:val="20"/>
              </w:rPr>
              <w:br/>
              <w:t>of Medical Service Area</w:t>
            </w:r>
          </w:p>
        </w:tc>
      </w:tr>
      <w:tr w:rsidR="003D6FC1" w:rsidRPr="00105FFC" w14:paraId="34AEC960" w14:textId="77777777" w:rsidTr="003D6FC1">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37D61A71" w14:textId="77777777" w:rsidR="003D6FC1" w:rsidRPr="00105FFC" w:rsidRDefault="003D6FC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single" w:sz="4" w:space="0" w:color="auto"/>
              <w:left w:val="nil"/>
              <w:bottom w:val="single" w:sz="4" w:space="0" w:color="auto"/>
              <w:right w:val="single" w:sz="4" w:space="0" w:color="auto"/>
            </w:tcBorders>
            <w:shd w:val="clear" w:color="000000" w:fill="EBF1DE"/>
          </w:tcPr>
          <w:p w14:paraId="2BC13E31" w14:textId="77777777" w:rsidR="003D6FC1" w:rsidRPr="00105FFC" w:rsidRDefault="003D6FC1" w:rsidP="003D6FC1">
            <w:pPr>
              <w:jc w:val="center"/>
              <w:rPr>
                <w:rFonts w:asciiTheme="minorHAnsi" w:hAnsiTheme="minorHAnsi"/>
                <w:b/>
                <w:bCs/>
                <w:color w:val="000000"/>
                <w:sz w:val="20"/>
                <w:szCs w:val="20"/>
              </w:rPr>
            </w:pPr>
            <w:r w:rsidRPr="00105FFC">
              <w:rPr>
                <w:rFonts w:asciiTheme="minorHAnsi" w:hAnsiTheme="minorHAnsi"/>
                <w:b/>
                <w:bCs/>
                <w:color w:val="000000"/>
                <w:sz w:val="20"/>
                <w:szCs w:val="20"/>
              </w:rPr>
              <w:t>99.6%</w:t>
            </w:r>
          </w:p>
        </w:tc>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2F7B9FD0" w14:textId="77777777" w:rsidR="003D6FC1" w:rsidRPr="00105FFC" w:rsidRDefault="003D6FC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0.4 %</w:t>
            </w:r>
          </w:p>
        </w:tc>
      </w:tr>
      <w:tr w:rsidR="003D6FC1" w:rsidRPr="00105FFC" w14:paraId="34324B96" w14:textId="77777777" w:rsidTr="003D6F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704769"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single" w:sz="4" w:space="0" w:color="auto"/>
              <w:left w:val="nil"/>
              <w:bottom w:val="single" w:sz="4" w:space="0" w:color="auto"/>
              <w:right w:val="single" w:sz="4" w:space="0" w:color="auto"/>
            </w:tcBorders>
          </w:tcPr>
          <w:p w14:paraId="5E705152"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100.0*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ECB040"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0.0%</w:t>
            </w:r>
          </w:p>
        </w:tc>
      </w:tr>
      <w:tr w:rsidR="003D6FC1" w:rsidRPr="00105FFC" w14:paraId="6A946092" w14:textId="77777777" w:rsidTr="003D6F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8A8626"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single" w:sz="4" w:space="0" w:color="auto"/>
              <w:left w:val="nil"/>
              <w:bottom w:val="single" w:sz="4" w:space="0" w:color="auto"/>
              <w:right w:val="single" w:sz="4" w:space="0" w:color="auto"/>
            </w:tcBorders>
          </w:tcPr>
          <w:p w14:paraId="45490C50"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99.3%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6A2EDC"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0.7%</w:t>
            </w:r>
          </w:p>
        </w:tc>
      </w:tr>
      <w:tr w:rsidR="003D6FC1" w:rsidRPr="00105FFC" w14:paraId="7D7E9BFC" w14:textId="77777777" w:rsidTr="003D6F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49B926"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single" w:sz="4" w:space="0" w:color="auto"/>
              <w:left w:val="nil"/>
              <w:bottom w:val="single" w:sz="4" w:space="0" w:color="auto"/>
              <w:right w:val="single" w:sz="4" w:space="0" w:color="auto"/>
            </w:tcBorders>
          </w:tcPr>
          <w:p w14:paraId="7C50C729"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99.7%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F5605D"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0.3 %</w:t>
            </w:r>
          </w:p>
        </w:tc>
      </w:tr>
      <w:tr w:rsidR="003D6FC1" w:rsidRPr="00105FFC" w14:paraId="58A5ED09" w14:textId="77777777" w:rsidTr="003D6F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330855"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single" w:sz="4" w:space="0" w:color="auto"/>
              <w:left w:val="nil"/>
              <w:bottom w:val="single" w:sz="4" w:space="0" w:color="auto"/>
              <w:right w:val="single" w:sz="4" w:space="0" w:color="auto"/>
            </w:tcBorders>
          </w:tcPr>
          <w:p w14:paraId="29D39366"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99.1%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CA86E6"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0.9%</w:t>
            </w:r>
          </w:p>
        </w:tc>
      </w:tr>
      <w:tr w:rsidR="003D6FC1" w:rsidRPr="00105FFC" w14:paraId="08CD55D4" w14:textId="77777777" w:rsidTr="003D6F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83570C"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single" w:sz="4" w:space="0" w:color="auto"/>
              <w:left w:val="nil"/>
              <w:bottom w:val="single" w:sz="4" w:space="0" w:color="auto"/>
              <w:right w:val="single" w:sz="4" w:space="0" w:color="auto"/>
            </w:tcBorders>
          </w:tcPr>
          <w:p w14:paraId="79AF4CF5"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99.6%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85EE5"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0.4%</w:t>
            </w:r>
          </w:p>
        </w:tc>
      </w:tr>
      <w:tr w:rsidR="003D6FC1" w:rsidRPr="00105FFC" w14:paraId="78C385D8" w14:textId="77777777" w:rsidTr="003D6F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2694D"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single" w:sz="4" w:space="0" w:color="auto"/>
              <w:left w:val="nil"/>
              <w:bottom w:val="single" w:sz="4" w:space="0" w:color="auto"/>
              <w:right w:val="single" w:sz="4" w:space="0" w:color="auto"/>
            </w:tcBorders>
          </w:tcPr>
          <w:p w14:paraId="026E8D29"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2A1DBB"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3.8%</w:t>
            </w:r>
          </w:p>
        </w:tc>
      </w:tr>
      <w:tr w:rsidR="003D6FC1" w:rsidRPr="00105FFC" w14:paraId="51586587" w14:textId="77777777" w:rsidTr="003D6F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F2AA6C"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single" w:sz="4" w:space="0" w:color="auto"/>
              <w:left w:val="nil"/>
              <w:bottom w:val="single" w:sz="4" w:space="0" w:color="auto"/>
              <w:right w:val="single" w:sz="4" w:space="0" w:color="auto"/>
            </w:tcBorders>
          </w:tcPr>
          <w:p w14:paraId="1B80F449"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99.6%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86285"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0.4%</w:t>
            </w:r>
          </w:p>
        </w:tc>
      </w:tr>
      <w:tr w:rsidR="003D6FC1" w:rsidRPr="00105FFC" w14:paraId="5C4064F5" w14:textId="77777777" w:rsidTr="003D6F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3BC462"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single" w:sz="4" w:space="0" w:color="auto"/>
              <w:left w:val="nil"/>
              <w:bottom w:val="single" w:sz="4" w:space="0" w:color="auto"/>
              <w:right w:val="single" w:sz="4" w:space="0" w:color="auto"/>
            </w:tcBorders>
          </w:tcPr>
          <w:p w14:paraId="5AE9C35C" w14:textId="77777777" w:rsidR="003D6FC1" w:rsidRPr="00105FFC" w:rsidRDefault="000D1262" w:rsidP="00073BFC">
            <w:pPr>
              <w:jc w:val="center"/>
              <w:rPr>
                <w:rFonts w:asciiTheme="minorHAnsi" w:hAnsiTheme="minorHAnsi"/>
                <w:color w:val="000000"/>
                <w:sz w:val="20"/>
                <w:szCs w:val="20"/>
              </w:rPr>
            </w:pPr>
            <w:r w:rsidRPr="00105FFC">
              <w:rPr>
                <w:rFonts w:asciiTheme="minorHAnsi" w:hAnsiTheme="minorHAnsi"/>
                <w:color w:val="000000"/>
                <w:sz w:val="20"/>
                <w:szCs w:val="20"/>
              </w:rPr>
              <w:t>98</w:t>
            </w:r>
            <w:r w:rsidR="003D6FC1" w:rsidRPr="00105FFC">
              <w:rPr>
                <w:rFonts w:asciiTheme="minorHAnsi" w:hAnsiTheme="minorHAnsi"/>
                <w:color w:val="000000"/>
                <w:sz w:val="20"/>
                <w:szCs w:val="20"/>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F87F81"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1.6%</w:t>
            </w:r>
          </w:p>
        </w:tc>
      </w:tr>
      <w:tr w:rsidR="003D6FC1" w:rsidRPr="00105FFC" w14:paraId="69AEA48E" w14:textId="77777777" w:rsidTr="003D6F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DF6D4"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single" w:sz="4" w:space="0" w:color="auto"/>
              <w:left w:val="nil"/>
              <w:bottom w:val="single" w:sz="4" w:space="0" w:color="auto"/>
              <w:right w:val="single" w:sz="4" w:space="0" w:color="auto"/>
            </w:tcBorders>
          </w:tcPr>
          <w:p w14:paraId="6EA2E51A"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99.3%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BF839" w14:textId="77777777" w:rsidR="003D6FC1" w:rsidRPr="00105FFC" w:rsidRDefault="003D6FC1" w:rsidP="00073BFC">
            <w:pPr>
              <w:jc w:val="center"/>
              <w:rPr>
                <w:rFonts w:asciiTheme="minorHAnsi" w:hAnsiTheme="minorHAnsi"/>
                <w:color w:val="000000"/>
                <w:sz w:val="20"/>
                <w:szCs w:val="20"/>
              </w:rPr>
            </w:pPr>
            <w:r w:rsidRPr="00105FFC">
              <w:rPr>
                <w:rFonts w:asciiTheme="minorHAnsi" w:hAnsiTheme="minorHAnsi"/>
                <w:color w:val="000000"/>
                <w:sz w:val="20"/>
                <w:szCs w:val="20"/>
              </w:rPr>
              <w:t>0.7%</w:t>
            </w:r>
          </w:p>
        </w:tc>
      </w:tr>
    </w:tbl>
    <w:p w14:paraId="6BEBD38B" w14:textId="77777777" w:rsidR="00374BF0" w:rsidRPr="00105FFC" w:rsidRDefault="00374BF0" w:rsidP="000D1262">
      <w:pPr>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511F7448" w14:textId="77777777" w:rsidR="00073BFC" w:rsidRPr="00105FFC" w:rsidRDefault="00073BFC" w:rsidP="000D1262">
      <w:pPr>
        <w:spacing w:line="276" w:lineRule="auto"/>
        <w:rPr>
          <w:rFonts w:asciiTheme="minorHAnsi" w:eastAsiaTheme="minorHAnsi" w:hAnsiTheme="minorHAnsi" w:cstheme="minorBidi"/>
          <w:sz w:val="22"/>
          <w:szCs w:val="22"/>
        </w:rPr>
      </w:pPr>
    </w:p>
    <w:p w14:paraId="3EBCC081" w14:textId="77777777" w:rsidR="00073BFC" w:rsidRPr="00105FFC" w:rsidRDefault="00A13734" w:rsidP="000D1262">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Across all of the analyzed geographic regions, FFS beneficiaries residing within a primary care service area during SFY 2104-15 averaged just under four minutes in driving time to reach their appointment. </w:t>
      </w:r>
      <w:r w:rsidR="00073BFC" w:rsidRPr="00105FFC">
        <w:rPr>
          <w:rFonts w:asciiTheme="minorHAnsi" w:eastAsiaTheme="minorHAnsi" w:hAnsiTheme="minorHAnsi" w:cstheme="minorBidi"/>
        </w:rPr>
        <w:t xml:space="preserve">In SFY 2014-15, the geographic regions with the longest average driving times to reach a primary care physician appointment among FFS beneficiaries residing outside of a primary care service area were the Far North (46.3 minutes) and the Central Coast (42.8 minutes) (Table </w:t>
      </w:r>
      <w:r w:rsidR="00581549" w:rsidRPr="00105FFC">
        <w:rPr>
          <w:rFonts w:asciiTheme="minorHAnsi" w:eastAsiaTheme="minorHAnsi" w:hAnsiTheme="minorHAnsi" w:cstheme="minorBidi"/>
        </w:rPr>
        <w:t>22</w:t>
      </w:r>
      <w:r w:rsidR="00073BFC" w:rsidRPr="00105FFC">
        <w:rPr>
          <w:rFonts w:asciiTheme="minorHAnsi" w:eastAsiaTheme="minorHAnsi" w:hAnsiTheme="minorHAnsi" w:cstheme="minorBidi"/>
        </w:rPr>
        <w:t>).</w:t>
      </w:r>
    </w:p>
    <w:p w14:paraId="6A31E03D" w14:textId="77777777" w:rsidR="00A13734" w:rsidRPr="00105FFC" w:rsidRDefault="00A13734">
      <w:pPr>
        <w:spacing w:after="200" w:line="276" w:lineRule="auto"/>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br w:type="page"/>
      </w:r>
    </w:p>
    <w:p w14:paraId="16747A06" w14:textId="77777777" w:rsidR="00073BFC" w:rsidRPr="00105FFC" w:rsidRDefault="001641BD" w:rsidP="00073BFC">
      <w:pPr>
        <w:spacing w:line="276" w:lineRule="auto"/>
        <w:rPr>
          <w:rFonts w:asciiTheme="minorHAnsi" w:eastAsiaTheme="minorHAnsi" w:hAnsiTheme="minorHAnsi" w:cstheme="minorBidi"/>
          <w:b/>
          <w:sz w:val="22"/>
          <w:szCs w:val="22"/>
        </w:rPr>
      </w:pPr>
      <w:bookmarkStart w:id="346" w:name="_Toc458783097"/>
      <w:bookmarkStart w:id="347" w:name="_Toc459285167"/>
      <w:r w:rsidRPr="00105FFC">
        <w:rPr>
          <w:rFonts w:asciiTheme="minorHAnsi" w:eastAsiaTheme="minorHAnsi" w:hAnsiTheme="minorHAnsi" w:cstheme="minorBidi"/>
          <w:b/>
          <w:sz w:val="20"/>
          <w:szCs w:val="20"/>
        </w:rPr>
        <w:t xml:space="preserve">Table </w:t>
      </w:r>
      <w:r w:rsidR="00073BFC" w:rsidRPr="00105FFC">
        <w:rPr>
          <w:rFonts w:asciiTheme="minorHAnsi" w:eastAsiaTheme="minorHAnsi" w:hAnsiTheme="minorHAnsi" w:cstheme="minorBidi"/>
          <w:b/>
          <w:sz w:val="20"/>
          <w:szCs w:val="20"/>
        </w:rPr>
        <w:fldChar w:fldCharType="begin"/>
      </w:r>
      <w:r w:rsidR="00073BFC" w:rsidRPr="00105FFC">
        <w:rPr>
          <w:rFonts w:asciiTheme="minorHAnsi" w:eastAsiaTheme="minorHAnsi" w:hAnsiTheme="minorHAnsi" w:cstheme="minorBidi"/>
          <w:b/>
          <w:sz w:val="20"/>
          <w:szCs w:val="20"/>
        </w:rPr>
        <w:instrText xml:space="preserve"> SEQ Table \* ARABIC </w:instrText>
      </w:r>
      <w:r w:rsidR="00073BFC" w:rsidRPr="00105FFC">
        <w:rPr>
          <w:rFonts w:asciiTheme="minorHAnsi" w:eastAsiaTheme="minorHAnsi" w:hAnsiTheme="minorHAnsi" w:cstheme="minorBidi"/>
          <w:b/>
          <w:sz w:val="20"/>
          <w:szCs w:val="20"/>
        </w:rPr>
        <w:fldChar w:fldCharType="separate"/>
      </w:r>
      <w:r w:rsidR="00B04F0F">
        <w:rPr>
          <w:rFonts w:asciiTheme="minorHAnsi" w:eastAsiaTheme="minorHAnsi" w:hAnsiTheme="minorHAnsi" w:cstheme="minorBidi"/>
          <w:b/>
          <w:noProof/>
          <w:sz w:val="20"/>
          <w:szCs w:val="20"/>
        </w:rPr>
        <w:t>22</w:t>
      </w:r>
      <w:r w:rsidR="00073BFC" w:rsidRPr="00105FFC">
        <w:rPr>
          <w:rFonts w:asciiTheme="minorHAnsi" w:eastAsiaTheme="minorHAnsi" w:hAnsiTheme="minorHAnsi" w:cstheme="minorBidi"/>
          <w:b/>
          <w:sz w:val="20"/>
          <w:szCs w:val="20"/>
        </w:rPr>
        <w:fldChar w:fldCharType="end"/>
      </w:r>
      <w:r w:rsidR="00073BFC" w:rsidRPr="00105FFC">
        <w:rPr>
          <w:rFonts w:asciiTheme="minorHAnsi" w:eastAsiaTheme="minorHAnsi" w:hAnsiTheme="minorHAnsi" w:cstheme="minorBidi"/>
          <w:b/>
          <w:sz w:val="20"/>
          <w:szCs w:val="20"/>
        </w:rPr>
        <w:t>:</w:t>
      </w:r>
      <w:r w:rsidR="00073BFC" w:rsidRPr="00105FFC">
        <w:rPr>
          <w:rFonts w:asciiTheme="minorHAnsi" w:eastAsiaTheme="minorHAnsi" w:hAnsiTheme="minorHAnsi" w:cstheme="minorBidi"/>
          <w:sz w:val="20"/>
          <w:szCs w:val="20"/>
        </w:rPr>
        <w:t xml:space="preserve"> Average Driving Time to Reach Primary Care Appointment among FFS Medi-Cal Beneficiaries Certified Eligible for at Least 11 Months in SFY 2014-15 Who Reside </w:t>
      </w:r>
      <w:r w:rsidR="00FA0C4E" w:rsidRPr="00105FFC">
        <w:rPr>
          <w:rFonts w:asciiTheme="minorHAnsi" w:eastAsiaTheme="minorHAnsi" w:hAnsiTheme="minorHAnsi" w:cstheme="minorBidi"/>
          <w:sz w:val="20"/>
          <w:szCs w:val="20"/>
        </w:rPr>
        <w:t>Inside/</w:t>
      </w:r>
      <w:r w:rsidR="00073BFC" w:rsidRPr="00105FFC">
        <w:rPr>
          <w:rFonts w:asciiTheme="minorHAnsi" w:eastAsiaTheme="minorHAnsi" w:hAnsiTheme="minorHAnsi" w:cstheme="minorBidi"/>
          <w:sz w:val="20"/>
          <w:szCs w:val="20"/>
        </w:rPr>
        <w:t>Outside of a Primary Care Service Area, by Geographic Region</w:t>
      </w:r>
      <w:bookmarkEnd w:id="346"/>
      <w:bookmarkEnd w:id="347"/>
    </w:p>
    <w:tbl>
      <w:tblPr>
        <w:tblW w:w="0" w:type="auto"/>
        <w:tblInd w:w="93" w:type="dxa"/>
        <w:tblLook w:val="04A0" w:firstRow="1" w:lastRow="0" w:firstColumn="1" w:lastColumn="0" w:noHBand="0" w:noVBand="1"/>
      </w:tblPr>
      <w:tblGrid>
        <w:gridCol w:w="2005"/>
        <w:gridCol w:w="1677"/>
        <w:gridCol w:w="1710"/>
      </w:tblGrid>
      <w:tr w:rsidR="000D1262" w:rsidRPr="00105FFC" w14:paraId="3621B0B4" w14:textId="77777777" w:rsidTr="000D1262">
        <w:trPr>
          <w:trHeight w:val="255"/>
        </w:trPr>
        <w:tc>
          <w:tcPr>
            <w:tcW w:w="200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D7A074F" w14:textId="77777777" w:rsidR="000D1262" w:rsidRPr="00105FFC" w:rsidRDefault="000D1262" w:rsidP="000D1262">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1677" w:type="dxa"/>
            <w:tcBorders>
              <w:top w:val="single" w:sz="4" w:space="0" w:color="auto"/>
              <w:left w:val="single" w:sz="4" w:space="0" w:color="auto"/>
              <w:bottom w:val="single" w:sz="4" w:space="0" w:color="auto"/>
              <w:right w:val="single" w:sz="4" w:space="0" w:color="auto"/>
            </w:tcBorders>
            <w:shd w:val="clear" w:color="000000" w:fill="F2F2F2"/>
          </w:tcPr>
          <w:p w14:paraId="1D770DFC" w14:textId="77777777" w:rsidR="000D1262" w:rsidRPr="00105FFC" w:rsidRDefault="000D1262" w:rsidP="000D1262">
            <w:pPr>
              <w:jc w:val="center"/>
              <w:rPr>
                <w:rFonts w:asciiTheme="minorHAnsi" w:hAnsiTheme="minorHAnsi"/>
                <w:b/>
                <w:bCs/>
                <w:color w:val="000000"/>
                <w:sz w:val="20"/>
                <w:szCs w:val="20"/>
              </w:rPr>
            </w:pPr>
            <w:r w:rsidRPr="00105FFC">
              <w:rPr>
                <w:rFonts w:asciiTheme="minorHAnsi" w:hAnsiTheme="minorHAnsi"/>
                <w:b/>
                <w:bCs/>
                <w:color w:val="000000"/>
                <w:sz w:val="20"/>
                <w:szCs w:val="20"/>
              </w:rPr>
              <w:t>Average Driving Time (in Minutes) for Beneficiaries Residing Inside of Service Area</w:t>
            </w:r>
          </w:p>
        </w:tc>
        <w:tc>
          <w:tcPr>
            <w:tcW w:w="1710" w:type="dxa"/>
            <w:tcBorders>
              <w:top w:val="single" w:sz="4" w:space="0" w:color="auto"/>
              <w:left w:val="single" w:sz="4" w:space="0" w:color="auto"/>
              <w:bottom w:val="single" w:sz="4" w:space="0" w:color="auto"/>
              <w:right w:val="single" w:sz="4" w:space="0" w:color="auto"/>
            </w:tcBorders>
            <w:shd w:val="clear" w:color="000000" w:fill="F2F2F2"/>
            <w:vAlign w:val="center"/>
          </w:tcPr>
          <w:p w14:paraId="7B603D6E" w14:textId="77777777" w:rsidR="000D1262" w:rsidRPr="00105FFC" w:rsidRDefault="000D1262" w:rsidP="000D1262">
            <w:pPr>
              <w:jc w:val="center"/>
              <w:rPr>
                <w:rFonts w:asciiTheme="minorHAnsi" w:hAnsiTheme="minorHAnsi"/>
                <w:b/>
                <w:bCs/>
                <w:color w:val="000000"/>
                <w:sz w:val="20"/>
                <w:szCs w:val="20"/>
              </w:rPr>
            </w:pPr>
            <w:r w:rsidRPr="00105FFC">
              <w:rPr>
                <w:rFonts w:asciiTheme="minorHAnsi" w:hAnsiTheme="minorHAnsi"/>
                <w:b/>
                <w:bCs/>
                <w:color w:val="000000"/>
                <w:sz w:val="20"/>
                <w:szCs w:val="20"/>
              </w:rPr>
              <w:t>Average Driving Time (in Minutes) for Beneficiaries Residing Outside of Service Area</w:t>
            </w:r>
          </w:p>
        </w:tc>
      </w:tr>
      <w:tr w:rsidR="000D1262" w:rsidRPr="00105FFC" w14:paraId="058DEB05" w14:textId="77777777" w:rsidTr="000D1262">
        <w:trPr>
          <w:trHeight w:val="255"/>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4584BA17"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1677" w:type="dxa"/>
            <w:tcBorders>
              <w:top w:val="nil"/>
              <w:left w:val="nil"/>
              <w:bottom w:val="single" w:sz="4" w:space="0" w:color="auto"/>
              <w:right w:val="single" w:sz="4" w:space="0" w:color="auto"/>
            </w:tcBorders>
          </w:tcPr>
          <w:p w14:paraId="0FE3CFE3"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3.6</w:t>
            </w:r>
          </w:p>
        </w:tc>
        <w:tc>
          <w:tcPr>
            <w:tcW w:w="1710" w:type="dxa"/>
            <w:tcBorders>
              <w:top w:val="single" w:sz="4" w:space="0" w:color="auto"/>
              <w:left w:val="nil"/>
              <w:bottom w:val="single" w:sz="4" w:space="0" w:color="auto"/>
              <w:right w:val="single" w:sz="4" w:space="0" w:color="auto"/>
            </w:tcBorders>
            <w:vAlign w:val="center"/>
          </w:tcPr>
          <w:p w14:paraId="31AAEE8A"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40.1</w:t>
            </w:r>
          </w:p>
        </w:tc>
      </w:tr>
      <w:tr w:rsidR="000D1262" w:rsidRPr="00105FFC" w14:paraId="511AFDA0" w14:textId="77777777" w:rsidTr="000D1262">
        <w:trPr>
          <w:trHeight w:val="255"/>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307DCBD9"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1677" w:type="dxa"/>
            <w:tcBorders>
              <w:top w:val="nil"/>
              <w:left w:val="nil"/>
              <w:bottom w:val="single" w:sz="4" w:space="0" w:color="auto"/>
              <w:right w:val="single" w:sz="4" w:space="0" w:color="auto"/>
            </w:tcBorders>
          </w:tcPr>
          <w:p w14:paraId="6502240A"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3.7</w:t>
            </w:r>
          </w:p>
        </w:tc>
        <w:tc>
          <w:tcPr>
            <w:tcW w:w="1710" w:type="dxa"/>
            <w:tcBorders>
              <w:top w:val="single" w:sz="4" w:space="0" w:color="auto"/>
              <w:left w:val="nil"/>
              <w:bottom w:val="single" w:sz="4" w:space="0" w:color="auto"/>
              <w:right w:val="single" w:sz="4" w:space="0" w:color="auto"/>
            </w:tcBorders>
            <w:vAlign w:val="center"/>
          </w:tcPr>
          <w:p w14:paraId="1E2D762A"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42.8</w:t>
            </w:r>
          </w:p>
        </w:tc>
      </w:tr>
      <w:tr w:rsidR="000D1262" w:rsidRPr="00105FFC" w14:paraId="19637B2D" w14:textId="77777777" w:rsidTr="000D1262">
        <w:trPr>
          <w:trHeight w:val="255"/>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1380D133"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1677" w:type="dxa"/>
            <w:tcBorders>
              <w:top w:val="nil"/>
              <w:left w:val="nil"/>
              <w:bottom w:val="single" w:sz="4" w:space="0" w:color="auto"/>
              <w:right w:val="single" w:sz="4" w:space="0" w:color="auto"/>
            </w:tcBorders>
          </w:tcPr>
          <w:p w14:paraId="4FE63E7C"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3.6</w:t>
            </w:r>
          </w:p>
        </w:tc>
        <w:tc>
          <w:tcPr>
            <w:tcW w:w="1710" w:type="dxa"/>
            <w:tcBorders>
              <w:top w:val="single" w:sz="4" w:space="0" w:color="auto"/>
              <w:left w:val="nil"/>
              <w:bottom w:val="single" w:sz="4" w:space="0" w:color="auto"/>
              <w:right w:val="single" w:sz="4" w:space="0" w:color="auto"/>
            </w:tcBorders>
            <w:vAlign w:val="center"/>
          </w:tcPr>
          <w:p w14:paraId="4EF7F449"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39.2</w:t>
            </w:r>
          </w:p>
        </w:tc>
      </w:tr>
      <w:tr w:rsidR="000D1262" w:rsidRPr="00105FFC" w14:paraId="62D847FB" w14:textId="77777777" w:rsidTr="000D1262">
        <w:trPr>
          <w:trHeight w:val="255"/>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18791AFB"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1677" w:type="dxa"/>
            <w:tcBorders>
              <w:top w:val="nil"/>
              <w:left w:val="nil"/>
              <w:bottom w:val="single" w:sz="4" w:space="0" w:color="auto"/>
              <w:right w:val="single" w:sz="4" w:space="0" w:color="auto"/>
            </w:tcBorders>
          </w:tcPr>
          <w:p w14:paraId="790CDA69"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3.8</w:t>
            </w:r>
          </w:p>
        </w:tc>
        <w:tc>
          <w:tcPr>
            <w:tcW w:w="1710" w:type="dxa"/>
            <w:tcBorders>
              <w:top w:val="single" w:sz="4" w:space="0" w:color="auto"/>
              <w:left w:val="nil"/>
              <w:bottom w:val="single" w:sz="4" w:space="0" w:color="auto"/>
              <w:right w:val="single" w:sz="4" w:space="0" w:color="auto"/>
            </w:tcBorders>
            <w:vAlign w:val="center"/>
          </w:tcPr>
          <w:p w14:paraId="7D23D611"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46.3</w:t>
            </w:r>
          </w:p>
        </w:tc>
      </w:tr>
      <w:tr w:rsidR="000D1262" w:rsidRPr="00105FFC" w14:paraId="1CA77349" w14:textId="77777777" w:rsidTr="000D1262">
        <w:trPr>
          <w:trHeight w:val="255"/>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1E4E4120"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1677" w:type="dxa"/>
            <w:tcBorders>
              <w:top w:val="nil"/>
              <w:left w:val="nil"/>
              <w:bottom w:val="single" w:sz="4" w:space="0" w:color="auto"/>
              <w:right w:val="single" w:sz="4" w:space="0" w:color="auto"/>
            </w:tcBorders>
          </w:tcPr>
          <w:p w14:paraId="3B253367"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3.6</w:t>
            </w:r>
          </w:p>
        </w:tc>
        <w:tc>
          <w:tcPr>
            <w:tcW w:w="1710" w:type="dxa"/>
            <w:tcBorders>
              <w:top w:val="single" w:sz="4" w:space="0" w:color="auto"/>
              <w:left w:val="nil"/>
              <w:bottom w:val="single" w:sz="4" w:space="0" w:color="auto"/>
              <w:right w:val="single" w:sz="4" w:space="0" w:color="auto"/>
            </w:tcBorders>
            <w:vAlign w:val="center"/>
          </w:tcPr>
          <w:p w14:paraId="1D31DAE6"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39.5</w:t>
            </w:r>
          </w:p>
        </w:tc>
      </w:tr>
      <w:tr w:rsidR="000D1262" w:rsidRPr="00105FFC" w14:paraId="70FF56D1" w14:textId="77777777" w:rsidTr="000D1262">
        <w:trPr>
          <w:trHeight w:val="255"/>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5EFE872B"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1677" w:type="dxa"/>
            <w:tcBorders>
              <w:top w:val="nil"/>
              <w:left w:val="nil"/>
              <w:bottom w:val="single" w:sz="4" w:space="0" w:color="auto"/>
              <w:right w:val="single" w:sz="4" w:space="0" w:color="auto"/>
            </w:tcBorders>
          </w:tcPr>
          <w:p w14:paraId="659459AE"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3.5</w:t>
            </w:r>
          </w:p>
        </w:tc>
        <w:tc>
          <w:tcPr>
            <w:tcW w:w="1710" w:type="dxa"/>
            <w:tcBorders>
              <w:top w:val="single" w:sz="4" w:space="0" w:color="auto"/>
              <w:left w:val="nil"/>
              <w:bottom w:val="single" w:sz="4" w:space="0" w:color="auto"/>
              <w:right w:val="single" w:sz="4" w:space="0" w:color="auto"/>
            </w:tcBorders>
            <w:vAlign w:val="center"/>
          </w:tcPr>
          <w:p w14:paraId="074158FB"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28.2</w:t>
            </w:r>
          </w:p>
        </w:tc>
      </w:tr>
      <w:tr w:rsidR="000D1262" w:rsidRPr="00105FFC" w14:paraId="2BA00A74" w14:textId="77777777" w:rsidTr="000D1262">
        <w:trPr>
          <w:trHeight w:val="255"/>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0EB294A1"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1677" w:type="dxa"/>
            <w:tcBorders>
              <w:top w:val="nil"/>
              <w:left w:val="nil"/>
              <w:bottom w:val="single" w:sz="4" w:space="0" w:color="auto"/>
              <w:right w:val="single" w:sz="4" w:space="0" w:color="auto"/>
            </w:tcBorders>
          </w:tcPr>
          <w:p w14:paraId="73FC8BF9"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3.6</w:t>
            </w:r>
          </w:p>
        </w:tc>
        <w:tc>
          <w:tcPr>
            <w:tcW w:w="1710" w:type="dxa"/>
            <w:tcBorders>
              <w:top w:val="single" w:sz="4" w:space="0" w:color="auto"/>
              <w:left w:val="nil"/>
              <w:bottom w:val="single" w:sz="4" w:space="0" w:color="auto"/>
              <w:right w:val="single" w:sz="4" w:space="0" w:color="auto"/>
            </w:tcBorders>
            <w:vAlign w:val="center"/>
          </w:tcPr>
          <w:p w14:paraId="3A92C518"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40.0</w:t>
            </w:r>
          </w:p>
        </w:tc>
      </w:tr>
      <w:tr w:rsidR="000D1262" w:rsidRPr="00105FFC" w14:paraId="22932565" w14:textId="77777777" w:rsidTr="000D1262">
        <w:trPr>
          <w:trHeight w:val="255"/>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35BDCAB9"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1677" w:type="dxa"/>
            <w:tcBorders>
              <w:top w:val="nil"/>
              <w:left w:val="nil"/>
              <w:bottom w:val="single" w:sz="4" w:space="0" w:color="auto"/>
              <w:right w:val="single" w:sz="4" w:space="0" w:color="auto"/>
            </w:tcBorders>
          </w:tcPr>
          <w:p w14:paraId="4D16F917"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3.6</w:t>
            </w:r>
          </w:p>
        </w:tc>
        <w:tc>
          <w:tcPr>
            <w:tcW w:w="1710" w:type="dxa"/>
            <w:tcBorders>
              <w:top w:val="single" w:sz="4" w:space="0" w:color="auto"/>
              <w:left w:val="nil"/>
              <w:bottom w:val="single" w:sz="4" w:space="0" w:color="auto"/>
              <w:right w:val="single" w:sz="4" w:space="0" w:color="auto"/>
            </w:tcBorders>
            <w:vAlign w:val="center"/>
          </w:tcPr>
          <w:p w14:paraId="055ED80D"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41.2</w:t>
            </w:r>
          </w:p>
        </w:tc>
      </w:tr>
      <w:tr w:rsidR="000D1262" w:rsidRPr="00105FFC" w14:paraId="2FC755D6" w14:textId="77777777" w:rsidTr="000D1262">
        <w:trPr>
          <w:trHeight w:val="255"/>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020E4FCA"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1677" w:type="dxa"/>
            <w:tcBorders>
              <w:top w:val="nil"/>
              <w:left w:val="nil"/>
              <w:bottom w:val="single" w:sz="4" w:space="0" w:color="auto"/>
              <w:right w:val="single" w:sz="4" w:space="0" w:color="auto"/>
            </w:tcBorders>
          </w:tcPr>
          <w:p w14:paraId="7A179F6B"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3.6</w:t>
            </w:r>
          </w:p>
        </w:tc>
        <w:tc>
          <w:tcPr>
            <w:tcW w:w="1710" w:type="dxa"/>
            <w:tcBorders>
              <w:top w:val="single" w:sz="4" w:space="0" w:color="auto"/>
              <w:left w:val="nil"/>
              <w:bottom w:val="single" w:sz="4" w:space="0" w:color="auto"/>
              <w:right w:val="single" w:sz="4" w:space="0" w:color="auto"/>
            </w:tcBorders>
            <w:vAlign w:val="center"/>
          </w:tcPr>
          <w:p w14:paraId="774BBE10"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40.4</w:t>
            </w:r>
          </w:p>
        </w:tc>
      </w:tr>
    </w:tbl>
    <w:p w14:paraId="0D34CD7C" w14:textId="77777777" w:rsidR="00374BF0" w:rsidRPr="00105FFC" w:rsidRDefault="00374BF0" w:rsidP="00FA0C4E">
      <w:pPr>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3DBBC040" w14:textId="77777777" w:rsidR="005F0188" w:rsidRPr="00105FFC" w:rsidRDefault="005F0188" w:rsidP="000D1262">
      <w:pPr>
        <w:rPr>
          <w:rFonts w:asciiTheme="minorHAnsi" w:eastAsiaTheme="minorHAnsi" w:hAnsiTheme="minorHAnsi" w:cs="Tahoma"/>
          <w:sz w:val="16"/>
          <w:szCs w:val="16"/>
        </w:rPr>
      </w:pPr>
      <w:r w:rsidRPr="00105FFC">
        <w:rPr>
          <w:rFonts w:asciiTheme="minorHAnsi" w:eastAsiaTheme="minorHAnsi" w:hAnsiTheme="minorHAnsi" w:cs="Tahoma"/>
          <w:b/>
          <w:sz w:val="16"/>
          <w:szCs w:val="16"/>
        </w:rPr>
        <w:t>Note:</w:t>
      </w:r>
      <w:r w:rsidRPr="00105FFC">
        <w:rPr>
          <w:rFonts w:asciiTheme="minorHAnsi" w:eastAsiaTheme="minorHAnsi" w:hAnsiTheme="minorHAnsi" w:cs="Tahoma"/>
          <w:sz w:val="16"/>
          <w:szCs w:val="16"/>
        </w:rPr>
        <w:t xml:space="preserve"> Drive time and distance is calculated for each beneficiary to the closest Primary Care Provider.</w:t>
      </w:r>
    </w:p>
    <w:p w14:paraId="66CB258C" w14:textId="77777777" w:rsidR="00073BFC" w:rsidRPr="00105FFC" w:rsidRDefault="00073BFC" w:rsidP="00073BFC">
      <w:pPr>
        <w:keepNext/>
        <w:keepLines/>
        <w:spacing w:line="276" w:lineRule="auto"/>
        <w:outlineLvl w:val="2"/>
        <w:rPr>
          <w:rFonts w:asciiTheme="minorHAnsi" w:eastAsiaTheme="majorEastAsia" w:hAnsiTheme="minorHAnsi" w:cstheme="majorBidi"/>
          <w:b/>
          <w:bCs/>
          <w:color w:val="4F81BD" w:themeColor="accent1"/>
          <w:sz w:val="22"/>
          <w:szCs w:val="22"/>
        </w:rPr>
      </w:pPr>
    </w:p>
    <w:p w14:paraId="1A6C64F2" w14:textId="77777777" w:rsidR="00073BFC" w:rsidRPr="00105FFC" w:rsidRDefault="00402F8B" w:rsidP="000D1262">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Across all of the analyzed geographic regions, FFS beneficiaries residing within a primary care service area during SFY 2104-15 averaged just under two miles in driving distance to reach their appointment. </w:t>
      </w:r>
      <w:r w:rsidR="00073BFC" w:rsidRPr="00105FFC">
        <w:rPr>
          <w:rFonts w:asciiTheme="minorHAnsi" w:eastAsiaTheme="minorHAnsi" w:hAnsiTheme="minorHAnsi" w:cstheme="minorBidi"/>
        </w:rPr>
        <w:t xml:space="preserve">In SFY 2014-15, the geographic regions with the longest average driving distances to reach a primary care physician appointment among FFS beneficiaries residing outside of a primary care service area were the North Coast (37.5 minutes) and the Central Coast (30.0 miles) (Table </w:t>
      </w:r>
      <w:r w:rsidR="000468AD" w:rsidRPr="00105FFC">
        <w:rPr>
          <w:rFonts w:asciiTheme="minorHAnsi" w:eastAsiaTheme="minorHAnsi" w:hAnsiTheme="minorHAnsi" w:cstheme="minorBidi"/>
        </w:rPr>
        <w:t>18</w:t>
      </w:r>
      <w:r w:rsidR="00073BFC" w:rsidRPr="00105FFC">
        <w:rPr>
          <w:rFonts w:asciiTheme="minorHAnsi" w:eastAsiaTheme="minorHAnsi" w:hAnsiTheme="minorHAnsi" w:cstheme="minorBidi"/>
        </w:rPr>
        <w:t>).</w:t>
      </w:r>
    </w:p>
    <w:p w14:paraId="4B695FC5" w14:textId="77777777" w:rsidR="00FA0C4E" w:rsidRPr="00105FFC" w:rsidRDefault="00FA0C4E" w:rsidP="00FA0C4E">
      <w:pPr>
        <w:rPr>
          <w:rFonts w:asciiTheme="minorHAnsi" w:eastAsiaTheme="minorHAnsi" w:hAnsiTheme="minorHAnsi" w:cs="Tahoma"/>
          <w:sz w:val="20"/>
          <w:szCs w:val="20"/>
        </w:rPr>
      </w:pPr>
    </w:p>
    <w:p w14:paraId="248BE9D3" w14:textId="77777777" w:rsidR="00073BFC" w:rsidRPr="00105FFC" w:rsidRDefault="001641BD" w:rsidP="00073BFC">
      <w:pPr>
        <w:spacing w:line="276" w:lineRule="auto"/>
        <w:rPr>
          <w:rFonts w:asciiTheme="minorHAnsi" w:eastAsiaTheme="minorHAnsi" w:hAnsiTheme="minorHAnsi" w:cstheme="minorBidi"/>
          <w:b/>
          <w:sz w:val="22"/>
          <w:szCs w:val="22"/>
        </w:rPr>
      </w:pPr>
      <w:bookmarkStart w:id="348" w:name="_Toc458783098"/>
      <w:bookmarkStart w:id="349" w:name="_Toc459285168"/>
      <w:r w:rsidRPr="00105FFC">
        <w:rPr>
          <w:rFonts w:asciiTheme="minorHAnsi" w:eastAsiaTheme="minorHAnsi" w:hAnsiTheme="minorHAnsi" w:cstheme="minorBidi"/>
          <w:b/>
          <w:sz w:val="20"/>
          <w:szCs w:val="20"/>
        </w:rPr>
        <w:t xml:space="preserve">Table </w:t>
      </w:r>
      <w:r w:rsidR="00073BFC" w:rsidRPr="00105FFC">
        <w:rPr>
          <w:rFonts w:asciiTheme="minorHAnsi" w:eastAsiaTheme="minorHAnsi" w:hAnsiTheme="minorHAnsi" w:cstheme="minorBidi"/>
          <w:b/>
          <w:sz w:val="20"/>
          <w:szCs w:val="20"/>
        </w:rPr>
        <w:fldChar w:fldCharType="begin"/>
      </w:r>
      <w:r w:rsidR="00073BFC" w:rsidRPr="00105FFC">
        <w:rPr>
          <w:rFonts w:asciiTheme="minorHAnsi" w:eastAsiaTheme="minorHAnsi" w:hAnsiTheme="minorHAnsi" w:cstheme="minorBidi"/>
          <w:b/>
          <w:sz w:val="20"/>
          <w:szCs w:val="20"/>
        </w:rPr>
        <w:instrText xml:space="preserve"> SEQ Table \* ARABIC </w:instrText>
      </w:r>
      <w:r w:rsidR="00073BFC" w:rsidRPr="00105FFC">
        <w:rPr>
          <w:rFonts w:asciiTheme="minorHAnsi" w:eastAsiaTheme="minorHAnsi" w:hAnsiTheme="minorHAnsi" w:cstheme="minorBidi"/>
          <w:b/>
          <w:sz w:val="20"/>
          <w:szCs w:val="20"/>
        </w:rPr>
        <w:fldChar w:fldCharType="separate"/>
      </w:r>
      <w:r w:rsidR="00B04F0F">
        <w:rPr>
          <w:rFonts w:asciiTheme="minorHAnsi" w:eastAsiaTheme="minorHAnsi" w:hAnsiTheme="minorHAnsi" w:cstheme="minorBidi"/>
          <w:b/>
          <w:noProof/>
          <w:sz w:val="20"/>
          <w:szCs w:val="20"/>
        </w:rPr>
        <w:t>23</w:t>
      </w:r>
      <w:r w:rsidR="00073BFC" w:rsidRPr="00105FFC">
        <w:rPr>
          <w:rFonts w:asciiTheme="minorHAnsi" w:eastAsiaTheme="minorHAnsi" w:hAnsiTheme="minorHAnsi" w:cstheme="minorBidi"/>
          <w:b/>
          <w:sz w:val="20"/>
          <w:szCs w:val="20"/>
        </w:rPr>
        <w:fldChar w:fldCharType="end"/>
      </w:r>
      <w:r w:rsidR="00073BFC" w:rsidRPr="00105FFC">
        <w:rPr>
          <w:rFonts w:asciiTheme="minorHAnsi" w:eastAsiaTheme="minorHAnsi" w:hAnsiTheme="minorHAnsi" w:cstheme="minorBidi"/>
          <w:b/>
          <w:sz w:val="20"/>
          <w:szCs w:val="20"/>
        </w:rPr>
        <w:t>:</w:t>
      </w:r>
      <w:r w:rsidR="00073BFC" w:rsidRPr="00105FFC">
        <w:rPr>
          <w:rFonts w:asciiTheme="minorHAnsi" w:eastAsiaTheme="minorHAnsi" w:hAnsiTheme="minorHAnsi" w:cstheme="minorBidi"/>
          <w:sz w:val="20"/>
          <w:szCs w:val="20"/>
        </w:rPr>
        <w:t xml:space="preserve"> Average Driving Distance to Reach Primary Care Appointment among FFS Medi-Cal Beneficiaries Certified Eligible for at Least 11 Months in SFY 2014-15 Who Reside </w:t>
      </w:r>
      <w:r w:rsidR="00FA0C4E" w:rsidRPr="00105FFC">
        <w:rPr>
          <w:rFonts w:asciiTheme="minorHAnsi" w:eastAsiaTheme="minorHAnsi" w:hAnsiTheme="minorHAnsi" w:cstheme="minorBidi"/>
          <w:sz w:val="20"/>
          <w:szCs w:val="20"/>
        </w:rPr>
        <w:t>Inside/</w:t>
      </w:r>
      <w:r w:rsidR="00073BFC" w:rsidRPr="00105FFC">
        <w:rPr>
          <w:rFonts w:asciiTheme="minorHAnsi" w:eastAsiaTheme="minorHAnsi" w:hAnsiTheme="minorHAnsi" w:cstheme="minorBidi"/>
          <w:sz w:val="20"/>
          <w:szCs w:val="20"/>
        </w:rPr>
        <w:t>Outside of a Primary Care Service Area, by Geographic Region</w:t>
      </w:r>
      <w:bookmarkEnd w:id="348"/>
      <w:bookmarkEnd w:id="349"/>
    </w:p>
    <w:tbl>
      <w:tblPr>
        <w:tblW w:w="0" w:type="auto"/>
        <w:tblInd w:w="93" w:type="dxa"/>
        <w:tblLook w:val="04A0" w:firstRow="1" w:lastRow="0" w:firstColumn="1" w:lastColumn="0" w:noHBand="0" w:noVBand="1"/>
      </w:tblPr>
      <w:tblGrid>
        <w:gridCol w:w="2122"/>
        <w:gridCol w:w="1759"/>
        <w:gridCol w:w="1825"/>
      </w:tblGrid>
      <w:tr w:rsidR="000D1262" w:rsidRPr="00105FFC" w14:paraId="0FD34723" w14:textId="77777777" w:rsidTr="00F42E51">
        <w:trPr>
          <w:trHeight w:val="219"/>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9614A7" w14:textId="77777777" w:rsidR="000D1262" w:rsidRPr="00105FFC" w:rsidRDefault="000D1262" w:rsidP="000D1262">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1759" w:type="dxa"/>
            <w:tcBorders>
              <w:top w:val="single" w:sz="4" w:space="0" w:color="auto"/>
              <w:left w:val="single" w:sz="4" w:space="0" w:color="auto"/>
              <w:bottom w:val="single" w:sz="4" w:space="0" w:color="auto"/>
              <w:right w:val="single" w:sz="4" w:space="0" w:color="auto"/>
            </w:tcBorders>
            <w:shd w:val="clear" w:color="000000" w:fill="F2F2F2"/>
          </w:tcPr>
          <w:p w14:paraId="66A30BB4" w14:textId="77777777" w:rsidR="000D1262" w:rsidRPr="00105FFC" w:rsidRDefault="000D1262" w:rsidP="000D1262">
            <w:pPr>
              <w:jc w:val="center"/>
              <w:rPr>
                <w:rFonts w:asciiTheme="minorHAnsi" w:hAnsiTheme="minorHAnsi"/>
                <w:b/>
                <w:bCs/>
                <w:color w:val="000000"/>
                <w:sz w:val="20"/>
                <w:szCs w:val="20"/>
              </w:rPr>
            </w:pPr>
            <w:r w:rsidRPr="00105FFC">
              <w:rPr>
                <w:rFonts w:asciiTheme="minorHAnsi" w:hAnsiTheme="minorHAnsi"/>
                <w:b/>
                <w:bCs/>
                <w:color w:val="000000"/>
                <w:sz w:val="20"/>
                <w:szCs w:val="20"/>
              </w:rPr>
              <w:t>Average Driving Distance (in Miles) for Beneficiaries Residing Inside of Service Area</w:t>
            </w:r>
          </w:p>
        </w:tc>
        <w:tc>
          <w:tcPr>
            <w:tcW w:w="182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04EBB5" w14:textId="77777777" w:rsidR="000D1262" w:rsidRPr="00105FFC" w:rsidRDefault="000D1262" w:rsidP="000D1262">
            <w:pPr>
              <w:jc w:val="center"/>
              <w:rPr>
                <w:rFonts w:asciiTheme="minorHAnsi" w:hAnsiTheme="minorHAnsi"/>
                <w:b/>
                <w:bCs/>
                <w:color w:val="000000"/>
                <w:sz w:val="20"/>
                <w:szCs w:val="20"/>
              </w:rPr>
            </w:pPr>
            <w:r w:rsidRPr="00105FFC">
              <w:rPr>
                <w:rFonts w:asciiTheme="minorHAnsi" w:hAnsiTheme="minorHAnsi"/>
                <w:b/>
                <w:bCs/>
                <w:color w:val="000000"/>
                <w:sz w:val="20"/>
                <w:szCs w:val="20"/>
              </w:rPr>
              <w:t>Average Driving Distance (in Miles) for Beneficiaries Residing Outside of Service Area</w:t>
            </w:r>
          </w:p>
        </w:tc>
      </w:tr>
      <w:tr w:rsidR="000D1262" w:rsidRPr="00105FFC" w14:paraId="2B20C5E4" w14:textId="77777777" w:rsidTr="00F42E51">
        <w:trPr>
          <w:trHeight w:val="219"/>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75CCF06"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1759" w:type="dxa"/>
            <w:tcBorders>
              <w:top w:val="single" w:sz="4" w:space="0" w:color="auto"/>
              <w:left w:val="nil"/>
              <w:bottom w:val="single" w:sz="4" w:space="0" w:color="auto"/>
              <w:right w:val="single" w:sz="4" w:space="0" w:color="auto"/>
            </w:tcBorders>
          </w:tcPr>
          <w:p w14:paraId="7E7EF3B1"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1.4</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7B752"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27.1</w:t>
            </w:r>
          </w:p>
        </w:tc>
      </w:tr>
      <w:tr w:rsidR="000D1262" w:rsidRPr="00105FFC" w14:paraId="43A16C7E" w14:textId="77777777" w:rsidTr="00F42E51">
        <w:trPr>
          <w:trHeight w:val="219"/>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3549465"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1759" w:type="dxa"/>
            <w:tcBorders>
              <w:top w:val="single" w:sz="4" w:space="0" w:color="auto"/>
              <w:left w:val="nil"/>
              <w:bottom w:val="single" w:sz="4" w:space="0" w:color="auto"/>
              <w:right w:val="single" w:sz="4" w:space="0" w:color="auto"/>
            </w:tcBorders>
          </w:tcPr>
          <w:p w14:paraId="7ECDB4FD"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1.5</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546FF"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30.0</w:t>
            </w:r>
          </w:p>
        </w:tc>
      </w:tr>
      <w:tr w:rsidR="000D1262" w:rsidRPr="00105FFC" w14:paraId="1685BDBE" w14:textId="77777777" w:rsidTr="00F42E51">
        <w:trPr>
          <w:trHeight w:val="219"/>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2CBFF08"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1759" w:type="dxa"/>
            <w:tcBorders>
              <w:top w:val="single" w:sz="4" w:space="0" w:color="auto"/>
              <w:left w:val="nil"/>
              <w:bottom w:val="single" w:sz="4" w:space="0" w:color="auto"/>
              <w:right w:val="single" w:sz="4" w:space="0" w:color="auto"/>
            </w:tcBorders>
          </w:tcPr>
          <w:p w14:paraId="0703A6E8"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1.4</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6D352"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26.8</w:t>
            </w:r>
          </w:p>
        </w:tc>
      </w:tr>
      <w:tr w:rsidR="000D1262" w:rsidRPr="00105FFC" w14:paraId="20A4CFAD" w14:textId="77777777" w:rsidTr="00F42E51">
        <w:trPr>
          <w:trHeight w:val="219"/>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3CCEA68"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1759" w:type="dxa"/>
            <w:tcBorders>
              <w:top w:val="single" w:sz="4" w:space="0" w:color="auto"/>
              <w:left w:val="nil"/>
              <w:bottom w:val="single" w:sz="4" w:space="0" w:color="auto"/>
              <w:right w:val="single" w:sz="4" w:space="0" w:color="auto"/>
            </w:tcBorders>
          </w:tcPr>
          <w:p w14:paraId="07495D18"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1.5</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515DF"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17.2</w:t>
            </w:r>
          </w:p>
        </w:tc>
      </w:tr>
      <w:tr w:rsidR="000D1262" w:rsidRPr="00105FFC" w14:paraId="0DB88667" w14:textId="77777777" w:rsidTr="00F42E51">
        <w:trPr>
          <w:trHeight w:val="219"/>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DBFD425"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1759" w:type="dxa"/>
            <w:tcBorders>
              <w:top w:val="single" w:sz="4" w:space="0" w:color="auto"/>
              <w:left w:val="nil"/>
              <w:bottom w:val="single" w:sz="4" w:space="0" w:color="auto"/>
              <w:right w:val="single" w:sz="4" w:space="0" w:color="auto"/>
            </w:tcBorders>
          </w:tcPr>
          <w:p w14:paraId="733A8766"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1.4</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94CEA"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28.1</w:t>
            </w:r>
          </w:p>
        </w:tc>
      </w:tr>
      <w:tr w:rsidR="000D1262" w:rsidRPr="00105FFC" w14:paraId="0A198885" w14:textId="77777777" w:rsidTr="00F42E51">
        <w:trPr>
          <w:trHeight w:val="219"/>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B08C547"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1759" w:type="dxa"/>
            <w:tcBorders>
              <w:top w:val="single" w:sz="4" w:space="0" w:color="auto"/>
              <w:left w:val="nil"/>
              <w:bottom w:val="single" w:sz="4" w:space="0" w:color="auto"/>
              <w:right w:val="single" w:sz="4" w:space="0" w:color="auto"/>
            </w:tcBorders>
          </w:tcPr>
          <w:p w14:paraId="1A8526E9"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1.4</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284B3"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37.5</w:t>
            </w:r>
          </w:p>
        </w:tc>
      </w:tr>
      <w:tr w:rsidR="000D1262" w:rsidRPr="00105FFC" w14:paraId="3EC1093C" w14:textId="77777777" w:rsidTr="00F42E51">
        <w:trPr>
          <w:trHeight w:val="219"/>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097005B"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1759" w:type="dxa"/>
            <w:tcBorders>
              <w:top w:val="single" w:sz="4" w:space="0" w:color="auto"/>
              <w:left w:val="nil"/>
              <w:bottom w:val="single" w:sz="4" w:space="0" w:color="auto"/>
              <w:right w:val="single" w:sz="4" w:space="0" w:color="auto"/>
            </w:tcBorders>
          </w:tcPr>
          <w:p w14:paraId="0BF55E38"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1.4</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C3A2F"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26.6</w:t>
            </w:r>
          </w:p>
        </w:tc>
      </w:tr>
      <w:tr w:rsidR="000D1262" w:rsidRPr="00105FFC" w14:paraId="546D935B" w14:textId="77777777" w:rsidTr="00F42E51">
        <w:trPr>
          <w:trHeight w:val="219"/>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E8C1106"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1759" w:type="dxa"/>
            <w:tcBorders>
              <w:top w:val="single" w:sz="4" w:space="0" w:color="auto"/>
              <w:left w:val="nil"/>
              <w:bottom w:val="single" w:sz="4" w:space="0" w:color="auto"/>
              <w:right w:val="single" w:sz="4" w:space="0" w:color="auto"/>
            </w:tcBorders>
          </w:tcPr>
          <w:p w14:paraId="2E75DEEF"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1.5</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642CC"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25.8</w:t>
            </w:r>
          </w:p>
        </w:tc>
      </w:tr>
      <w:tr w:rsidR="000D1262" w:rsidRPr="00105FFC" w14:paraId="459370E6" w14:textId="77777777" w:rsidTr="00F42E51">
        <w:trPr>
          <w:trHeight w:val="219"/>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ABADEA8"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1759" w:type="dxa"/>
            <w:tcBorders>
              <w:top w:val="single" w:sz="4" w:space="0" w:color="auto"/>
              <w:left w:val="nil"/>
              <w:bottom w:val="single" w:sz="4" w:space="0" w:color="auto"/>
              <w:right w:val="single" w:sz="4" w:space="0" w:color="auto"/>
            </w:tcBorders>
          </w:tcPr>
          <w:p w14:paraId="3DFC8948"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1.5</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B561E" w14:textId="77777777" w:rsidR="000D1262" w:rsidRPr="00105FFC" w:rsidRDefault="000D1262" w:rsidP="000D1262">
            <w:pPr>
              <w:jc w:val="center"/>
              <w:rPr>
                <w:rFonts w:asciiTheme="minorHAnsi" w:hAnsiTheme="minorHAnsi"/>
                <w:color w:val="000000"/>
                <w:sz w:val="20"/>
                <w:szCs w:val="20"/>
              </w:rPr>
            </w:pPr>
            <w:r w:rsidRPr="00105FFC">
              <w:rPr>
                <w:rFonts w:asciiTheme="minorHAnsi" w:hAnsiTheme="minorHAnsi"/>
                <w:color w:val="000000"/>
                <w:sz w:val="20"/>
                <w:szCs w:val="20"/>
              </w:rPr>
              <w:t>28.5</w:t>
            </w:r>
          </w:p>
        </w:tc>
      </w:tr>
    </w:tbl>
    <w:p w14:paraId="445F03A4" w14:textId="77777777" w:rsidR="00374BF0" w:rsidRPr="00105FFC" w:rsidRDefault="00374BF0" w:rsidP="00FA0C4E">
      <w:pPr>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0C1B8D7D" w14:textId="77777777" w:rsidR="005F0188" w:rsidRPr="00105FFC" w:rsidRDefault="005F0188" w:rsidP="00374BF0">
      <w:pPr>
        <w:spacing w:after="120"/>
        <w:rPr>
          <w:rFonts w:asciiTheme="minorHAnsi" w:eastAsiaTheme="minorHAnsi" w:hAnsiTheme="minorHAnsi" w:cs="Tahoma"/>
          <w:sz w:val="16"/>
          <w:szCs w:val="16"/>
        </w:rPr>
      </w:pPr>
      <w:r w:rsidRPr="00105FFC">
        <w:rPr>
          <w:rFonts w:asciiTheme="minorHAnsi" w:eastAsiaTheme="minorHAnsi" w:hAnsiTheme="minorHAnsi" w:cs="Tahoma"/>
          <w:b/>
          <w:sz w:val="16"/>
          <w:szCs w:val="16"/>
        </w:rPr>
        <w:t>Note:</w:t>
      </w:r>
      <w:r w:rsidRPr="00105FFC">
        <w:rPr>
          <w:rFonts w:asciiTheme="minorHAnsi" w:eastAsiaTheme="minorHAnsi" w:hAnsiTheme="minorHAnsi" w:cs="Tahoma"/>
          <w:sz w:val="16"/>
          <w:szCs w:val="16"/>
        </w:rPr>
        <w:t xml:space="preserve"> Drive time and distance is calculated for each beneficiary to the closest Primary Care Provider.</w:t>
      </w:r>
    </w:p>
    <w:p w14:paraId="180F9EE6" w14:textId="77777777" w:rsidR="005F404F" w:rsidRPr="00105FFC" w:rsidRDefault="004E632D" w:rsidP="00805CFC">
      <w:pPr>
        <w:spacing w:line="276" w:lineRule="auto"/>
        <w:rPr>
          <w:rFonts w:asciiTheme="minorHAnsi" w:eastAsiaTheme="minorHAnsi" w:hAnsiTheme="minorHAnsi" w:cstheme="minorBidi"/>
        </w:rPr>
      </w:pPr>
      <w:bookmarkStart w:id="350" w:name="_Toc458178015"/>
      <w:r w:rsidRPr="00105FFC">
        <w:rPr>
          <w:rFonts w:asciiTheme="minorHAnsi" w:eastAsiaTheme="minorHAnsi" w:hAnsiTheme="minorHAnsi" w:cstheme="minorBidi"/>
        </w:rPr>
        <w:t xml:space="preserve">Figure 32 provides a visual depiction of the primary care service areas and the </w:t>
      </w:r>
      <w:r w:rsidR="009D36CD" w:rsidRPr="00105FFC">
        <w:rPr>
          <w:rFonts w:asciiTheme="minorHAnsi" w:eastAsiaTheme="minorHAnsi" w:hAnsiTheme="minorHAnsi" w:cstheme="minorBidi"/>
        </w:rPr>
        <w:t xml:space="preserve">distribution of FFS primary care provider locations throughout the state.  </w:t>
      </w:r>
    </w:p>
    <w:p w14:paraId="2A4F90A8" w14:textId="77777777" w:rsidR="005F404F" w:rsidRPr="00105FFC" w:rsidRDefault="005F404F" w:rsidP="00805CFC">
      <w:pPr>
        <w:spacing w:line="276" w:lineRule="auto"/>
        <w:rPr>
          <w:rFonts w:asciiTheme="minorHAnsi" w:eastAsiaTheme="minorHAnsi" w:hAnsiTheme="minorHAnsi" w:cstheme="minorBidi"/>
          <w:sz w:val="20"/>
          <w:szCs w:val="20"/>
        </w:rPr>
      </w:pPr>
    </w:p>
    <w:p w14:paraId="496D5239" w14:textId="77777777" w:rsidR="005F404F" w:rsidRPr="00105FFC" w:rsidRDefault="005F404F" w:rsidP="00805CFC">
      <w:pPr>
        <w:spacing w:line="276" w:lineRule="auto"/>
        <w:rPr>
          <w:rFonts w:asciiTheme="minorHAnsi" w:eastAsiaTheme="minorHAnsi" w:hAnsiTheme="minorHAnsi" w:cstheme="minorBidi"/>
          <w:b/>
          <w:sz w:val="20"/>
          <w:szCs w:val="20"/>
        </w:rPr>
      </w:pPr>
    </w:p>
    <w:p w14:paraId="01F842B5" w14:textId="77777777" w:rsidR="005F404F" w:rsidRPr="00105FFC" w:rsidRDefault="005F404F" w:rsidP="00805CFC">
      <w:pPr>
        <w:spacing w:line="276" w:lineRule="auto"/>
        <w:rPr>
          <w:rFonts w:asciiTheme="minorHAnsi" w:eastAsiaTheme="minorHAnsi" w:hAnsiTheme="minorHAnsi" w:cstheme="minorBidi"/>
          <w:b/>
          <w:sz w:val="20"/>
          <w:szCs w:val="20"/>
        </w:rPr>
      </w:pPr>
    </w:p>
    <w:p w14:paraId="2C23BFBE" w14:textId="77777777" w:rsidR="005F404F" w:rsidRPr="00105FFC" w:rsidRDefault="005F404F" w:rsidP="00805CFC">
      <w:pPr>
        <w:spacing w:line="276" w:lineRule="auto"/>
        <w:rPr>
          <w:rFonts w:asciiTheme="minorHAnsi" w:eastAsiaTheme="minorHAnsi" w:hAnsiTheme="minorHAnsi" w:cstheme="minorBidi"/>
          <w:b/>
          <w:sz w:val="20"/>
          <w:szCs w:val="20"/>
        </w:rPr>
      </w:pPr>
    </w:p>
    <w:p w14:paraId="727FB962" w14:textId="77777777" w:rsidR="00805CFC" w:rsidRPr="00105FFC" w:rsidRDefault="00805CFC" w:rsidP="00805CFC">
      <w:pPr>
        <w:spacing w:line="276" w:lineRule="auto"/>
        <w:rPr>
          <w:rFonts w:asciiTheme="minorHAnsi" w:eastAsiaTheme="minorHAnsi" w:hAnsiTheme="minorHAnsi" w:cstheme="minorBidi"/>
          <w:sz w:val="22"/>
          <w:szCs w:val="22"/>
        </w:rPr>
      </w:pPr>
      <w:bookmarkStart w:id="351" w:name="_Toc458782970"/>
      <w:bookmarkStart w:id="352" w:name="_Toc459285081"/>
      <w:bookmarkStart w:id="353" w:name="_Toc459285272"/>
      <w:bookmarkStart w:id="354" w:name="_Toc459286713"/>
      <w:r w:rsidRPr="00105FFC">
        <w:rPr>
          <w:rFonts w:asciiTheme="minorHAnsi" w:eastAsiaTheme="minorHAnsi" w:hAnsiTheme="minorHAnsi" w:cstheme="minorBidi"/>
          <w:b/>
          <w:sz w:val="20"/>
          <w:szCs w:val="20"/>
        </w:rPr>
        <w:t xml:space="preserve">Figure </w:t>
      </w:r>
      <w:r w:rsidRPr="00105FFC">
        <w:rPr>
          <w:rFonts w:asciiTheme="minorHAnsi" w:eastAsiaTheme="minorHAnsi" w:hAnsiTheme="minorHAnsi" w:cstheme="minorBidi"/>
          <w:b/>
          <w:sz w:val="20"/>
          <w:szCs w:val="20"/>
        </w:rPr>
        <w:fldChar w:fldCharType="begin"/>
      </w:r>
      <w:r w:rsidRPr="00105FFC">
        <w:rPr>
          <w:rFonts w:asciiTheme="minorHAnsi" w:eastAsiaTheme="minorHAnsi" w:hAnsiTheme="minorHAnsi" w:cstheme="minorBidi"/>
          <w:b/>
          <w:sz w:val="20"/>
          <w:szCs w:val="20"/>
        </w:rPr>
        <w:instrText xml:space="preserve"> SEQ Figure \* ARABIC </w:instrText>
      </w:r>
      <w:r w:rsidRPr="00105FFC">
        <w:rPr>
          <w:rFonts w:asciiTheme="minorHAnsi" w:eastAsiaTheme="minorHAnsi" w:hAnsiTheme="minorHAnsi" w:cstheme="minorBidi"/>
          <w:b/>
          <w:sz w:val="20"/>
          <w:szCs w:val="20"/>
        </w:rPr>
        <w:fldChar w:fldCharType="separate"/>
      </w:r>
      <w:r w:rsidR="000E1B8E">
        <w:rPr>
          <w:rFonts w:asciiTheme="minorHAnsi" w:eastAsiaTheme="minorHAnsi" w:hAnsiTheme="minorHAnsi" w:cstheme="minorBidi"/>
          <w:b/>
          <w:noProof/>
          <w:sz w:val="20"/>
          <w:szCs w:val="20"/>
        </w:rPr>
        <w:t>32</w:t>
      </w:r>
      <w:r w:rsidRPr="00105FFC">
        <w:rPr>
          <w:rFonts w:asciiTheme="minorHAnsi" w:eastAsiaTheme="minorHAnsi" w:hAnsiTheme="minorHAnsi" w:cstheme="minorBidi"/>
          <w:b/>
          <w:sz w:val="20"/>
          <w:szCs w:val="20"/>
        </w:rPr>
        <w:fldChar w:fldCharType="end"/>
      </w:r>
      <w:r w:rsidRPr="00105FFC">
        <w:rPr>
          <w:rFonts w:asciiTheme="minorHAnsi" w:eastAsiaTheme="minorHAnsi" w:hAnsiTheme="minorHAnsi" w:cstheme="minorBidi"/>
          <w:b/>
          <w:sz w:val="20"/>
          <w:szCs w:val="20"/>
        </w:rPr>
        <w:t>:</w:t>
      </w:r>
      <w:r w:rsidRPr="00105FFC">
        <w:rPr>
          <w:rFonts w:asciiTheme="minorHAnsi" w:eastAsiaTheme="minorHAnsi" w:hAnsiTheme="minorHAnsi" w:cstheme="minorBidi"/>
          <w:sz w:val="22"/>
          <w:szCs w:val="22"/>
        </w:rPr>
        <w:t xml:space="preserve"> </w:t>
      </w:r>
      <w:r w:rsidRPr="00105FFC">
        <w:rPr>
          <w:rFonts w:asciiTheme="minorHAnsi" w:eastAsiaTheme="minorHAnsi" w:hAnsiTheme="minorHAnsi" w:cstheme="minorBidi"/>
          <w:sz w:val="20"/>
          <w:szCs w:val="20"/>
        </w:rPr>
        <w:t>Statewide FFS Medi-Cal Primary Care Service Areas and FFS Primary Care Provider Locations in 2014-15</w:t>
      </w:r>
      <w:bookmarkEnd w:id="350"/>
      <w:bookmarkEnd w:id="351"/>
      <w:bookmarkEnd w:id="352"/>
      <w:bookmarkEnd w:id="353"/>
      <w:bookmarkEnd w:id="354"/>
    </w:p>
    <w:p w14:paraId="28F7E1E2" w14:textId="77777777" w:rsidR="00805CFC" w:rsidRPr="00105FFC" w:rsidRDefault="00805CFC" w:rsidP="00805CFC">
      <w:pPr>
        <w:spacing w:line="276" w:lineRule="auto"/>
        <w:rPr>
          <w:rFonts w:asciiTheme="minorHAnsi" w:eastAsiaTheme="minorHAnsi" w:hAnsiTheme="minorHAnsi" w:cstheme="minorBidi"/>
          <w:sz w:val="22"/>
          <w:szCs w:val="22"/>
        </w:rPr>
      </w:pPr>
      <w:r w:rsidRPr="00105FFC">
        <w:rPr>
          <w:rFonts w:asciiTheme="minorHAnsi" w:eastAsiaTheme="minorHAnsi" w:hAnsiTheme="minorHAnsi" w:cstheme="minorBidi"/>
          <w:noProof/>
          <w:sz w:val="22"/>
          <w:szCs w:val="22"/>
        </w:rPr>
        <w:drawing>
          <wp:inline distT="0" distB="0" distL="0" distR="0" wp14:anchorId="7ED2F28F" wp14:editId="7DB05CB8">
            <wp:extent cx="5943138" cy="6562725"/>
            <wp:effectExtent l="0" t="0" r="635" b="0"/>
            <wp:docPr id="27" name="Picture 27" descr="Map of California with locations of Primary Care Providers and corresponding Primary Care Servi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llis\AppData\Local\Microsoft\Windows\Temporary Internet Files\Content.Outlook\UTVE0KZ5\FY1415 Provider Locations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5676" cy="6565528"/>
                    </a:xfrm>
                    <a:prstGeom prst="rect">
                      <a:avLst/>
                    </a:prstGeom>
                    <a:noFill/>
                    <a:ln>
                      <a:noFill/>
                    </a:ln>
                  </pic:spPr>
                </pic:pic>
              </a:graphicData>
            </a:graphic>
          </wp:inline>
        </w:drawing>
      </w:r>
    </w:p>
    <w:p w14:paraId="48A1698D" w14:textId="77777777" w:rsidR="00073BFC" w:rsidRPr="00105FFC" w:rsidRDefault="00073BFC" w:rsidP="00073BFC">
      <w:pPr>
        <w:spacing w:after="200" w:line="276" w:lineRule="auto"/>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br w:type="page"/>
      </w:r>
    </w:p>
    <w:p w14:paraId="735B26E1" w14:textId="77777777" w:rsidR="00073BFC" w:rsidRPr="00105FFC" w:rsidRDefault="00073BFC" w:rsidP="00802F4A">
      <w:pPr>
        <w:pStyle w:val="Heading4"/>
        <w:spacing w:before="0" w:after="120" w:line="276" w:lineRule="auto"/>
      </w:pPr>
      <w:r w:rsidRPr="00105FFC">
        <w:t>Specialist Providers</w:t>
      </w:r>
    </w:p>
    <w:p w14:paraId="0AEF6BB8" w14:textId="77777777" w:rsidR="00073BFC" w:rsidRPr="00105FFC" w:rsidRDefault="00073BFC" w:rsidP="00073BFC">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Specialist providers include physicians and physician groups. </w:t>
      </w:r>
      <w:r w:rsidR="00CE3049" w:rsidRPr="00105FFC">
        <w:rPr>
          <w:rFonts w:asciiTheme="minorHAnsi" w:eastAsiaTheme="minorHAnsi" w:hAnsiTheme="minorHAnsi" w:cstheme="minorBidi"/>
        </w:rPr>
        <w:t xml:space="preserve">See </w:t>
      </w:r>
      <w:r w:rsidR="004D14D5" w:rsidRPr="00105FFC">
        <w:rPr>
          <w:rFonts w:asciiTheme="minorHAnsi" w:eastAsiaTheme="minorHAnsi" w:hAnsiTheme="minorHAnsi" w:cstheme="minorBidi"/>
        </w:rPr>
        <w:t>Appendix H</w:t>
      </w:r>
      <w:r w:rsidR="00CE3049" w:rsidRPr="00105FFC">
        <w:rPr>
          <w:rFonts w:asciiTheme="minorHAnsi" w:eastAsiaTheme="minorHAnsi" w:hAnsiTheme="minorHAnsi" w:cstheme="minorBidi"/>
        </w:rPr>
        <w:t xml:space="preserve"> for a com</w:t>
      </w:r>
      <w:r w:rsidR="002A1066" w:rsidRPr="00105FFC">
        <w:rPr>
          <w:rFonts w:asciiTheme="minorHAnsi" w:eastAsiaTheme="minorHAnsi" w:hAnsiTheme="minorHAnsi" w:cstheme="minorBidi"/>
        </w:rPr>
        <w:t xml:space="preserve">plete description of </w:t>
      </w:r>
      <w:r w:rsidR="00CE3049" w:rsidRPr="00105FFC">
        <w:rPr>
          <w:rFonts w:asciiTheme="minorHAnsi" w:eastAsiaTheme="minorHAnsi" w:hAnsiTheme="minorHAnsi" w:cstheme="minorBidi"/>
        </w:rPr>
        <w:t xml:space="preserve">provider specialties. </w:t>
      </w:r>
      <w:r w:rsidRPr="00105FFC">
        <w:rPr>
          <w:rFonts w:asciiTheme="minorHAnsi" w:eastAsiaTheme="minorHAnsi" w:hAnsiTheme="minorHAnsi" w:cstheme="minorBidi"/>
        </w:rPr>
        <w:t xml:space="preserve">Statewide during SFY 2013-14, there were 33,475 Specialist providers that provided services to Medi-Cal beneficiaries, compared to 34,782 during SFY 2014-15. The geographic region with the largest number of participating Specialist providers was Los Angeles, with 10,028 providers during SFY 2013-14 and 10,648 during SFY 2014-15. The geographic regions with the next-largest number of participating Specialist providers were Southern California, with 9,269 participating providers during SFY 2013-14 and 9,830 during SFY 2014-15; and the Bay Area, with 8,553 participating providers during SFY 2013-14 and 8,881 during SFY 2014-15 (Tables </w:t>
      </w:r>
      <w:r w:rsidR="00581549" w:rsidRPr="00105FFC">
        <w:rPr>
          <w:rFonts w:asciiTheme="minorHAnsi" w:eastAsiaTheme="minorHAnsi" w:hAnsiTheme="minorHAnsi" w:cstheme="minorBidi"/>
        </w:rPr>
        <w:t>24-25</w:t>
      </w:r>
      <w:r w:rsidR="00E50DA6" w:rsidRPr="00105FFC">
        <w:rPr>
          <w:rFonts w:asciiTheme="minorHAnsi" w:eastAsiaTheme="minorHAnsi" w:hAnsiTheme="minorHAnsi" w:cstheme="minorBidi"/>
        </w:rPr>
        <w:t>; Figure 3</w:t>
      </w:r>
      <w:r w:rsidR="000468AD" w:rsidRPr="00105FFC">
        <w:rPr>
          <w:rFonts w:asciiTheme="minorHAnsi" w:eastAsiaTheme="minorHAnsi" w:hAnsiTheme="minorHAnsi" w:cstheme="minorBidi"/>
        </w:rPr>
        <w:t>3</w:t>
      </w:r>
      <w:r w:rsidRPr="00105FFC">
        <w:rPr>
          <w:rFonts w:asciiTheme="minorHAnsi" w:eastAsiaTheme="minorHAnsi" w:hAnsiTheme="minorHAnsi" w:cstheme="minorBidi"/>
        </w:rPr>
        <w:t>).</w:t>
      </w:r>
    </w:p>
    <w:p w14:paraId="1E042D90" w14:textId="77777777" w:rsidR="00073BFC" w:rsidRPr="00105FFC" w:rsidRDefault="001641BD" w:rsidP="00073BFC">
      <w:pPr>
        <w:rPr>
          <w:rFonts w:asciiTheme="minorHAnsi" w:eastAsiaTheme="minorHAnsi" w:hAnsiTheme="minorHAnsi" w:cstheme="minorBidi"/>
          <w:bCs/>
          <w:sz w:val="20"/>
          <w:szCs w:val="20"/>
        </w:rPr>
      </w:pPr>
      <w:bookmarkStart w:id="355" w:name="_Toc458783099"/>
      <w:bookmarkStart w:id="356" w:name="_Toc459285169"/>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24</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 xml:space="preserve">: </w:t>
      </w:r>
      <w:r w:rsidR="00073BFC" w:rsidRPr="00105FFC">
        <w:rPr>
          <w:rFonts w:asciiTheme="minorHAnsi" w:eastAsiaTheme="minorHAnsi" w:hAnsiTheme="minorHAnsi" w:cstheme="minorBidi"/>
          <w:bCs/>
          <w:sz w:val="20"/>
          <w:szCs w:val="20"/>
        </w:rPr>
        <w:t>Total Medi-Cal Participating Specialist Providers in SFY 2013-14, by Provider Sub-Group and Geographic Region</w:t>
      </w:r>
      <w:bookmarkEnd w:id="355"/>
      <w:bookmarkEnd w:id="356"/>
    </w:p>
    <w:tbl>
      <w:tblPr>
        <w:tblW w:w="0" w:type="auto"/>
        <w:tblInd w:w="93" w:type="dxa"/>
        <w:tblLook w:val="04A0" w:firstRow="1" w:lastRow="0" w:firstColumn="1" w:lastColumn="0" w:noHBand="0" w:noVBand="1"/>
      </w:tblPr>
      <w:tblGrid>
        <w:gridCol w:w="2005"/>
        <w:gridCol w:w="1473"/>
        <w:gridCol w:w="1541"/>
        <w:gridCol w:w="2107"/>
      </w:tblGrid>
      <w:tr w:rsidR="00073BFC" w:rsidRPr="00105FFC" w14:paraId="4B12E43B" w14:textId="77777777" w:rsidTr="000D6C4B">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2154BE3D" w14:textId="77777777" w:rsidR="00073BFC" w:rsidRPr="00105FFC" w:rsidRDefault="00073BFC" w:rsidP="00073BFC">
            <w:pPr>
              <w:jc w:val="center"/>
              <w:rPr>
                <w:rFonts w:asciiTheme="minorHAnsi" w:hAnsiTheme="minorHAnsi"/>
                <w:b/>
                <w:bCs/>
                <w:color w:val="FFFFFF"/>
                <w:sz w:val="20"/>
                <w:szCs w:val="20"/>
              </w:rPr>
            </w:pPr>
            <w:r w:rsidRPr="00105FFC">
              <w:rPr>
                <w:rFonts w:asciiTheme="minorHAnsi" w:hAnsiTheme="minorHAnsi"/>
                <w:b/>
                <w:bCs/>
                <w:color w:val="FFFFFF"/>
                <w:sz w:val="20"/>
                <w:szCs w:val="20"/>
              </w:rPr>
              <w:t>Specialist Providers</w:t>
            </w:r>
          </w:p>
        </w:tc>
      </w:tr>
      <w:tr w:rsidR="00073BFC" w:rsidRPr="00105FFC" w14:paraId="2387D8C0"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ECA7C82"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29174F3C"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Providers</w:t>
            </w:r>
          </w:p>
        </w:tc>
        <w:tc>
          <w:tcPr>
            <w:tcW w:w="0" w:type="auto"/>
            <w:tcBorders>
              <w:top w:val="nil"/>
              <w:left w:val="nil"/>
              <w:bottom w:val="single" w:sz="4" w:space="0" w:color="auto"/>
              <w:right w:val="single" w:sz="4" w:space="0" w:color="auto"/>
            </w:tcBorders>
            <w:shd w:val="clear" w:color="000000" w:fill="F2F2F2"/>
            <w:noWrap/>
            <w:vAlign w:val="center"/>
            <w:hideMark/>
          </w:tcPr>
          <w:p w14:paraId="7E4779A0"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Physicians</w:t>
            </w:r>
          </w:p>
        </w:tc>
        <w:tc>
          <w:tcPr>
            <w:tcW w:w="0" w:type="auto"/>
            <w:tcBorders>
              <w:top w:val="nil"/>
              <w:left w:val="nil"/>
              <w:bottom w:val="single" w:sz="4" w:space="0" w:color="auto"/>
              <w:right w:val="single" w:sz="4" w:space="0" w:color="auto"/>
            </w:tcBorders>
            <w:shd w:val="clear" w:color="000000" w:fill="F2F2F2"/>
            <w:noWrap/>
            <w:vAlign w:val="center"/>
            <w:hideMark/>
          </w:tcPr>
          <w:p w14:paraId="1711DE3F"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 Groups</w:t>
            </w:r>
          </w:p>
        </w:tc>
      </w:tr>
      <w:tr w:rsidR="00073BFC" w:rsidRPr="00105FFC" w14:paraId="6F96C723"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2D930AA1"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7D0B83E6"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33,475</w:t>
            </w:r>
          </w:p>
        </w:tc>
        <w:tc>
          <w:tcPr>
            <w:tcW w:w="0" w:type="auto"/>
            <w:tcBorders>
              <w:top w:val="nil"/>
              <w:left w:val="nil"/>
              <w:bottom w:val="single" w:sz="4" w:space="0" w:color="auto"/>
              <w:right w:val="single" w:sz="4" w:space="0" w:color="auto"/>
            </w:tcBorders>
            <w:shd w:val="clear" w:color="000000" w:fill="EBF1DE"/>
            <w:noWrap/>
            <w:vAlign w:val="center"/>
            <w:hideMark/>
          </w:tcPr>
          <w:p w14:paraId="3DCFFE59"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30,729</w:t>
            </w:r>
          </w:p>
        </w:tc>
        <w:tc>
          <w:tcPr>
            <w:tcW w:w="0" w:type="auto"/>
            <w:tcBorders>
              <w:top w:val="nil"/>
              <w:left w:val="nil"/>
              <w:bottom w:val="single" w:sz="4" w:space="0" w:color="auto"/>
              <w:right w:val="single" w:sz="4" w:space="0" w:color="auto"/>
            </w:tcBorders>
            <w:shd w:val="clear" w:color="000000" w:fill="EBF1DE"/>
            <w:noWrap/>
            <w:vAlign w:val="center"/>
            <w:hideMark/>
          </w:tcPr>
          <w:p w14:paraId="6F5D7678"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2,746</w:t>
            </w:r>
          </w:p>
        </w:tc>
      </w:tr>
      <w:tr w:rsidR="00073BFC" w:rsidRPr="00105FFC" w14:paraId="6DB45219"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2792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0ACDEB1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8,553</w:t>
            </w:r>
          </w:p>
        </w:tc>
        <w:tc>
          <w:tcPr>
            <w:tcW w:w="0" w:type="auto"/>
            <w:tcBorders>
              <w:top w:val="nil"/>
              <w:left w:val="nil"/>
              <w:bottom w:val="single" w:sz="4" w:space="0" w:color="auto"/>
              <w:right w:val="single" w:sz="4" w:space="0" w:color="auto"/>
            </w:tcBorders>
            <w:shd w:val="clear" w:color="auto" w:fill="auto"/>
            <w:noWrap/>
            <w:vAlign w:val="center"/>
            <w:hideMark/>
          </w:tcPr>
          <w:p w14:paraId="18C08DC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8,122</w:t>
            </w:r>
          </w:p>
        </w:tc>
        <w:tc>
          <w:tcPr>
            <w:tcW w:w="0" w:type="auto"/>
            <w:tcBorders>
              <w:top w:val="nil"/>
              <w:left w:val="nil"/>
              <w:bottom w:val="single" w:sz="4" w:space="0" w:color="auto"/>
              <w:right w:val="single" w:sz="4" w:space="0" w:color="auto"/>
            </w:tcBorders>
            <w:shd w:val="clear" w:color="auto" w:fill="auto"/>
            <w:noWrap/>
            <w:vAlign w:val="center"/>
            <w:hideMark/>
          </w:tcPr>
          <w:p w14:paraId="2E0AC1A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431</w:t>
            </w:r>
          </w:p>
        </w:tc>
      </w:tr>
      <w:tr w:rsidR="00073BFC" w:rsidRPr="00105FFC" w14:paraId="39CE7FEE"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BE83E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5CD6909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1,896</w:t>
            </w:r>
          </w:p>
        </w:tc>
        <w:tc>
          <w:tcPr>
            <w:tcW w:w="0" w:type="auto"/>
            <w:tcBorders>
              <w:top w:val="nil"/>
              <w:left w:val="nil"/>
              <w:bottom w:val="single" w:sz="4" w:space="0" w:color="auto"/>
              <w:right w:val="single" w:sz="4" w:space="0" w:color="auto"/>
            </w:tcBorders>
            <w:shd w:val="clear" w:color="auto" w:fill="auto"/>
            <w:noWrap/>
            <w:vAlign w:val="center"/>
            <w:hideMark/>
          </w:tcPr>
          <w:p w14:paraId="2E7553E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1,710</w:t>
            </w:r>
          </w:p>
        </w:tc>
        <w:tc>
          <w:tcPr>
            <w:tcW w:w="0" w:type="auto"/>
            <w:tcBorders>
              <w:top w:val="nil"/>
              <w:left w:val="nil"/>
              <w:bottom w:val="single" w:sz="4" w:space="0" w:color="auto"/>
              <w:right w:val="single" w:sz="4" w:space="0" w:color="auto"/>
            </w:tcBorders>
            <w:shd w:val="clear" w:color="auto" w:fill="auto"/>
            <w:noWrap/>
            <w:vAlign w:val="center"/>
            <w:hideMark/>
          </w:tcPr>
          <w:p w14:paraId="6621CD5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186</w:t>
            </w:r>
          </w:p>
        </w:tc>
      </w:tr>
      <w:tr w:rsidR="00073BFC" w:rsidRPr="00105FFC" w14:paraId="221918E4"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0EAFB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4876F82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3,964</w:t>
            </w:r>
          </w:p>
        </w:tc>
        <w:tc>
          <w:tcPr>
            <w:tcW w:w="0" w:type="auto"/>
            <w:tcBorders>
              <w:top w:val="nil"/>
              <w:left w:val="nil"/>
              <w:bottom w:val="single" w:sz="4" w:space="0" w:color="auto"/>
              <w:right w:val="single" w:sz="4" w:space="0" w:color="auto"/>
            </w:tcBorders>
            <w:shd w:val="clear" w:color="auto" w:fill="auto"/>
            <w:noWrap/>
            <w:vAlign w:val="center"/>
            <w:hideMark/>
          </w:tcPr>
          <w:p w14:paraId="171B151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3,659</w:t>
            </w:r>
          </w:p>
        </w:tc>
        <w:tc>
          <w:tcPr>
            <w:tcW w:w="0" w:type="auto"/>
            <w:tcBorders>
              <w:top w:val="nil"/>
              <w:left w:val="nil"/>
              <w:bottom w:val="single" w:sz="4" w:space="0" w:color="auto"/>
              <w:right w:val="single" w:sz="4" w:space="0" w:color="auto"/>
            </w:tcBorders>
            <w:shd w:val="clear" w:color="auto" w:fill="auto"/>
            <w:noWrap/>
            <w:vAlign w:val="center"/>
            <w:hideMark/>
          </w:tcPr>
          <w:p w14:paraId="0504BED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305</w:t>
            </w:r>
          </w:p>
        </w:tc>
      </w:tr>
      <w:tr w:rsidR="00073BFC" w:rsidRPr="00105FFC" w14:paraId="21D43286"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DCA8D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2745001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290</w:t>
            </w:r>
          </w:p>
        </w:tc>
        <w:tc>
          <w:tcPr>
            <w:tcW w:w="0" w:type="auto"/>
            <w:tcBorders>
              <w:top w:val="nil"/>
              <w:left w:val="nil"/>
              <w:bottom w:val="single" w:sz="4" w:space="0" w:color="auto"/>
              <w:right w:val="single" w:sz="4" w:space="0" w:color="auto"/>
            </w:tcBorders>
            <w:shd w:val="clear" w:color="auto" w:fill="auto"/>
            <w:noWrap/>
            <w:vAlign w:val="center"/>
            <w:hideMark/>
          </w:tcPr>
          <w:p w14:paraId="1D20511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264</w:t>
            </w:r>
          </w:p>
        </w:tc>
        <w:tc>
          <w:tcPr>
            <w:tcW w:w="0" w:type="auto"/>
            <w:tcBorders>
              <w:top w:val="nil"/>
              <w:left w:val="nil"/>
              <w:bottom w:val="single" w:sz="4" w:space="0" w:color="auto"/>
              <w:right w:val="single" w:sz="4" w:space="0" w:color="auto"/>
            </w:tcBorders>
            <w:shd w:val="clear" w:color="auto" w:fill="auto"/>
            <w:noWrap/>
            <w:vAlign w:val="center"/>
            <w:hideMark/>
          </w:tcPr>
          <w:p w14:paraId="7BD47D3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w:t>
            </w:r>
          </w:p>
        </w:tc>
      </w:tr>
      <w:tr w:rsidR="00073BFC" w:rsidRPr="00105FFC" w14:paraId="224000EE"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A2F14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5A0E3BC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10,028</w:t>
            </w:r>
          </w:p>
        </w:tc>
        <w:tc>
          <w:tcPr>
            <w:tcW w:w="0" w:type="auto"/>
            <w:tcBorders>
              <w:top w:val="nil"/>
              <w:left w:val="nil"/>
              <w:bottom w:val="single" w:sz="4" w:space="0" w:color="auto"/>
              <w:right w:val="single" w:sz="4" w:space="0" w:color="auto"/>
            </w:tcBorders>
            <w:shd w:val="clear" w:color="auto" w:fill="auto"/>
            <w:noWrap/>
            <w:vAlign w:val="center"/>
            <w:hideMark/>
          </w:tcPr>
          <w:p w14:paraId="6F173F9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9,188</w:t>
            </w:r>
          </w:p>
        </w:tc>
        <w:tc>
          <w:tcPr>
            <w:tcW w:w="0" w:type="auto"/>
            <w:tcBorders>
              <w:top w:val="nil"/>
              <w:left w:val="nil"/>
              <w:bottom w:val="single" w:sz="4" w:space="0" w:color="auto"/>
              <w:right w:val="single" w:sz="4" w:space="0" w:color="auto"/>
            </w:tcBorders>
            <w:shd w:val="clear" w:color="auto" w:fill="auto"/>
            <w:noWrap/>
            <w:vAlign w:val="center"/>
            <w:hideMark/>
          </w:tcPr>
          <w:p w14:paraId="69EF73F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840</w:t>
            </w:r>
          </w:p>
        </w:tc>
      </w:tr>
      <w:tr w:rsidR="00073BFC" w:rsidRPr="00105FFC" w14:paraId="50E0BC80"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70612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4E4C2C4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404</w:t>
            </w:r>
          </w:p>
        </w:tc>
        <w:tc>
          <w:tcPr>
            <w:tcW w:w="0" w:type="auto"/>
            <w:tcBorders>
              <w:top w:val="nil"/>
              <w:left w:val="nil"/>
              <w:bottom w:val="single" w:sz="4" w:space="0" w:color="auto"/>
              <w:right w:val="single" w:sz="4" w:space="0" w:color="auto"/>
            </w:tcBorders>
            <w:shd w:val="clear" w:color="auto" w:fill="auto"/>
            <w:noWrap/>
            <w:vAlign w:val="center"/>
            <w:hideMark/>
          </w:tcPr>
          <w:p w14:paraId="5B4C479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371</w:t>
            </w:r>
          </w:p>
        </w:tc>
        <w:tc>
          <w:tcPr>
            <w:tcW w:w="0" w:type="auto"/>
            <w:tcBorders>
              <w:top w:val="nil"/>
              <w:left w:val="nil"/>
              <w:bottom w:val="single" w:sz="4" w:space="0" w:color="auto"/>
              <w:right w:val="single" w:sz="4" w:space="0" w:color="auto"/>
            </w:tcBorders>
            <w:shd w:val="clear" w:color="auto" w:fill="auto"/>
            <w:noWrap/>
            <w:vAlign w:val="center"/>
            <w:hideMark/>
          </w:tcPr>
          <w:p w14:paraId="18640A0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33</w:t>
            </w:r>
          </w:p>
        </w:tc>
      </w:tr>
      <w:tr w:rsidR="00073BFC" w:rsidRPr="00105FFC" w14:paraId="6BFE0B4E"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AC692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694B7B5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2,931</w:t>
            </w:r>
          </w:p>
        </w:tc>
        <w:tc>
          <w:tcPr>
            <w:tcW w:w="0" w:type="auto"/>
            <w:tcBorders>
              <w:top w:val="nil"/>
              <w:left w:val="nil"/>
              <w:bottom w:val="single" w:sz="4" w:space="0" w:color="auto"/>
              <w:right w:val="single" w:sz="4" w:space="0" w:color="auto"/>
            </w:tcBorders>
            <w:shd w:val="clear" w:color="auto" w:fill="auto"/>
            <w:noWrap/>
            <w:vAlign w:val="center"/>
            <w:hideMark/>
          </w:tcPr>
          <w:p w14:paraId="0FC6FDC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2,746</w:t>
            </w:r>
          </w:p>
        </w:tc>
        <w:tc>
          <w:tcPr>
            <w:tcW w:w="0" w:type="auto"/>
            <w:tcBorders>
              <w:top w:val="nil"/>
              <w:left w:val="nil"/>
              <w:bottom w:val="single" w:sz="4" w:space="0" w:color="auto"/>
              <w:right w:val="single" w:sz="4" w:space="0" w:color="auto"/>
            </w:tcBorders>
            <w:shd w:val="clear" w:color="auto" w:fill="auto"/>
            <w:noWrap/>
            <w:vAlign w:val="center"/>
            <w:hideMark/>
          </w:tcPr>
          <w:p w14:paraId="6002F1A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185</w:t>
            </w:r>
          </w:p>
        </w:tc>
      </w:tr>
      <w:tr w:rsidR="00073BFC" w:rsidRPr="00105FFC" w14:paraId="7D043764"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04958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26E99FA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1,561</w:t>
            </w:r>
          </w:p>
        </w:tc>
        <w:tc>
          <w:tcPr>
            <w:tcW w:w="0" w:type="auto"/>
            <w:tcBorders>
              <w:top w:val="nil"/>
              <w:left w:val="nil"/>
              <w:bottom w:val="single" w:sz="4" w:space="0" w:color="auto"/>
              <w:right w:val="single" w:sz="4" w:space="0" w:color="auto"/>
            </w:tcBorders>
            <w:shd w:val="clear" w:color="auto" w:fill="auto"/>
            <w:noWrap/>
            <w:vAlign w:val="center"/>
            <w:hideMark/>
          </w:tcPr>
          <w:p w14:paraId="6B9FBA2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1,492</w:t>
            </w:r>
          </w:p>
        </w:tc>
        <w:tc>
          <w:tcPr>
            <w:tcW w:w="0" w:type="auto"/>
            <w:tcBorders>
              <w:top w:val="nil"/>
              <w:left w:val="nil"/>
              <w:bottom w:val="single" w:sz="4" w:space="0" w:color="auto"/>
              <w:right w:val="single" w:sz="4" w:space="0" w:color="auto"/>
            </w:tcBorders>
            <w:shd w:val="clear" w:color="auto" w:fill="auto"/>
            <w:noWrap/>
            <w:vAlign w:val="center"/>
            <w:hideMark/>
          </w:tcPr>
          <w:p w14:paraId="69B5C2E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69</w:t>
            </w:r>
          </w:p>
        </w:tc>
      </w:tr>
      <w:tr w:rsidR="00073BFC" w:rsidRPr="00105FFC" w14:paraId="6E881512"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CDFF1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6AC0410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9,269</w:t>
            </w:r>
          </w:p>
        </w:tc>
        <w:tc>
          <w:tcPr>
            <w:tcW w:w="0" w:type="auto"/>
            <w:tcBorders>
              <w:top w:val="nil"/>
              <w:left w:val="nil"/>
              <w:bottom w:val="single" w:sz="4" w:space="0" w:color="auto"/>
              <w:right w:val="single" w:sz="4" w:space="0" w:color="auto"/>
            </w:tcBorders>
            <w:shd w:val="clear" w:color="auto" w:fill="auto"/>
            <w:noWrap/>
            <w:vAlign w:val="center"/>
            <w:hideMark/>
          </w:tcPr>
          <w:p w14:paraId="6C8B159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8,514</w:t>
            </w:r>
          </w:p>
        </w:tc>
        <w:tc>
          <w:tcPr>
            <w:tcW w:w="0" w:type="auto"/>
            <w:tcBorders>
              <w:top w:val="nil"/>
              <w:left w:val="nil"/>
              <w:bottom w:val="single" w:sz="4" w:space="0" w:color="auto"/>
              <w:right w:val="single" w:sz="4" w:space="0" w:color="auto"/>
            </w:tcBorders>
            <w:shd w:val="clear" w:color="auto" w:fill="auto"/>
            <w:noWrap/>
            <w:vAlign w:val="center"/>
            <w:hideMark/>
          </w:tcPr>
          <w:p w14:paraId="2EC8F5B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755</w:t>
            </w:r>
          </w:p>
        </w:tc>
      </w:tr>
    </w:tbl>
    <w:p w14:paraId="759D4354" w14:textId="77777777" w:rsidR="00073BFC" w:rsidRPr="00105FFC" w:rsidRDefault="00073BFC" w:rsidP="00073BFC">
      <w:pPr>
        <w:spacing w:after="120" w:line="276" w:lineRule="auto"/>
        <w:rPr>
          <w:rFonts w:asciiTheme="minorHAnsi" w:eastAsiaTheme="minorHAnsi" w:hAnsiTheme="minorHAnsi" w:cs="Arial"/>
          <w:sz w:val="22"/>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2D2CEE05" w14:textId="77777777" w:rsidR="00073BFC" w:rsidRPr="00105FFC" w:rsidRDefault="001641BD" w:rsidP="00073BFC">
      <w:pPr>
        <w:rPr>
          <w:rFonts w:asciiTheme="minorHAnsi" w:eastAsiaTheme="minorHAnsi" w:hAnsiTheme="minorHAnsi" w:cstheme="minorBidi"/>
          <w:bCs/>
          <w:sz w:val="20"/>
          <w:szCs w:val="20"/>
        </w:rPr>
      </w:pPr>
      <w:bookmarkStart w:id="357" w:name="_Toc458783100"/>
      <w:bookmarkStart w:id="358" w:name="_Toc459285170"/>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25</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
          <w:bCs/>
          <w:sz w:val="18"/>
          <w:szCs w:val="18"/>
        </w:rPr>
        <w:t xml:space="preserve"> </w:t>
      </w:r>
      <w:r w:rsidR="00073BFC" w:rsidRPr="00105FFC">
        <w:rPr>
          <w:rFonts w:asciiTheme="minorHAnsi" w:eastAsiaTheme="minorHAnsi" w:hAnsiTheme="minorHAnsi" w:cstheme="minorBidi"/>
          <w:bCs/>
          <w:sz w:val="20"/>
          <w:szCs w:val="20"/>
        </w:rPr>
        <w:t>Total Medi-Cal Participating Specialist Providers in SFY 2014-15, by Provider Sub-Group and Geographic Region</w:t>
      </w:r>
      <w:bookmarkEnd w:id="357"/>
      <w:bookmarkEnd w:id="358"/>
    </w:p>
    <w:tbl>
      <w:tblPr>
        <w:tblW w:w="0" w:type="auto"/>
        <w:tblInd w:w="93" w:type="dxa"/>
        <w:tblLook w:val="04A0" w:firstRow="1" w:lastRow="0" w:firstColumn="1" w:lastColumn="0" w:noHBand="0" w:noVBand="1"/>
      </w:tblPr>
      <w:tblGrid>
        <w:gridCol w:w="2005"/>
        <w:gridCol w:w="1473"/>
        <w:gridCol w:w="1541"/>
        <w:gridCol w:w="2107"/>
      </w:tblGrid>
      <w:tr w:rsidR="00073BFC" w:rsidRPr="00105FFC" w14:paraId="270091C7" w14:textId="77777777" w:rsidTr="000D6C4B">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2FB3FD13" w14:textId="77777777" w:rsidR="00073BFC" w:rsidRPr="00105FFC" w:rsidRDefault="00073BFC" w:rsidP="00073BFC">
            <w:pPr>
              <w:jc w:val="center"/>
              <w:rPr>
                <w:rFonts w:asciiTheme="minorHAnsi" w:hAnsiTheme="minorHAnsi"/>
                <w:b/>
                <w:bCs/>
                <w:color w:val="FFFFFF"/>
                <w:sz w:val="20"/>
                <w:szCs w:val="20"/>
              </w:rPr>
            </w:pPr>
            <w:r w:rsidRPr="00105FFC">
              <w:rPr>
                <w:rFonts w:asciiTheme="minorHAnsi" w:hAnsiTheme="minorHAnsi"/>
                <w:b/>
                <w:bCs/>
                <w:color w:val="FFFFFF"/>
                <w:sz w:val="20"/>
                <w:szCs w:val="20"/>
              </w:rPr>
              <w:t>Specialist Providers</w:t>
            </w:r>
          </w:p>
        </w:tc>
      </w:tr>
      <w:tr w:rsidR="00073BFC" w:rsidRPr="00105FFC" w14:paraId="674EE958"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BE54AE5"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06771799"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Providers</w:t>
            </w:r>
          </w:p>
        </w:tc>
        <w:tc>
          <w:tcPr>
            <w:tcW w:w="0" w:type="auto"/>
            <w:tcBorders>
              <w:top w:val="nil"/>
              <w:left w:val="nil"/>
              <w:bottom w:val="single" w:sz="4" w:space="0" w:color="auto"/>
              <w:right w:val="single" w:sz="4" w:space="0" w:color="auto"/>
            </w:tcBorders>
            <w:shd w:val="clear" w:color="000000" w:fill="F2F2F2"/>
            <w:noWrap/>
            <w:vAlign w:val="center"/>
            <w:hideMark/>
          </w:tcPr>
          <w:p w14:paraId="21D10B58"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Physicians</w:t>
            </w:r>
          </w:p>
        </w:tc>
        <w:tc>
          <w:tcPr>
            <w:tcW w:w="0" w:type="auto"/>
            <w:tcBorders>
              <w:top w:val="nil"/>
              <w:left w:val="nil"/>
              <w:bottom w:val="single" w:sz="4" w:space="0" w:color="auto"/>
              <w:right w:val="single" w:sz="4" w:space="0" w:color="auto"/>
            </w:tcBorders>
            <w:shd w:val="clear" w:color="000000" w:fill="F2F2F2"/>
            <w:noWrap/>
            <w:vAlign w:val="center"/>
            <w:hideMark/>
          </w:tcPr>
          <w:p w14:paraId="6BAD02BC"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 Groups</w:t>
            </w:r>
          </w:p>
        </w:tc>
      </w:tr>
      <w:tr w:rsidR="00073BFC" w:rsidRPr="00105FFC" w14:paraId="637C1F51"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595AC955"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0AEA9F18"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34,782</w:t>
            </w:r>
          </w:p>
        </w:tc>
        <w:tc>
          <w:tcPr>
            <w:tcW w:w="0" w:type="auto"/>
            <w:tcBorders>
              <w:top w:val="nil"/>
              <w:left w:val="nil"/>
              <w:bottom w:val="single" w:sz="4" w:space="0" w:color="auto"/>
              <w:right w:val="single" w:sz="4" w:space="0" w:color="auto"/>
            </w:tcBorders>
            <w:shd w:val="clear" w:color="000000" w:fill="EBF1DE"/>
            <w:noWrap/>
            <w:vAlign w:val="center"/>
            <w:hideMark/>
          </w:tcPr>
          <w:p w14:paraId="65E60DB2"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32,107</w:t>
            </w:r>
          </w:p>
        </w:tc>
        <w:tc>
          <w:tcPr>
            <w:tcW w:w="0" w:type="auto"/>
            <w:tcBorders>
              <w:top w:val="nil"/>
              <w:left w:val="nil"/>
              <w:bottom w:val="single" w:sz="4" w:space="0" w:color="auto"/>
              <w:right w:val="single" w:sz="4" w:space="0" w:color="auto"/>
            </w:tcBorders>
            <w:shd w:val="clear" w:color="000000" w:fill="EBF1DE"/>
            <w:noWrap/>
            <w:vAlign w:val="center"/>
            <w:hideMark/>
          </w:tcPr>
          <w:p w14:paraId="45A8456C"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2,675</w:t>
            </w:r>
          </w:p>
        </w:tc>
      </w:tr>
      <w:tr w:rsidR="00073BFC" w:rsidRPr="00105FFC" w14:paraId="7246580B"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CA538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0BF3012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8,881</w:t>
            </w:r>
          </w:p>
        </w:tc>
        <w:tc>
          <w:tcPr>
            <w:tcW w:w="0" w:type="auto"/>
            <w:tcBorders>
              <w:top w:val="nil"/>
              <w:left w:val="nil"/>
              <w:bottom w:val="single" w:sz="4" w:space="0" w:color="auto"/>
              <w:right w:val="single" w:sz="4" w:space="0" w:color="auto"/>
            </w:tcBorders>
            <w:shd w:val="clear" w:color="auto" w:fill="auto"/>
            <w:noWrap/>
            <w:vAlign w:val="center"/>
            <w:hideMark/>
          </w:tcPr>
          <w:p w14:paraId="047F842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8,458</w:t>
            </w:r>
          </w:p>
        </w:tc>
        <w:tc>
          <w:tcPr>
            <w:tcW w:w="0" w:type="auto"/>
            <w:tcBorders>
              <w:top w:val="nil"/>
              <w:left w:val="nil"/>
              <w:bottom w:val="single" w:sz="4" w:space="0" w:color="auto"/>
              <w:right w:val="single" w:sz="4" w:space="0" w:color="auto"/>
            </w:tcBorders>
            <w:shd w:val="clear" w:color="auto" w:fill="auto"/>
            <w:noWrap/>
            <w:vAlign w:val="center"/>
            <w:hideMark/>
          </w:tcPr>
          <w:p w14:paraId="2AFE210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423</w:t>
            </w:r>
          </w:p>
        </w:tc>
      </w:tr>
      <w:tr w:rsidR="00073BFC" w:rsidRPr="00105FFC" w14:paraId="42E8AC43"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AC8EE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69F376A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1,896</w:t>
            </w:r>
          </w:p>
        </w:tc>
        <w:tc>
          <w:tcPr>
            <w:tcW w:w="0" w:type="auto"/>
            <w:tcBorders>
              <w:top w:val="nil"/>
              <w:left w:val="nil"/>
              <w:bottom w:val="single" w:sz="4" w:space="0" w:color="auto"/>
              <w:right w:val="single" w:sz="4" w:space="0" w:color="auto"/>
            </w:tcBorders>
            <w:shd w:val="clear" w:color="auto" w:fill="auto"/>
            <w:noWrap/>
            <w:vAlign w:val="center"/>
            <w:hideMark/>
          </w:tcPr>
          <w:p w14:paraId="3C1BE81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1,708</w:t>
            </w:r>
          </w:p>
        </w:tc>
        <w:tc>
          <w:tcPr>
            <w:tcW w:w="0" w:type="auto"/>
            <w:tcBorders>
              <w:top w:val="nil"/>
              <w:left w:val="nil"/>
              <w:bottom w:val="single" w:sz="4" w:space="0" w:color="auto"/>
              <w:right w:val="single" w:sz="4" w:space="0" w:color="auto"/>
            </w:tcBorders>
            <w:shd w:val="clear" w:color="auto" w:fill="auto"/>
            <w:noWrap/>
            <w:vAlign w:val="center"/>
            <w:hideMark/>
          </w:tcPr>
          <w:p w14:paraId="15A3AB2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188</w:t>
            </w:r>
          </w:p>
        </w:tc>
      </w:tr>
      <w:tr w:rsidR="00073BFC" w:rsidRPr="00105FFC" w14:paraId="028C840C"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564A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7C940E9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4,139</w:t>
            </w:r>
          </w:p>
        </w:tc>
        <w:tc>
          <w:tcPr>
            <w:tcW w:w="0" w:type="auto"/>
            <w:tcBorders>
              <w:top w:val="nil"/>
              <w:left w:val="nil"/>
              <w:bottom w:val="single" w:sz="4" w:space="0" w:color="auto"/>
              <w:right w:val="single" w:sz="4" w:space="0" w:color="auto"/>
            </w:tcBorders>
            <w:shd w:val="clear" w:color="auto" w:fill="auto"/>
            <w:noWrap/>
            <w:vAlign w:val="center"/>
            <w:hideMark/>
          </w:tcPr>
          <w:p w14:paraId="5701D89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3,828</w:t>
            </w:r>
          </w:p>
        </w:tc>
        <w:tc>
          <w:tcPr>
            <w:tcW w:w="0" w:type="auto"/>
            <w:tcBorders>
              <w:top w:val="nil"/>
              <w:left w:val="nil"/>
              <w:bottom w:val="single" w:sz="4" w:space="0" w:color="auto"/>
              <w:right w:val="single" w:sz="4" w:space="0" w:color="auto"/>
            </w:tcBorders>
            <w:shd w:val="clear" w:color="auto" w:fill="auto"/>
            <w:noWrap/>
            <w:vAlign w:val="center"/>
            <w:hideMark/>
          </w:tcPr>
          <w:p w14:paraId="7CDE987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311</w:t>
            </w:r>
          </w:p>
        </w:tc>
      </w:tr>
      <w:tr w:rsidR="00073BFC" w:rsidRPr="00105FFC" w14:paraId="5F5E4CD5"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B2806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51F594B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265</w:t>
            </w:r>
          </w:p>
        </w:tc>
        <w:tc>
          <w:tcPr>
            <w:tcW w:w="0" w:type="auto"/>
            <w:tcBorders>
              <w:top w:val="nil"/>
              <w:left w:val="nil"/>
              <w:bottom w:val="single" w:sz="4" w:space="0" w:color="auto"/>
              <w:right w:val="single" w:sz="4" w:space="0" w:color="auto"/>
            </w:tcBorders>
            <w:shd w:val="clear" w:color="auto" w:fill="auto"/>
            <w:noWrap/>
            <w:vAlign w:val="center"/>
            <w:hideMark/>
          </w:tcPr>
          <w:p w14:paraId="5556128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238</w:t>
            </w:r>
          </w:p>
        </w:tc>
        <w:tc>
          <w:tcPr>
            <w:tcW w:w="0" w:type="auto"/>
            <w:tcBorders>
              <w:top w:val="nil"/>
              <w:left w:val="nil"/>
              <w:bottom w:val="single" w:sz="4" w:space="0" w:color="auto"/>
              <w:right w:val="single" w:sz="4" w:space="0" w:color="auto"/>
            </w:tcBorders>
            <w:shd w:val="clear" w:color="auto" w:fill="auto"/>
            <w:noWrap/>
            <w:vAlign w:val="center"/>
            <w:hideMark/>
          </w:tcPr>
          <w:p w14:paraId="6211C92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27</w:t>
            </w:r>
          </w:p>
        </w:tc>
      </w:tr>
      <w:tr w:rsidR="00073BFC" w:rsidRPr="00105FFC" w14:paraId="5DC4836E"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B670A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550C986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10,648</w:t>
            </w:r>
          </w:p>
        </w:tc>
        <w:tc>
          <w:tcPr>
            <w:tcW w:w="0" w:type="auto"/>
            <w:tcBorders>
              <w:top w:val="nil"/>
              <w:left w:val="nil"/>
              <w:bottom w:val="single" w:sz="4" w:space="0" w:color="auto"/>
              <w:right w:val="single" w:sz="4" w:space="0" w:color="auto"/>
            </w:tcBorders>
            <w:shd w:val="clear" w:color="auto" w:fill="auto"/>
            <w:noWrap/>
            <w:vAlign w:val="center"/>
            <w:hideMark/>
          </w:tcPr>
          <w:p w14:paraId="5F3E6F5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9,825</w:t>
            </w:r>
          </w:p>
        </w:tc>
        <w:tc>
          <w:tcPr>
            <w:tcW w:w="0" w:type="auto"/>
            <w:tcBorders>
              <w:top w:val="nil"/>
              <w:left w:val="nil"/>
              <w:bottom w:val="single" w:sz="4" w:space="0" w:color="auto"/>
              <w:right w:val="single" w:sz="4" w:space="0" w:color="auto"/>
            </w:tcBorders>
            <w:shd w:val="clear" w:color="auto" w:fill="auto"/>
            <w:noWrap/>
            <w:vAlign w:val="center"/>
            <w:hideMark/>
          </w:tcPr>
          <w:p w14:paraId="79416B7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823</w:t>
            </w:r>
          </w:p>
        </w:tc>
      </w:tr>
      <w:tr w:rsidR="00073BFC" w:rsidRPr="00105FFC" w14:paraId="04CC6E54"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F2ECA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406D866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323</w:t>
            </w:r>
          </w:p>
        </w:tc>
        <w:tc>
          <w:tcPr>
            <w:tcW w:w="0" w:type="auto"/>
            <w:tcBorders>
              <w:top w:val="nil"/>
              <w:left w:val="nil"/>
              <w:bottom w:val="single" w:sz="4" w:space="0" w:color="auto"/>
              <w:right w:val="single" w:sz="4" w:space="0" w:color="auto"/>
            </w:tcBorders>
            <w:shd w:val="clear" w:color="auto" w:fill="auto"/>
            <w:noWrap/>
            <w:vAlign w:val="center"/>
            <w:hideMark/>
          </w:tcPr>
          <w:p w14:paraId="44C9FF0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298</w:t>
            </w:r>
          </w:p>
        </w:tc>
        <w:tc>
          <w:tcPr>
            <w:tcW w:w="0" w:type="auto"/>
            <w:tcBorders>
              <w:top w:val="nil"/>
              <w:left w:val="nil"/>
              <w:bottom w:val="single" w:sz="4" w:space="0" w:color="auto"/>
              <w:right w:val="single" w:sz="4" w:space="0" w:color="auto"/>
            </w:tcBorders>
            <w:shd w:val="clear" w:color="auto" w:fill="auto"/>
            <w:noWrap/>
            <w:vAlign w:val="center"/>
            <w:hideMark/>
          </w:tcPr>
          <w:p w14:paraId="144A633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25</w:t>
            </w:r>
          </w:p>
        </w:tc>
      </w:tr>
      <w:tr w:rsidR="00073BFC" w:rsidRPr="00105FFC" w14:paraId="0332D391"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B134F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764A37F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2,932</w:t>
            </w:r>
          </w:p>
        </w:tc>
        <w:tc>
          <w:tcPr>
            <w:tcW w:w="0" w:type="auto"/>
            <w:tcBorders>
              <w:top w:val="nil"/>
              <w:left w:val="nil"/>
              <w:bottom w:val="single" w:sz="4" w:space="0" w:color="auto"/>
              <w:right w:val="single" w:sz="4" w:space="0" w:color="auto"/>
            </w:tcBorders>
            <w:shd w:val="clear" w:color="auto" w:fill="auto"/>
            <w:noWrap/>
            <w:vAlign w:val="center"/>
            <w:hideMark/>
          </w:tcPr>
          <w:p w14:paraId="1851836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2,766</w:t>
            </w:r>
          </w:p>
        </w:tc>
        <w:tc>
          <w:tcPr>
            <w:tcW w:w="0" w:type="auto"/>
            <w:tcBorders>
              <w:top w:val="nil"/>
              <w:left w:val="nil"/>
              <w:bottom w:val="single" w:sz="4" w:space="0" w:color="auto"/>
              <w:right w:val="single" w:sz="4" w:space="0" w:color="auto"/>
            </w:tcBorders>
            <w:shd w:val="clear" w:color="auto" w:fill="auto"/>
            <w:noWrap/>
            <w:vAlign w:val="center"/>
            <w:hideMark/>
          </w:tcPr>
          <w:p w14:paraId="0A29DDE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166</w:t>
            </w:r>
          </w:p>
        </w:tc>
      </w:tr>
      <w:tr w:rsidR="00073BFC" w:rsidRPr="00105FFC" w14:paraId="1977768F"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EB23B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0AC4F1C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1,437</w:t>
            </w:r>
          </w:p>
        </w:tc>
        <w:tc>
          <w:tcPr>
            <w:tcW w:w="0" w:type="auto"/>
            <w:tcBorders>
              <w:top w:val="nil"/>
              <w:left w:val="nil"/>
              <w:bottom w:val="single" w:sz="4" w:space="0" w:color="auto"/>
              <w:right w:val="single" w:sz="4" w:space="0" w:color="auto"/>
            </w:tcBorders>
            <w:shd w:val="clear" w:color="auto" w:fill="auto"/>
            <w:noWrap/>
            <w:vAlign w:val="center"/>
            <w:hideMark/>
          </w:tcPr>
          <w:p w14:paraId="407B494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1,381</w:t>
            </w:r>
          </w:p>
        </w:tc>
        <w:tc>
          <w:tcPr>
            <w:tcW w:w="0" w:type="auto"/>
            <w:tcBorders>
              <w:top w:val="nil"/>
              <w:left w:val="nil"/>
              <w:bottom w:val="single" w:sz="4" w:space="0" w:color="auto"/>
              <w:right w:val="single" w:sz="4" w:space="0" w:color="auto"/>
            </w:tcBorders>
            <w:shd w:val="clear" w:color="auto" w:fill="auto"/>
            <w:noWrap/>
            <w:vAlign w:val="center"/>
            <w:hideMark/>
          </w:tcPr>
          <w:p w14:paraId="54B75CF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56</w:t>
            </w:r>
          </w:p>
        </w:tc>
      </w:tr>
      <w:tr w:rsidR="00073BFC" w:rsidRPr="00105FFC" w14:paraId="6DC12457"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0C103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44D6AD4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9,830</w:t>
            </w:r>
          </w:p>
        </w:tc>
        <w:tc>
          <w:tcPr>
            <w:tcW w:w="0" w:type="auto"/>
            <w:tcBorders>
              <w:top w:val="nil"/>
              <w:left w:val="nil"/>
              <w:bottom w:val="single" w:sz="4" w:space="0" w:color="auto"/>
              <w:right w:val="single" w:sz="4" w:space="0" w:color="auto"/>
            </w:tcBorders>
            <w:shd w:val="clear" w:color="auto" w:fill="auto"/>
            <w:noWrap/>
            <w:vAlign w:val="center"/>
            <w:hideMark/>
          </w:tcPr>
          <w:p w14:paraId="7AC339F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9,096</w:t>
            </w:r>
          </w:p>
        </w:tc>
        <w:tc>
          <w:tcPr>
            <w:tcW w:w="0" w:type="auto"/>
            <w:tcBorders>
              <w:top w:val="nil"/>
              <w:left w:val="nil"/>
              <w:bottom w:val="single" w:sz="4" w:space="0" w:color="auto"/>
              <w:right w:val="single" w:sz="4" w:space="0" w:color="auto"/>
            </w:tcBorders>
            <w:shd w:val="clear" w:color="auto" w:fill="auto"/>
            <w:noWrap/>
            <w:vAlign w:val="center"/>
            <w:hideMark/>
          </w:tcPr>
          <w:p w14:paraId="2E938E2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734</w:t>
            </w:r>
          </w:p>
        </w:tc>
      </w:tr>
    </w:tbl>
    <w:p w14:paraId="259C03F6"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6D50ACA3"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sz w:val="16"/>
          <w:szCs w:val="16"/>
        </w:rPr>
        <w:br w:type="page"/>
      </w:r>
    </w:p>
    <w:p w14:paraId="4AFBD2DD" w14:textId="77777777" w:rsidR="00073BFC" w:rsidRPr="00105FFC" w:rsidRDefault="001641BD" w:rsidP="00073BFC">
      <w:pPr>
        <w:rPr>
          <w:rFonts w:asciiTheme="minorHAnsi" w:eastAsiaTheme="minorHAnsi" w:hAnsiTheme="minorHAnsi" w:cstheme="minorBidi"/>
          <w:b/>
          <w:bCs/>
          <w:sz w:val="20"/>
          <w:szCs w:val="20"/>
        </w:rPr>
      </w:pPr>
      <w:bookmarkStart w:id="359" w:name="_Toc458782971"/>
      <w:bookmarkStart w:id="360" w:name="_Toc459285082"/>
      <w:bookmarkStart w:id="361" w:name="_Toc459285273"/>
      <w:bookmarkStart w:id="362" w:name="_Toc459286714"/>
      <w:r w:rsidRPr="00105FFC">
        <w:rPr>
          <w:rFonts w:asciiTheme="minorHAnsi" w:eastAsiaTheme="minorHAnsi" w:hAnsiTheme="minorHAnsi" w:cstheme="minorBidi"/>
          <w:b/>
          <w:bCs/>
          <w:sz w:val="20"/>
          <w:szCs w:val="20"/>
        </w:rPr>
        <w:t xml:space="preserve">Figure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Figure \* ARABIC </w:instrText>
      </w:r>
      <w:r w:rsidR="00073BFC" w:rsidRPr="00105FFC">
        <w:rPr>
          <w:rFonts w:asciiTheme="minorHAnsi" w:eastAsiaTheme="minorHAnsi" w:hAnsiTheme="minorHAnsi" w:cstheme="minorBidi"/>
          <w:b/>
          <w:bCs/>
          <w:sz w:val="20"/>
          <w:szCs w:val="20"/>
        </w:rPr>
        <w:fldChar w:fldCharType="separate"/>
      </w:r>
      <w:r w:rsidR="000E1B8E">
        <w:rPr>
          <w:rFonts w:asciiTheme="minorHAnsi" w:eastAsiaTheme="minorHAnsi" w:hAnsiTheme="minorHAnsi" w:cstheme="minorBidi"/>
          <w:b/>
          <w:bCs/>
          <w:noProof/>
          <w:sz w:val="20"/>
          <w:szCs w:val="20"/>
        </w:rPr>
        <w:t>33</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
          <w:bCs/>
          <w:sz w:val="18"/>
          <w:szCs w:val="18"/>
        </w:rPr>
        <w:t xml:space="preserve"> </w:t>
      </w:r>
      <w:r w:rsidR="00073BFC" w:rsidRPr="00105FFC">
        <w:rPr>
          <w:rFonts w:asciiTheme="minorHAnsi" w:eastAsiaTheme="minorHAnsi" w:hAnsiTheme="minorHAnsi" w:cstheme="minorBidi"/>
          <w:bCs/>
          <w:sz w:val="20"/>
          <w:szCs w:val="20"/>
        </w:rPr>
        <w:t>Total Medi-Cal Participating Specialist Providers from SFY 2013-14 to 2014-15, by Geographic Region</w:t>
      </w:r>
      <w:bookmarkEnd w:id="359"/>
      <w:bookmarkEnd w:id="360"/>
      <w:bookmarkEnd w:id="361"/>
      <w:bookmarkEnd w:id="362"/>
    </w:p>
    <w:p w14:paraId="39D5469F" w14:textId="77777777" w:rsidR="00073BFC" w:rsidRPr="00105FFC" w:rsidRDefault="00073BFC" w:rsidP="00073BFC">
      <w:pPr>
        <w:spacing w:line="276" w:lineRule="auto"/>
        <w:rPr>
          <w:rFonts w:asciiTheme="minorHAnsi" w:eastAsiaTheme="minorHAnsi" w:hAnsiTheme="minorHAnsi" w:cstheme="minorBidi"/>
          <w:sz w:val="22"/>
          <w:szCs w:val="22"/>
        </w:rPr>
      </w:pPr>
      <w:r w:rsidRPr="00105FFC">
        <w:rPr>
          <w:rFonts w:asciiTheme="minorHAnsi" w:eastAsiaTheme="minorHAnsi" w:hAnsiTheme="minorHAnsi" w:cstheme="minorBidi"/>
          <w:noProof/>
          <w:sz w:val="22"/>
          <w:szCs w:val="22"/>
        </w:rPr>
        <w:drawing>
          <wp:inline distT="0" distB="0" distL="0" distR="0" wp14:anchorId="71E1F9F3" wp14:editId="053EC9E7">
            <wp:extent cx="5943600" cy="2743200"/>
            <wp:effectExtent l="0" t="0" r="0" b="0"/>
            <wp:docPr id="46" name="Chart 46" descr="STATEWIDE: 2013-14 33,475; 2014-15 34,782 &#10;&#10;Bay Area: 2013-14   8,553; 2014-15   8,881 &#10;&#10;Central Coast: 2013-14   1,896; 2014-15   1,896 &#10;&#10;Central Valley: 2013-14   3,964; 2014-15   4,139 &#10;&#10;Far North: 2013-14 290; 2014-15 265 &#10;&#10;Los Angeles: 2013-14 10,028; 2014-15 10,648 &#10;&#10;North Coast: 2013-14 404; 2014-15 323 &#10;&#10;Sacramento Valley: 2013-14   2,931; 2014-15   2,932 &#10;&#10;Sierra Range/Foothills: 2013-14   1,561; 2014-15   1,437 &#10;&#10;Southern California: 2013-14   9,269; 2014-15   9,830 &#10;" title="Total Medi-Cal Participating Specialist Providers from SFY 2013-14 to 2014-15, by Geographic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6030F8A"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7E77E96F" w14:textId="77777777" w:rsidR="00164521" w:rsidRPr="00105FFC" w:rsidRDefault="00164521" w:rsidP="00073BFC">
      <w:pPr>
        <w:spacing w:line="276" w:lineRule="auto"/>
        <w:rPr>
          <w:rFonts w:asciiTheme="minorHAnsi" w:eastAsiaTheme="minorHAnsi" w:hAnsiTheme="minorHAnsi" w:cs="Tahoma"/>
          <w:color w:val="000000" w:themeColor="text1"/>
          <w:sz w:val="16"/>
          <w:szCs w:val="16"/>
          <w:u w:val="single"/>
        </w:rPr>
      </w:pPr>
    </w:p>
    <w:p w14:paraId="59435264" w14:textId="77777777" w:rsidR="00164521" w:rsidRPr="00105FFC" w:rsidRDefault="00164521" w:rsidP="002960F7">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Statewide, during both SFY 2013-14 and SFY 2014-15, Specialist providers that provided services to Medi-Cal beneficiaries were concentrated in the Hospital Inpatient (24,070 during SFY 2013-14 and 24,801 during SFY 2014-15), Hospital Outpatient (22,423 during SFY 2013-14 and 23,209 </w:t>
      </w:r>
      <w:r w:rsidR="002A1066" w:rsidRPr="00105FFC">
        <w:rPr>
          <w:rFonts w:asciiTheme="minorHAnsi" w:eastAsiaTheme="minorHAnsi" w:hAnsiTheme="minorHAnsi" w:cstheme="minorBidi"/>
        </w:rPr>
        <w:t>during SFY</w:t>
      </w:r>
      <w:r w:rsidRPr="00105FFC">
        <w:rPr>
          <w:rFonts w:asciiTheme="minorHAnsi" w:eastAsiaTheme="minorHAnsi" w:hAnsiTheme="minorHAnsi" w:cstheme="minorBidi"/>
        </w:rPr>
        <w:t xml:space="preserve"> 2014-15), and Clinic (22,092 during SFY 2013-14 and 22,982 during SFY 2014-15) service settings. The geographic regions with the largest number of participating Specialist providers during both SFY 2013-14 and SFY 2014-15, regardless of service setting, were the Bay Area, Los Angeles, and Southern California (</w:t>
      </w:r>
      <w:r w:rsidR="00E50DA6" w:rsidRPr="00105FFC">
        <w:rPr>
          <w:rFonts w:asciiTheme="minorHAnsi" w:eastAsiaTheme="minorHAnsi" w:hAnsiTheme="minorHAnsi" w:cstheme="minorBidi"/>
        </w:rPr>
        <w:t xml:space="preserve">Tables </w:t>
      </w:r>
      <w:r w:rsidR="00581549" w:rsidRPr="00105FFC">
        <w:rPr>
          <w:rFonts w:asciiTheme="minorHAnsi" w:eastAsiaTheme="minorHAnsi" w:hAnsiTheme="minorHAnsi" w:cstheme="minorBidi"/>
        </w:rPr>
        <w:t>26-27</w:t>
      </w:r>
      <w:r w:rsidRPr="00105FFC">
        <w:rPr>
          <w:rFonts w:asciiTheme="minorHAnsi" w:eastAsiaTheme="minorHAnsi" w:hAnsiTheme="minorHAnsi" w:cstheme="minorBidi"/>
        </w:rPr>
        <w:t>).</w:t>
      </w:r>
    </w:p>
    <w:p w14:paraId="06BCA4F7" w14:textId="77777777" w:rsidR="002960F7" w:rsidRPr="00105FFC" w:rsidRDefault="002960F7" w:rsidP="002960F7">
      <w:pPr>
        <w:spacing w:line="276" w:lineRule="auto"/>
        <w:rPr>
          <w:rFonts w:asciiTheme="minorHAnsi" w:eastAsiaTheme="minorHAnsi" w:hAnsiTheme="minorHAnsi" w:cstheme="minorBidi"/>
        </w:rPr>
      </w:pPr>
    </w:p>
    <w:p w14:paraId="0E115B05" w14:textId="77777777" w:rsidR="00164521" w:rsidRPr="00105FFC" w:rsidRDefault="00164521" w:rsidP="00164521">
      <w:pPr>
        <w:rPr>
          <w:rFonts w:asciiTheme="minorHAnsi" w:eastAsiaTheme="minorHAnsi" w:hAnsiTheme="minorHAnsi" w:cstheme="minorBidi"/>
          <w:bCs/>
          <w:sz w:val="20"/>
          <w:szCs w:val="20"/>
        </w:rPr>
      </w:pPr>
      <w:bookmarkStart w:id="363" w:name="_Toc458783101"/>
      <w:bookmarkStart w:id="364" w:name="_Toc459285171"/>
      <w:r w:rsidRPr="00105FFC">
        <w:rPr>
          <w:rFonts w:asciiTheme="minorHAnsi" w:eastAsiaTheme="minorHAnsi" w:hAnsiTheme="minorHAnsi" w:cstheme="minorBidi"/>
          <w:b/>
          <w:bCs/>
          <w:sz w:val="20"/>
          <w:szCs w:val="20"/>
        </w:rPr>
        <w:t xml:space="preserve">Table </w:t>
      </w:r>
      <w:r w:rsidRPr="00105FFC">
        <w:rPr>
          <w:rFonts w:asciiTheme="minorHAnsi" w:eastAsiaTheme="minorHAnsi" w:hAnsiTheme="minorHAnsi" w:cstheme="minorBidi"/>
          <w:b/>
          <w:bCs/>
          <w:sz w:val="20"/>
          <w:szCs w:val="20"/>
        </w:rPr>
        <w:fldChar w:fldCharType="begin"/>
      </w:r>
      <w:r w:rsidRPr="00105FFC">
        <w:rPr>
          <w:rFonts w:asciiTheme="minorHAnsi" w:eastAsiaTheme="minorHAnsi" w:hAnsiTheme="minorHAnsi" w:cstheme="minorBidi"/>
          <w:b/>
          <w:bCs/>
          <w:sz w:val="20"/>
          <w:szCs w:val="20"/>
        </w:rPr>
        <w:instrText xml:space="preserve"> SEQ Table \* ARABIC </w:instrText>
      </w:r>
      <w:r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26</w:t>
      </w:r>
      <w:r w:rsidRPr="00105FFC">
        <w:rPr>
          <w:rFonts w:asciiTheme="minorHAnsi" w:eastAsiaTheme="minorHAnsi" w:hAnsiTheme="minorHAnsi" w:cstheme="minorBidi"/>
          <w:b/>
          <w:bCs/>
          <w:sz w:val="20"/>
          <w:szCs w:val="20"/>
        </w:rPr>
        <w:fldChar w:fldCharType="end"/>
      </w:r>
      <w:r w:rsidRPr="00105FFC">
        <w:rPr>
          <w:rFonts w:asciiTheme="minorHAnsi" w:eastAsiaTheme="minorHAnsi" w:hAnsiTheme="minorHAnsi" w:cstheme="minorBidi"/>
          <w:b/>
          <w:bCs/>
          <w:sz w:val="20"/>
          <w:szCs w:val="20"/>
        </w:rPr>
        <w:t xml:space="preserve">: </w:t>
      </w:r>
      <w:r w:rsidRPr="00105FFC">
        <w:rPr>
          <w:rFonts w:asciiTheme="minorHAnsi" w:eastAsiaTheme="minorHAnsi" w:hAnsiTheme="minorHAnsi" w:cstheme="minorBidi"/>
          <w:bCs/>
          <w:sz w:val="20"/>
          <w:szCs w:val="20"/>
        </w:rPr>
        <w:t>Total Medi-Cal Participating Specialist Providers in SFY 2013-14, by Service Setting and Geographic Region</w:t>
      </w:r>
      <w:bookmarkEnd w:id="363"/>
      <w:bookmarkEnd w:id="364"/>
    </w:p>
    <w:tbl>
      <w:tblPr>
        <w:tblW w:w="0" w:type="auto"/>
        <w:tblInd w:w="93" w:type="dxa"/>
        <w:tblLook w:val="04A0" w:firstRow="1" w:lastRow="0" w:firstColumn="1" w:lastColumn="0" w:noHBand="0" w:noVBand="1"/>
      </w:tblPr>
      <w:tblGrid>
        <w:gridCol w:w="2005"/>
        <w:gridCol w:w="2188"/>
        <w:gridCol w:w="1711"/>
        <w:gridCol w:w="1863"/>
        <w:gridCol w:w="775"/>
        <w:gridCol w:w="700"/>
      </w:tblGrid>
      <w:tr w:rsidR="00164521" w:rsidRPr="00105FFC" w14:paraId="2F83016B" w14:textId="77777777" w:rsidTr="00164521">
        <w:trPr>
          <w:cantSplit/>
          <w:trHeight w:val="300"/>
        </w:trPr>
        <w:tc>
          <w:tcPr>
            <w:tcW w:w="0" w:type="auto"/>
            <w:gridSpan w:val="6"/>
            <w:tcBorders>
              <w:top w:val="nil"/>
              <w:left w:val="single" w:sz="4" w:space="0" w:color="auto"/>
              <w:bottom w:val="single" w:sz="4" w:space="0" w:color="auto"/>
              <w:right w:val="nil"/>
            </w:tcBorders>
            <w:shd w:val="clear" w:color="000000" w:fill="000000"/>
            <w:noWrap/>
            <w:vAlign w:val="center"/>
            <w:hideMark/>
          </w:tcPr>
          <w:p w14:paraId="4ADD86A3" w14:textId="77777777" w:rsidR="00164521" w:rsidRPr="00105FFC" w:rsidRDefault="00164521" w:rsidP="00774675">
            <w:pPr>
              <w:jc w:val="center"/>
              <w:rPr>
                <w:rFonts w:asciiTheme="minorHAnsi" w:hAnsiTheme="minorHAnsi"/>
                <w:b/>
                <w:bCs/>
                <w:color w:val="FFFFFF"/>
                <w:sz w:val="20"/>
                <w:szCs w:val="20"/>
              </w:rPr>
            </w:pPr>
            <w:r w:rsidRPr="00105FFC">
              <w:rPr>
                <w:rFonts w:asciiTheme="minorHAnsi" w:hAnsiTheme="minorHAnsi"/>
                <w:b/>
                <w:bCs/>
                <w:color w:val="FFFFFF"/>
                <w:sz w:val="20"/>
                <w:szCs w:val="20"/>
              </w:rPr>
              <w:t>Specialist Providers</w:t>
            </w:r>
          </w:p>
        </w:tc>
      </w:tr>
      <w:tr w:rsidR="00164521" w:rsidRPr="00105FFC" w14:paraId="377D5723"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FDA366B"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01668AD4"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Emergency Department</w:t>
            </w:r>
          </w:p>
        </w:tc>
        <w:tc>
          <w:tcPr>
            <w:tcW w:w="0" w:type="auto"/>
            <w:tcBorders>
              <w:top w:val="nil"/>
              <w:left w:val="nil"/>
              <w:bottom w:val="single" w:sz="4" w:space="0" w:color="auto"/>
              <w:right w:val="single" w:sz="4" w:space="0" w:color="auto"/>
            </w:tcBorders>
            <w:shd w:val="clear" w:color="000000" w:fill="F2F2F2"/>
            <w:noWrap/>
            <w:vAlign w:val="center"/>
            <w:hideMark/>
          </w:tcPr>
          <w:p w14:paraId="55E8A654"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Inpatient</w:t>
            </w:r>
          </w:p>
        </w:tc>
        <w:tc>
          <w:tcPr>
            <w:tcW w:w="0" w:type="auto"/>
            <w:tcBorders>
              <w:top w:val="nil"/>
              <w:left w:val="nil"/>
              <w:bottom w:val="single" w:sz="4" w:space="0" w:color="auto"/>
              <w:right w:val="single" w:sz="4" w:space="0" w:color="auto"/>
            </w:tcBorders>
            <w:shd w:val="clear" w:color="000000" w:fill="F2F2F2"/>
            <w:noWrap/>
            <w:vAlign w:val="center"/>
            <w:hideMark/>
          </w:tcPr>
          <w:p w14:paraId="5941D103"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Outpatient</w:t>
            </w:r>
          </w:p>
        </w:tc>
        <w:tc>
          <w:tcPr>
            <w:tcW w:w="0" w:type="auto"/>
            <w:tcBorders>
              <w:top w:val="nil"/>
              <w:left w:val="nil"/>
              <w:bottom w:val="single" w:sz="4" w:space="0" w:color="auto"/>
              <w:right w:val="single" w:sz="4" w:space="0" w:color="auto"/>
            </w:tcBorders>
            <w:shd w:val="clear" w:color="000000" w:fill="F2F2F2"/>
            <w:noWrap/>
            <w:vAlign w:val="center"/>
            <w:hideMark/>
          </w:tcPr>
          <w:p w14:paraId="4CFC45FE"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Clinics</w:t>
            </w:r>
          </w:p>
        </w:tc>
        <w:tc>
          <w:tcPr>
            <w:tcW w:w="0" w:type="auto"/>
            <w:tcBorders>
              <w:top w:val="nil"/>
              <w:left w:val="nil"/>
              <w:bottom w:val="single" w:sz="4" w:space="0" w:color="auto"/>
              <w:right w:val="single" w:sz="4" w:space="0" w:color="auto"/>
            </w:tcBorders>
            <w:shd w:val="clear" w:color="000000" w:fill="F2F2F2"/>
            <w:noWrap/>
            <w:vAlign w:val="center"/>
            <w:hideMark/>
          </w:tcPr>
          <w:p w14:paraId="0515FC51"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Other</w:t>
            </w:r>
          </w:p>
        </w:tc>
      </w:tr>
      <w:tr w:rsidR="00164521" w:rsidRPr="00105FFC" w14:paraId="02A1866F"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5E84BDE4"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2575CE6A"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8,046</w:t>
            </w:r>
          </w:p>
        </w:tc>
        <w:tc>
          <w:tcPr>
            <w:tcW w:w="0" w:type="auto"/>
            <w:tcBorders>
              <w:top w:val="nil"/>
              <w:left w:val="nil"/>
              <w:bottom w:val="single" w:sz="4" w:space="0" w:color="auto"/>
              <w:right w:val="single" w:sz="4" w:space="0" w:color="auto"/>
            </w:tcBorders>
            <w:shd w:val="clear" w:color="000000" w:fill="EBF1DE"/>
            <w:noWrap/>
            <w:vAlign w:val="center"/>
            <w:hideMark/>
          </w:tcPr>
          <w:p w14:paraId="337C7247"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24,070</w:t>
            </w:r>
          </w:p>
        </w:tc>
        <w:tc>
          <w:tcPr>
            <w:tcW w:w="0" w:type="auto"/>
            <w:tcBorders>
              <w:top w:val="nil"/>
              <w:left w:val="nil"/>
              <w:bottom w:val="single" w:sz="4" w:space="0" w:color="auto"/>
              <w:right w:val="single" w:sz="4" w:space="0" w:color="auto"/>
            </w:tcBorders>
            <w:shd w:val="clear" w:color="000000" w:fill="EBF1DE"/>
            <w:noWrap/>
            <w:vAlign w:val="center"/>
            <w:hideMark/>
          </w:tcPr>
          <w:p w14:paraId="4838E95B"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22,423</w:t>
            </w:r>
          </w:p>
        </w:tc>
        <w:tc>
          <w:tcPr>
            <w:tcW w:w="0" w:type="auto"/>
            <w:tcBorders>
              <w:top w:val="nil"/>
              <w:left w:val="nil"/>
              <w:bottom w:val="single" w:sz="4" w:space="0" w:color="auto"/>
              <w:right w:val="single" w:sz="4" w:space="0" w:color="auto"/>
            </w:tcBorders>
            <w:shd w:val="clear" w:color="000000" w:fill="EBF1DE"/>
            <w:noWrap/>
            <w:vAlign w:val="center"/>
            <w:hideMark/>
          </w:tcPr>
          <w:p w14:paraId="4A5D208C"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22,092</w:t>
            </w:r>
          </w:p>
        </w:tc>
        <w:tc>
          <w:tcPr>
            <w:tcW w:w="0" w:type="auto"/>
            <w:tcBorders>
              <w:top w:val="nil"/>
              <w:left w:val="nil"/>
              <w:bottom w:val="single" w:sz="4" w:space="0" w:color="auto"/>
              <w:right w:val="single" w:sz="4" w:space="0" w:color="auto"/>
            </w:tcBorders>
            <w:shd w:val="clear" w:color="000000" w:fill="EBF1DE"/>
            <w:noWrap/>
            <w:vAlign w:val="center"/>
            <w:hideMark/>
          </w:tcPr>
          <w:p w14:paraId="71B6888D"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5,406</w:t>
            </w:r>
          </w:p>
        </w:tc>
      </w:tr>
      <w:tr w:rsidR="00164521" w:rsidRPr="00105FFC" w14:paraId="020F5206"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AEF185"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177440B5"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1,696</w:t>
            </w:r>
          </w:p>
        </w:tc>
        <w:tc>
          <w:tcPr>
            <w:tcW w:w="0" w:type="auto"/>
            <w:tcBorders>
              <w:top w:val="nil"/>
              <w:left w:val="nil"/>
              <w:bottom w:val="single" w:sz="4" w:space="0" w:color="auto"/>
              <w:right w:val="single" w:sz="4" w:space="0" w:color="auto"/>
            </w:tcBorders>
            <w:shd w:val="clear" w:color="auto" w:fill="auto"/>
            <w:noWrap/>
            <w:vAlign w:val="center"/>
            <w:hideMark/>
          </w:tcPr>
          <w:p w14:paraId="61E30B80"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5,432</w:t>
            </w:r>
          </w:p>
        </w:tc>
        <w:tc>
          <w:tcPr>
            <w:tcW w:w="0" w:type="auto"/>
            <w:tcBorders>
              <w:top w:val="nil"/>
              <w:left w:val="nil"/>
              <w:bottom w:val="single" w:sz="4" w:space="0" w:color="auto"/>
              <w:right w:val="single" w:sz="4" w:space="0" w:color="auto"/>
            </w:tcBorders>
            <w:shd w:val="clear" w:color="auto" w:fill="auto"/>
            <w:noWrap/>
            <w:vAlign w:val="center"/>
            <w:hideMark/>
          </w:tcPr>
          <w:p w14:paraId="5E3D2173"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5,636</w:t>
            </w:r>
          </w:p>
        </w:tc>
        <w:tc>
          <w:tcPr>
            <w:tcW w:w="0" w:type="auto"/>
            <w:tcBorders>
              <w:top w:val="nil"/>
              <w:left w:val="nil"/>
              <w:bottom w:val="single" w:sz="4" w:space="0" w:color="auto"/>
              <w:right w:val="single" w:sz="4" w:space="0" w:color="auto"/>
            </w:tcBorders>
            <w:shd w:val="clear" w:color="auto" w:fill="auto"/>
            <w:noWrap/>
            <w:vAlign w:val="center"/>
            <w:hideMark/>
          </w:tcPr>
          <w:p w14:paraId="6A39292B"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4,649</w:t>
            </w:r>
          </w:p>
        </w:tc>
        <w:tc>
          <w:tcPr>
            <w:tcW w:w="0" w:type="auto"/>
            <w:tcBorders>
              <w:top w:val="nil"/>
              <w:left w:val="nil"/>
              <w:bottom w:val="single" w:sz="4" w:space="0" w:color="auto"/>
              <w:right w:val="single" w:sz="4" w:space="0" w:color="auto"/>
            </w:tcBorders>
            <w:shd w:val="clear" w:color="auto" w:fill="auto"/>
            <w:noWrap/>
            <w:vAlign w:val="center"/>
            <w:hideMark/>
          </w:tcPr>
          <w:p w14:paraId="2DED4225"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875</w:t>
            </w:r>
          </w:p>
        </w:tc>
      </w:tr>
      <w:tr w:rsidR="00164521" w:rsidRPr="00105FFC" w14:paraId="7CA5ED33"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A55B9"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0D474DC3"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481</w:t>
            </w:r>
          </w:p>
        </w:tc>
        <w:tc>
          <w:tcPr>
            <w:tcW w:w="0" w:type="auto"/>
            <w:tcBorders>
              <w:top w:val="nil"/>
              <w:left w:val="nil"/>
              <w:bottom w:val="single" w:sz="4" w:space="0" w:color="auto"/>
              <w:right w:val="single" w:sz="4" w:space="0" w:color="auto"/>
            </w:tcBorders>
            <w:shd w:val="clear" w:color="auto" w:fill="auto"/>
            <w:noWrap/>
            <w:vAlign w:val="center"/>
            <w:hideMark/>
          </w:tcPr>
          <w:p w14:paraId="037EFB20"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1,289</w:t>
            </w:r>
          </w:p>
        </w:tc>
        <w:tc>
          <w:tcPr>
            <w:tcW w:w="0" w:type="auto"/>
            <w:tcBorders>
              <w:top w:val="nil"/>
              <w:left w:val="nil"/>
              <w:bottom w:val="single" w:sz="4" w:space="0" w:color="auto"/>
              <w:right w:val="single" w:sz="4" w:space="0" w:color="auto"/>
            </w:tcBorders>
            <w:shd w:val="clear" w:color="auto" w:fill="auto"/>
            <w:noWrap/>
            <w:vAlign w:val="center"/>
            <w:hideMark/>
          </w:tcPr>
          <w:p w14:paraId="3974A077"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1,202</w:t>
            </w:r>
          </w:p>
        </w:tc>
        <w:tc>
          <w:tcPr>
            <w:tcW w:w="0" w:type="auto"/>
            <w:tcBorders>
              <w:top w:val="nil"/>
              <w:left w:val="nil"/>
              <w:bottom w:val="single" w:sz="4" w:space="0" w:color="auto"/>
              <w:right w:val="single" w:sz="4" w:space="0" w:color="auto"/>
            </w:tcBorders>
            <w:shd w:val="clear" w:color="auto" w:fill="auto"/>
            <w:noWrap/>
            <w:vAlign w:val="center"/>
            <w:hideMark/>
          </w:tcPr>
          <w:p w14:paraId="4A3CC4A7"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1,261</w:t>
            </w:r>
          </w:p>
        </w:tc>
        <w:tc>
          <w:tcPr>
            <w:tcW w:w="0" w:type="auto"/>
            <w:tcBorders>
              <w:top w:val="nil"/>
              <w:left w:val="nil"/>
              <w:bottom w:val="single" w:sz="4" w:space="0" w:color="auto"/>
              <w:right w:val="single" w:sz="4" w:space="0" w:color="auto"/>
            </w:tcBorders>
            <w:shd w:val="clear" w:color="auto" w:fill="auto"/>
            <w:noWrap/>
            <w:vAlign w:val="center"/>
            <w:hideMark/>
          </w:tcPr>
          <w:p w14:paraId="18512931"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153</w:t>
            </w:r>
          </w:p>
        </w:tc>
      </w:tr>
      <w:tr w:rsidR="00164521" w:rsidRPr="00105FFC" w14:paraId="0E165D4B"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9CAC5"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3534AA2E"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927</w:t>
            </w:r>
          </w:p>
        </w:tc>
        <w:tc>
          <w:tcPr>
            <w:tcW w:w="0" w:type="auto"/>
            <w:tcBorders>
              <w:top w:val="nil"/>
              <w:left w:val="nil"/>
              <w:bottom w:val="single" w:sz="4" w:space="0" w:color="auto"/>
              <w:right w:val="single" w:sz="4" w:space="0" w:color="auto"/>
            </w:tcBorders>
            <w:shd w:val="clear" w:color="auto" w:fill="auto"/>
            <w:noWrap/>
            <w:vAlign w:val="center"/>
            <w:hideMark/>
          </w:tcPr>
          <w:p w14:paraId="40716C8B"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2,253</w:t>
            </w:r>
          </w:p>
        </w:tc>
        <w:tc>
          <w:tcPr>
            <w:tcW w:w="0" w:type="auto"/>
            <w:tcBorders>
              <w:top w:val="nil"/>
              <w:left w:val="nil"/>
              <w:bottom w:val="single" w:sz="4" w:space="0" w:color="auto"/>
              <w:right w:val="single" w:sz="4" w:space="0" w:color="auto"/>
            </w:tcBorders>
            <w:shd w:val="clear" w:color="auto" w:fill="auto"/>
            <w:noWrap/>
            <w:vAlign w:val="center"/>
            <w:hideMark/>
          </w:tcPr>
          <w:p w14:paraId="5A5DF56C"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2,362</w:t>
            </w:r>
          </w:p>
        </w:tc>
        <w:tc>
          <w:tcPr>
            <w:tcW w:w="0" w:type="auto"/>
            <w:tcBorders>
              <w:top w:val="nil"/>
              <w:left w:val="nil"/>
              <w:bottom w:val="single" w:sz="4" w:space="0" w:color="auto"/>
              <w:right w:val="single" w:sz="4" w:space="0" w:color="auto"/>
            </w:tcBorders>
            <w:shd w:val="clear" w:color="auto" w:fill="auto"/>
            <w:noWrap/>
            <w:vAlign w:val="center"/>
            <w:hideMark/>
          </w:tcPr>
          <w:p w14:paraId="619D23C6"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64724037"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719</w:t>
            </w:r>
          </w:p>
        </w:tc>
      </w:tr>
      <w:tr w:rsidR="00164521" w:rsidRPr="00105FFC" w14:paraId="5CA3CF4C"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5BB86"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75F7BCC6"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center"/>
            <w:hideMark/>
          </w:tcPr>
          <w:p w14:paraId="3C11E181"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153</w:t>
            </w:r>
          </w:p>
        </w:tc>
        <w:tc>
          <w:tcPr>
            <w:tcW w:w="0" w:type="auto"/>
            <w:tcBorders>
              <w:top w:val="nil"/>
              <w:left w:val="nil"/>
              <w:bottom w:val="single" w:sz="4" w:space="0" w:color="auto"/>
              <w:right w:val="single" w:sz="4" w:space="0" w:color="auto"/>
            </w:tcBorders>
            <w:shd w:val="clear" w:color="auto" w:fill="auto"/>
            <w:noWrap/>
            <w:vAlign w:val="center"/>
            <w:hideMark/>
          </w:tcPr>
          <w:p w14:paraId="1504E928"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208</w:t>
            </w:r>
          </w:p>
        </w:tc>
        <w:tc>
          <w:tcPr>
            <w:tcW w:w="0" w:type="auto"/>
            <w:tcBorders>
              <w:top w:val="nil"/>
              <w:left w:val="nil"/>
              <w:bottom w:val="single" w:sz="4" w:space="0" w:color="auto"/>
              <w:right w:val="single" w:sz="4" w:space="0" w:color="auto"/>
            </w:tcBorders>
            <w:shd w:val="clear" w:color="auto" w:fill="auto"/>
            <w:noWrap/>
            <w:vAlign w:val="center"/>
            <w:hideMark/>
          </w:tcPr>
          <w:p w14:paraId="78716E75"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217</w:t>
            </w:r>
          </w:p>
        </w:tc>
        <w:tc>
          <w:tcPr>
            <w:tcW w:w="0" w:type="auto"/>
            <w:tcBorders>
              <w:top w:val="nil"/>
              <w:left w:val="nil"/>
              <w:bottom w:val="single" w:sz="4" w:space="0" w:color="auto"/>
              <w:right w:val="single" w:sz="4" w:space="0" w:color="auto"/>
            </w:tcBorders>
            <w:shd w:val="clear" w:color="auto" w:fill="auto"/>
            <w:noWrap/>
            <w:vAlign w:val="center"/>
            <w:hideMark/>
          </w:tcPr>
          <w:p w14:paraId="32A770EC"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50</w:t>
            </w:r>
          </w:p>
        </w:tc>
      </w:tr>
      <w:tr w:rsidR="00164521" w:rsidRPr="00105FFC" w14:paraId="5C81AE61"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546DFB"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290BE1B8"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1,846</w:t>
            </w:r>
          </w:p>
        </w:tc>
        <w:tc>
          <w:tcPr>
            <w:tcW w:w="0" w:type="auto"/>
            <w:tcBorders>
              <w:top w:val="nil"/>
              <w:left w:val="nil"/>
              <w:bottom w:val="single" w:sz="4" w:space="0" w:color="auto"/>
              <w:right w:val="single" w:sz="4" w:space="0" w:color="auto"/>
            </w:tcBorders>
            <w:shd w:val="clear" w:color="auto" w:fill="auto"/>
            <w:noWrap/>
            <w:vAlign w:val="center"/>
            <w:hideMark/>
          </w:tcPr>
          <w:p w14:paraId="47DF17C6"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6,925</w:t>
            </w:r>
          </w:p>
        </w:tc>
        <w:tc>
          <w:tcPr>
            <w:tcW w:w="0" w:type="auto"/>
            <w:tcBorders>
              <w:top w:val="nil"/>
              <w:left w:val="nil"/>
              <w:bottom w:val="single" w:sz="4" w:space="0" w:color="auto"/>
              <w:right w:val="single" w:sz="4" w:space="0" w:color="auto"/>
            </w:tcBorders>
            <w:shd w:val="clear" w:color="auto" w:fill="auto"/>
            <w:noWrap/>
            <w:vAlign w:val="center"/>
            <w:hideMark/>
          </w:tcPr>
          <w:p w14:paraId="549FEF27"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5,840</w:t>
            </w:r>
          </w:p>
        </w:tc>
        <w:tc>
          <w:tcPr>
            <w:tcW w:w="0" w:type="auto"/>
            <w:tcBorders>
              <w:top w:val="nil"/>
              <w:left w:val="nil"/>
              <w:bottom w:val="single" w:sz="4" w:space="0" w:color="auto"/>
              <w:right w:val="single" w:sz="4" w:space="0" w:color="auto"/>
            </w:tcBorders>
            <w:shd w:val="clear" w:color="auto" w:fill="auto"/>
            <w:noWrap/>
            <w:vAlign w:val="center"/>
            <w:hideMark/>
          </w:tcPr>
          <w:p w14:paraId="16A69E69"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6,145</w:t>
            </w:r>
          </w:p>
        </w:tc>
        <w:tc>
          <w:tcPr>
            <w:tcW w:w="0" w:type="auto"/>
            <w:tcBorders>
              <w:top w:val="nil"/>
              <w:left w:val="nil"/>
              <w:bottom w:val="single" w:sz="4" w:space="0" w:color="auto"/>
              <w:right w:val="single" w:sz="4" w:space="0" w:color="auto"/>
            </w:tcBorders>
            <w:shd w:val="clear" w:color="auto" w:fill="auto"/>
            <w:noWrap/>
            <w:vAlign w:val="center"/>
            <w:hideMark/>
          </w:tcPr>
          <w:p w14:paraId="1117E38F"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1,922</w:t>
            </w:r>
          </w:p>
        </w:tc>
      </w:tr>
      <w:tr w:rsidR="00164521" w:rsidRPr="00105FFC" w14:paraId="104DEA8F"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0B9960"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3607E56C"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83</w:t>
            </w:r>
          </w:p>
        </w:tc>
        <w:tc>
          <w:tcPr>
            <w:tcW w:w="0" w:type="auto"/>
            <w:tcBorders>
              <w:top w:val="nil"/>
              <w:left w:val="nil"/>
              <w:bottom w:val="single" w:sz="4" w:space="0" w:color="auto"/>
              <w:right w:val="single" w:sz="4" w:space="0" w:color="auto"/>
            </w:tcBorders>
            <w:shd w:val="clear" w:color="auto" w:fill="auto"/>
            <w:noWrap/>
            <w:vAlign w:val="center"/>
            <w:hideMark/>
          </w:tcPr>
          <w:p w14:paraId="67F9294A"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center"/>
            <w:hideMark/>
          </w:tcPr>
          <w:p w14:paraId="5CB1D98B"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335</w:t>
            </w:r>
          </w:p>
        </w:tc>
        <w:tc>
          <w:tcPr>
            <w:tcW w:w="0" w:type="auto"/>
            <w:tcBorders>
              <w:top w:val="nil"/>
              <w:left w:val="nil"/>
              <w:bottom w:val="single" w:sz="4" w:space="0" w:color="auto"/>
              <w:right w:val="single" w:sz="4" w:space="0" w:color="auto"/>
            </w:tcBorders>
            <w:shd w:val="clear" w:color="auto" w:fill="auto"/>
            <w:noWrap/>
            <w:vAlign w:val="center"/>
            <w:hideMark/>
          </w:tcPr>
          <w:p w14:paraId="2DF38549"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203</w:t>
            </w:r>
          </w:p>
        </w:tc>
        <w:tc>
          <w:tcPr>
            <w:tcW w:w="0" w:type="auto"/>
            <w:tcBorders>
              <w:top w:val="nil"/>
              <w:left w:val="nil"/>
              <w:bottom w:val="single" w:sz="4" w:space="0" w:color="auto"/>
              <w:right w:val="single" w:sz="4" w:space="0" w:color="auto"/>
            </w:tcBorders>
            <w:shd w:val="clear" w:color="auto" w:fill="auto"/>
            <w:noWrap/>
            <w:vAlign w:val="center"/>
            <w:hideMark/>
          </w:tcPr>
          <w:p w14:paraId="724D088C"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66</w:t>
            </w:r>
          </w:p>
        </w:tc>
      </w:tr>
      <w:tr w:rsidR="00164521" w:rsidRPr="00105FFC" w14:paraId="21E65A63"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2C21A1"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7012E15F"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642</w:t>
            </w:r>
          </w:p>
        </w:tc>
        <w:tc>
          <w:tcPr>
            <w:tcW w:w="0" w:type="auto"/>
            <w:tcBorders>
              <w:top w:val="nil"/>
              <w:left w:val="nil"/>
              <w:bottom w:val="single" w:sz="4" w:space="0" w:color="auto"/>
              <w:right w:val="single" w:sz="4" w:space="0" w:color="auto"/>
            </w:tcBorders>
            <w:shd w:val="clear" w:color="auto" w:fill="auto"/>
            <w:noWrap/>
            <w:vAlign w:val="center"/>
            <w:hideMark/>
          </w:tcPr>
          <w:p w14:paraId="1F5CE915"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1,902</w:t>
            </w:r>
          </w:p>
        </w:tc>
        <w:tc>
          <w:tcPr>
            <w:tcW w:w="0" w:type="auto"/>
            <w:tcBorders>
              <w:top w:val="nil"/>
              <w:left w:val="nil"/>
              <w:bottom w:val="single" w:sz="4" w:space="0" w:color="auto"/>
              <w:right w:val="single" w:sz="4" w:space="0" w:color="auto"/>
            </w:tcBorders>
            <w:shd w:val="clear" w:color="auto" w:fill="auto"/>
            <w:noWrap/>
            <w:vAlign w:val="center"/>
            <w:hideMark/>
          </w:tcPr>
          <w:p w14:paraId="4A668FF0"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2,117</w:t>
            </w:r>
          </w:p>
        </w:tc>
        <w:tc>
          <w:tcPr>
            <w:tcW w:w="0" w:type="auto"/>
            <w:tcBorders>
              <w:top w:val="nil"/>
              <w:left w:val="nil"/>
              <w:bottom w:val="single" w:sz="4" w:space="0" w:color="auto"/>
              <w:right w:val="single" w:sz="4" w:space="0" w:color="auto"/>
            </w:tcBorders>
            <w:shd w:val="clear" w:color="auto" w:fill="auto"/>
            <w:noWrap/>
            <w:vAlign w:val="center"/>
            <w:hideMark/>
          </w:tcPr>
          <w:p w14:paraId="5BACC4B3"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1,700</w:t>
            </w:r>
          </w:p>
        </w:tc>
        <w:tc>
          <w:tcPr>
            <w:tcW w:w="0" w:type="auto"/>
            <w:tcBorders>
              <w:top w:val="nil"/>
              <w:left w:val="nil"/>
              <w:bottom w:val="single" w:sz="4" w:space="0" w:color="auto"/>
              <w:right w:val="single" w:sz="4" w:space="0" w:color="auto"/>
            </w:tcBorders>
            <w:shd w:val="clear" w:color="auto" w:fill="auto"/>
            <w:noWrap/>
            <w:vAlign w:val="center"/>
            <w:hideMark/>
          </w:tcPr>
          <w:p w14:paraId="0E02F10E"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337</w:t>
            </w:r>
          </w:p>
        </w:tc>
      </w:tr>
      <w:tr w:rsidR="00164521" w:rsidRPr="00105FFC" w14:paraId="4925645F"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265990"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6346BBBB"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378</w:t>
            </w:r>
          </w:p>
        </w:tc>
        <w:tc>
          <w:tcPr>
            <w:tcW w:w="0" w:type="auto"/>
            <w:tcBorders>
              <w:top w:val="nil"/>
              <w:left w:val="nil"/>
              <w:bottom w:val="single" w:sz="4" w:space="0" w:color="auto"/>
              <w:right w:val="single" w:sz="4" w:space="0" w:color="auto"/>
            </w:tcBorders>
            <w:shd w:val="clear" w:color="auto" w:fill="auto"/>
            <w:noWrap/>
            <w:vAlign w:val="center"/>
            <w:hideMark/>
          </w:tcPr>
          <w:p w14:paraId="2B9CEDA5"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826</w:t>
            </w:r>
          </w:p>
        </w:tc>
        <w:tc>
          <w:tcPr>
            <w:tcW w:w="0" w:type="auto"/>
            <w:tcBorders>
              <w:top w:val="nil"/>
              <w:left w:val="nil"/>
              <w:bottom w:val="single" w:sz="4" w:space="0" w:color="auto"/>
              <w:right w:val="single" w:sz="4" w:space="0" w:color="auto"/>
            </w:tcBorders>
            <w:shd w:val="clear" w:color="auto" w:fill="auto"/>
            <w:noWrap/>
            <w:vAlign w:val="center"/>
            <w:hideMark/>
          </w:tcPr>
          <w:p w14:paraId="3E559E52"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1,115</w:t>
            </w:r>
          </w:p>
        </w:tc>
        <w:tc>
          <w:tcPr>
            <w:tcW w:w="0" w:type="auto"/>
            <w:tcBorders>
              <w:top w:val="nil"/>
              <w:left w:val="nil"/>
              <w:bottom w:val="single" w:sz="4" w:space="0" w:color="auto"/>
              <w:right w:val="single" w:sz="4" w:space="0" w:color="auto"/>
            </w:tcBorders>
            <w:shd w:val="clear" w:color="auto" w:fill="auto"/>
            <w:noWrap/>
            <w:vAlign w:val="center"/>
            <w:hideMark/>
          </w:tcPr>
          <w:p w14:paraId="75A77F49"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731</w:t>
            </w:r>
          </w:p>
        </w:tc>
        <w:tc>
          <w:tcPr>
            <w:tcW w:w="0" w:type="auto"/>
            <w:tcBorders>
              <w:top w:val="nil"/>
              <w:left w:val="nil"/>
              <w:bottom w:val="single" w:sz="4" w:space="0" w:color="auto"/>
              <w:right w:val="single" w:sz="4" w:space="0" w:color="auto"/>
            </w:tcBorders>
            <w:shd w:val="clear" w:color="auto" w:fill="auto"/>
            <w:noWrap/>
            <w:vAlign w:val="center"/>
            <w:hideMark/>
          </w:tcPr>
          <w:p w14:paraId="35CB0902"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148</w:t>
            </w:r>
          </w:p>
        </w:tc>
      </w:tr>
      <w:tr w:rsidR="00164521" w:rsidRPr="00105FFC" w14:paraId="41D2E6AF" w14:textId="77777777" w:rsidTr="00164521">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8877C3"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20675938"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2,224</w:t>
            </w:r>
          </w:p>
        </w:tc>
        <w:tc>
          <w:tcPr>
            <w:tcW w:w="0" w:type="auto"/>
            <w:tcBorders>
              <w:top w:val="nil"/>
              <w:left w:val="nil"/>
              <w:bottom w:val="single" w:sz="4" w:space="0" w:color="auto"/>
              <w:right w:val="single" w:sz="4" w:space="0" w:color="auto"/>
            </w:tcBorders>
            <w:shd w:val="clear" w:color="auto" w:fill="auto"/>
            <w:noWrap/>
            <w:vAlign w:val="center"/>
            <w:hideMark/>
          </w:tcPr>
          <w:p w14:paraId="37D689F8"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6,702</w:t>
            </w:r>
          </w:p>
        </w:tc>
        <w:tc>
          <w:tcPr>
            <w:tcW w:w="0" w:type="auto"/>
            <w:tcBorders>
              <w:top w:val="nil"/>
              <w:left w:val="nil"/>
              <w:bottom w:val="single" w:sz="4" w:space="0" w:color="auto"/>
              <w:right w:val="single" w:sz="4" w:space="0" w:color="auto"/>
            </w:tcBorders>
            <w:shd w:val="clear" w:color="auto" w:fill="auto"/>
            <w:noWrap/>
            <w:vAlign w:val="center"/>
            <w:hideMark/>
          </w:tcPr>
          <w:p w14:paraId="3C77B3A7"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5,806</w:t>
            </w:r>
          </w:p>
        </w:tc>
        <w:tc>
          <w:tcPr>
            <w:tcW w:w="0" w:type="auto"/>
            <w:tcBorders>
              <w:top w:val="nil"/>
              <w:left w:val="nil"/>
              <w:bottom w:val="single" w:sz="4" w:space="0" w:color="auto"/>
              <w:right w:val="single" w:sz="4" w:space="0" w:color="auto"/>
            </w:tcBorders>
            <w:shd w:val="clear" w:color="auto" w:fill="auto"/>
            <w:noWrap/>
            <w:vAlign w:val="center"/>
            <w:hideMark/>
          </w:tcPr>
          <w:p w14:paraId="5733EF39"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5,745</w:t>
            </w:r>
          </w:p>
        </w:tc>
        <w:tc>
          <w:tcPr>
            <w:tcW w:w="0" w:type="auto"/>
            <w:tcBorders>
              <w:top w:val="nil"/>
              <w:left w:val="nil"/>
              <w:bottom w:val="single" w:sz="4" w:space="0" w:color="auto"/>
              <w:right w:val="single" w:sz="4" w:space="0" w:color="auto"/>
            </w:tcBorders>
            <w:shd w:val="clear" w:color="auto" w:fill="auto"/>
            <w:noWrap/>
            <w:vAlign w:val="center"/>
            <w:hideMark/>
          </w:tcPr>
          <w:p w14:paraId="7E6D4A93"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1,483</w:t>
            </w:r>
          </w:p>
        </w:tc>
      </w:tr>
    </w:tbl>
    <w:p w14:paraId="52E89606" w14:textId="77777777" w:rsidR="00164521" w:rsidRPr="00105FFC" w:rsidRDefault="00164521" w:rsidP="00164521">
      <w:pPr>
        <w:spacing w:after="120"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3FD044D6" w14:textId="77777777" w:rsidR="00164521" w:rsidRPr="00105FFC" w:rsidRDefault="00164521" w:rsidP="00164521">
      <w:pPr>
        <w:spacing w:after="120" w:line="276" w:lineRule="auto"/>
        <w:rPr>
          <w:rFonts w:asciiTheme="minorHAnsi" w:eastAsiaTheme="minorHAnsi" w:hAnsiTheme="minorHAnsi" w:cs="Tahoma"/>
          <w:sz w:val="16"/>
          <w:szCs w:val="16"/>
        </w:rPr>
      </w:pPr>
    </w:p>
    <w:p w14:paraId="33EDABB8" w14:textId="77777777" w:rsidR="00164521" w:rsidRPr="00105FFC" w:rsidRDefault="00164521" w:rsidP="00164521">
      <w:pPr>
        <w:rPr>
          <w:rFonts w:asciiTheme="minorHAnsi" w:eastAsiaTheme="minorHAnsi" w:hAnsiTheme="minorHAnsi" w:cstheme="minorBidi"/>
          <w:b/>
          <w:bCs/>
          <w:sz w:val="20"/>
          <w:szCs w:val="20"/>
        </w:rPr>
      </w:pPr>
      <w:bookmarkStart w:id="365" w:name="_Toc458783102"/>
      <w:bookmarkStart w:id="366" w:name="_Toc459285172"/>
      <w:r w:rsidRPr="00105FFC">
        <w:rPr>
          <w:rFonts w:asciiTheme="minorHAnsi" w:eastAsiaTheme="minorHAnsi" w:hAnsiTheme="minorHAnsi" w:cstheme="minorBidi"/>
          <w:b/>
          <w:bCs/>
          <w:sz w:val="20"/>
          <w:szCs w:val="20"/>
        </w:rPr>
        <w:t xml:space="preserve">Table </w:t>
      </w:r>
      <w:r w:rsidRPr="00105FFC">
        <w:rPr>
          <w:rFonts w:asciiTheme="minorHAnsi" w:eastAsiaTheme="minorHAnsi" w:hAnsiTheme="minorHAnsi" w:cstheme="minorBidi"/>
          <w:b/>
          <w:bCs/>
          <w:sz w:val="20"/>
          <w:szCs w:val="20"/>
        </w:rPr>
        <w:fldChar w:fldCharType="begin"/>
      </w:r>
      <w:r w:rsidRPr="00105FFC">
        <w:rPr>
          <w:rFonts w:asciiTheme="minorHAnsi" w:eastAsiaTheme="minorHAnsi" w:hAnsiTheme="minorHAnsi" w:cstheme="minorBidi"/>
          <w:b/>
          <w:bCs/>
          <w:sz w:val="20"/>
          <w:szCs w:val="20"/>
        </w:rPr>
        <w:instrText xml:space="preserve"> SEQ Table \* ARABIC </w:instrText>
      </w:r>
      <w:r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27</w:t>
      </w:r>
      <w:r w:rsidRPr="00105FFC">
        <w:rPr>
          <w:rFonts w:asciiTheme="minorHAnsi" w:eastAsiaTheme="minorHAnsi" w:hAnsiTheme="minorHAnsi" w:cstheme="minorBidi"/>
          <w:b/>
          <w:bCs/>
          <w:sz w:val="20"/>
          <w:szCs w:val="20"/>
        </w:rPr>
        <w:fldChar w:fldCharType="end"/>
      </w:r>
      <w:r w:rsidRPr="00105FFC">
        <w:rPr>
          <w:rFonts w:asciiTheme="minorHAnsi" w:eastAsiaTheme="minorHAnsi" w:hAnsiTheme="minorHAnsi" w:cstheme="minorBidi"/>
          <w:b/>
          <w:bCs/>
          <w:sz w:val="20"/>
          <w:szCs w:val="20"/>
        </w:rPr>
        <w:t xml:space="preserve">: </w:t>
      </w:r>
      <w:r w:rsidRPr="00105FFC">
        <w:rPr>
          <w:rFonts w:asciiTheme="minorHAnsi" w:eastAsiaTheme="minorHAnsi" w:hAnsiTheme="minorHAnsi" w:cstheme="minorBidi"/>
          <w:bCs/>
          <w:sz w:val="20"/>
          <w:szCs w:val="20"/>
        </w:rPr>
        <w:t>Total Medi-Cal Participating Specialist Providers in SFY 2014-15, by Service Setting and Geographic Region</w:t>
      </w:r>
      <w:bookmarkEnd w:id="365"/>
      <w:bookmarkEnd w:id="366"/>
    </w:p>
    <w:tbl>
      <w:tblPr>
        <w:tblW w:w="0" w:type="auto"/>
        <w:tblInd w:w="93" w:type="dxa"/>
        <w:tblLook w:val="04A0" w:firstRow="1" w:lastRow="0" w:firstColumn="1" w:lastColumn="0" w:noHBand="0" w:noVBand="1"/>
      </w:tblPr>
      <w:tblGrid>
        <w:gridCol w:w="2005"/>
        <w:gridCol w:w="2188"/>
        <w:gridCol w:w="1711"/>
        <w:gridCol w:w="1863"/>
        <w:gridCol w:w="775"/>
        <w:gridCol w:w="700"/>
      </w:tblGrid>
      <w:tr w:rsidR="00164521" w:rsidRPr="00105FFC" w14:paraId="4BF1DC26" w14:textId="77777777" w:rsidTr="00774675">
        <w:trPr>
          <w:trHeight w:val="300"/>
        </w:trPr>
        <w:tc>
          <w:tcPr>
            <w:tcW w:w="0" w:type="auto"/>
            <w:gridSpan w:val="6"/>
            <w:tcBorders>
              <w:top w:val="nil"/>
              <w:left w:val="single" w:sz="4" w:space="0" w:color="auto"/>
              <w:bottom w:val="single" w:sz="4" w:space="0" w:color="auto"/>
              <w:right w:val="nil"/>
            </w:tcBorders>
            <w:shd w:val="clear" w:color="000000" w:fill="000000"/>
            <w:noWrap/>
            <w:vAlign w:val="center"/>
            <w:hideMark/>
          </w:tcPr>
          <w:p w14:paraId="3FE193DA" w14:textId="77777777" w:rsidR="00164521" w:rsidRPr="00105FFC" w:rsidRDefault="00164521" w:rsidP="00774675">
            <w:pPr>
              <w:jc w:val="center"/>
              <w:rPr>
                <w:rFonts w:asciiTheme="minorHAnsi" w:hAnsiTheme="minorHAnsi"/>
                <w:b/>
                <w:bCs/>
                <w:color w:val="FFFFFF"/>
                <w:sz w:val="20"/>
                <w:szCs w:val="20"/>
              </w:rPr>
            </w:pPr>
            <w:r w:rsidRPr="00105FFC">
              <w:rPr>
                <w:rFonts w:asciiTheme="minorHAnsi" w:hAnsiTheme="minorHAnsi"/>
                <w:b/>
                <w:bCs/>
                <w:color w:val="FFFFFF"/>
                <w:sz w:val="20"/>
                <w:szCs w:val="20"/>
              </w:rPr>
              <w:t>Specialist Providers</w:t>
            </w:r>
          </w:p>
        </w:tc>
      </w:tr>
      <w:tr w:rsidR="00164521" w:rsidRPr="00105FFC" w14:paraId="09241D73" w14:textId="77777777" w:rsidTr="0077467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897825C"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0770D420"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Emergency Department</w:t>
            </w:r>
          </w:p>
        </w:tc>
        <w:tc>
          <w:tcPr>
            <w:tcW w:w="0" w:type="auto"/>
            <w:tcBorders>
              <w:top w:val="nil"/>
              <w:left w:val="nil"/>
              <w:bottom w:val="single" w:sz="4" w:space="0" w:color="auto"/>
              <w:right w:val="single" w:sz="4" w:space="0" w:color="auto"/>
            </w:tcBorders>
            <w:shd w:val="clear" w:color="000000" w:fill="F2F2F2"/>
            <w:noWrap/>
            <w:vAlign w:val="center"/>
            <w:hideMark/>
          </w:tcPr>
          <w:p w14:paraId="0E8674CB"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Inpatient</w:t>
            </w:r>
          </w:p>
        </w:tc>
        <w:tc>
          <w:tcPr>
            <w:tcW w:w="0" w:type="auto"/>
            <w:tcBorders>
              <w:top w:val="nil"/>
              <w:left w:val="nil"/>
              <w:bottom w:val="single" w:sz="4" w:space="0" w:color="auto"/>
              <w:right w:val="single" w:sz="4" w:space="0" w:color="auto"/>
            </w:tcBorders>
            <w:shd w:val="clear" w:color="000000" w:fill="F2F2F2"/>
            <w:noWrap/>
            <w:vAlign w:val="center"/>
            <w:hideMark/>
          </w:tcPr>
          <w:p w14:paraId="573B46D1"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Outpatient</w:t>
            </w:r>
          </w:p>
        </w:tc>
        <w:tc>
          <w:tcPr>
            <w:tcW w:w="0" w:type="auto"/>
            <w:tcBorders>
              <w:top w:val="nil"/>
              <w:left w:val="nil"/>
              <w:bottom w:val="single" w:sz="4" w:space="0" w:color="auto"/>
              <w:right w:val="single" w:sz="4" w:space="0" w:color="auto"/>
            </w:tcBorders>
            <w:shd w:val="clear" w:color="000000" w:fill="F2F2F2"/>
            <w:noWrap/>
            <w:vAlign w:val="center"/>
            <w:hideMark/>
          </w:tcPr>
          <w:p w14:paraId="1818AD2D"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Clinics</w:t>
            </w:r>
          </w:p>
        </w:tc>
        <w:tc>
          <w:tcPr>
            <w:tcW w:w="0" w:type="auto"/>
            <w:tcBorders>
              <w:top w:val="nil"/>
              <w:left w:val="nil"/>
              <w:bottom w:val="single" w:sz="4" w:space="0" w:color="auto"/>
              <w:right w:val="single" w:sz="4" w:space="0" w:color="auto"/>
            </w:tcBorders>
            <w:shd w:val="clear" w:color="000000" w:fill="F2F2F2"/>
            <w:noWrap/>
            <w:vAlign w:val="center"/>
            <w:hideMark/>
          </w:tcPr>
          <w:p w14:paraId="05B84462"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Other</w:t>
            </w:r>
          </w:p>
        </w:tc>
      </w:tr>
      <w:tr w:rsidR="00164521" w:rsidRPr="00105FFC" w14:paraId="6739A882" w14:textId="77777777" w:rsidTr="00774675">
        <w:trPr>
          <w:trHeight w:val="300"/>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498A80F2"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61819848"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8,764</w:t>
            </w:r>
          </w:p>
        </w:tc>
        <w:tc>
          <w:tcPr>
            <w:tcW w:w="0" w:type="auto"/>
            <w:tcBorders>
              <w:top w:val="nil"/>
              <w:left w:val="nil"/>
              <w:bottom w:val="single" w:sz="4" w:space="0" w:color="auto"/>
              <w:right w:val="single" w:sz="4" w:space="0" w:color="auto"/>
            </w:tcBorders>
            <w:shd w:val="clear" w:color="000000" w:fill="EBF1DE"/>
            <w:noWrap/>
            <w:vAlign w:val="center"/>
            <w:hideMark/>
          </w:tcPr>
          <w:p w14:paraId="43BBF03A"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24,801</w:t>
            </w:r>
          </w:p>
        </w:tc>
        <w:tc>
          <w:tcPr>
            <w:tcW w:w="0" w:type="auto"/>
            <w:tcBorders>
              <w:top w:val="nil"/>
              <w:left w:val="nil"/>
              <w:bottom w:val="single" w:sz="4" w:space="0" w:color="auto"/>
              <w:right w:val="single" w:sz="4" w:space="0" w:color="auto"/>
            </w:tcBorders>
            <w:shd w:val="clear" w:color="000000" w:fill="EBF1DE"/>
            <w:noWrap/>
            <w:vAlign w:val="center"/>
            <w:hideMark/>
          </w:tcPr>
          <w:p w14:paraId="1BFBB465"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23,209</w:t>
            </w:r>
          </w:p>
        </w:tc>
        <w:tc>
          <w:tcPr>
            <w:tcW w:w="0" w:type="auto"/>
            <w:tcBorders>
              <w:top w:val="nil"/>
              <w:left w:val="nil"/>
              <w:bottom w:val="single" w:sz="4" w:space="0" w:color="auto"/>
              <w:right w:val="single" w:sz="4" w:space="0" w:color="auto"/>
            </w:tcBorders>
            <w:shd w:val="clear" w:color="000000" w:fill="EBF1DE"/>
            <w:noWrap/>
            <w:vAlign w:val="center"/>
            <w:hideMark/>
          </w:tcPr>
          <w:p w14:paraId="22443992"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22,982</w:t>
            </w:r>
          </w:p>
        </w:tc>
        <w:tc>
          <w:tcPr>
            <w:tcW w:w="0" w:type="auto"/>
            <w:tcBorders>
              <w:top w:val="nil"/>
              <w:left w:val="nil"/>
              <w:bottom w:val="single" w:sz="4" w:space="0" w:color="auto"/>
              <w:right w:val="single" w:sz="4" w:space="0" w:color="auto"/>
            </w:tcBorders>
            <w:shd w:val="clear" w:color="000000" w:fill="EBF1DE"/>
            <w:noWrap/>
            <w:vAlign w:val="center"/>
            <w:hideMark/>
          </w:tcPr>
          <w:p w14:paraId="2E615654" w14:textId="77777777" w:rsidR="00164521" w:rsidRPr="00105FFC" w:rsidRDefault="00164521"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6,222</w:t>
            </w:r>
          </w:p>
        </w:tc>
      </w:tr>
      <w:tr w:rsidR="00164521" w:rsidRPr="00105FFC" w14:paraId="0032DFDF"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274D2"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3B485DDA"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1,949</w:t>
            </w:r>
          </w:p>
        </w:tc>
        <w:tc>
          <w:tcPr>
            <w:tcW w:w="0" w:type="auto"/>
            <w:tcBorders>
              <w:top w:val="nil"/>
              <w:left w:val="nil"/>
              <w:bottom w:val="single" w:sz="4" w:space="0" w:color="auto"/>
              <w:right w:val="single" w:sz="4" w:space="0" w:color="auto"/>
            </w:tcBorders>
            <w:shd w:val="clear" w:color="auto" w:fill="auto"/>
            <w:noWrap/>
            <w:vAlign w:val="center"/>
            <w:hideMark/>
          </w:tcPr>
          <w:p w14:paraId="62454B8F"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5,634</w:t>
            </w:r>
          </w:p>
        </w:tc>
        <w:tc>
          <w:tcPr>
            <w:tcW w:w="0" w:type="auto"/>
            <w:tcBorders>
              <w:top w:val="nil"/>
              <w:left w:val="nil"/>
              <w:bottom w:val="single" w:sz="4" w:space="0" w:color="auto"/>
              <w:right w:val="single" w:sz="4" w:space="0" w:color="auto"/>
            </w:tcBorders>
            <w:shd w:val="clear" w:color="auto" w:fill="auto"/>
            <w:noWrap/>
            <w:vAlign w:val="center"/>
            <w:hideMark/>
          </w:tcPr>
          <w:p w14:paraId="1770A536"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5,769</w:t>
            </w:r>
          </w:p>
        </w:tc>
        <w:tc>
          <w:tcPr>
            <w:tcW w:w="0" w:type="auto"/>
            <w:tcBorders>
              <w:top w:val="nil"/>
              <w:left w:val="nil"/>
              <w:bottom w:val="single" w:sz="4" w:space="0" w:color="auto"/>
              <w:right w:val="single" w:sz="4" w:space="0" w:color="auto"/>
            </w:tcBorders>
            <w:shd w:val="clear" w:color="auto" w:fill="auto"/>
            <w:noWrap/>
            <w:vAlign w:val="center"/>
            <w:hideMark/>
          </w:tcPr>
          <w:p w14:paraId="577ED08C"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5,029</w:t>
            </w:r>
          </w:p>
        </w:tc>
        <w:tc>
          <w:tcPr>
            <w:tcW w:w="0" w:type="auto"/>
            <w:tcBorders>
              <w:top w:val="nil"/>
              <w:left w:val="nil"/>
              <w:bottom w:val="single" w:sz="4" w:space="0" w:color="auto"/>
              <w:right w:val="single" w:sz="4" w:space="0" w:color="auto"/>
            </w:tcBorders>
            <w:shd w:val="clear" w:color="auto" w:fill="auto"/>
            <w:noWrap/>
            <w:vAlign w:val="center"/>
            <w:hideMark/>
          </w:tcPr>
          <w:p w14:paraId="37137316"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801</w:t>
            </w:r>
          </w:p>
        </w:tc>
      </w:tr>
      <w:tr w:rsidR="00164521" w:rsidRPr="00105FFC" w14:paraId="5F09513B"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32F6D"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6CFF3207"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495</w:t>
            </w:r>
          </w:p>
        </w:tc>
        <w:tc>
          <w:tcPr>
            <w:tcW w:w="0" w:type="auto"/>
            <w:tcBorders>
              <w:top w:val="nil"/>
              <w:left w:val="nil"/>
              <w:bottom w:val="single" w:sz="4" w:space="0" w:color="auto"/>
              <w:right w:val="single" w:sz="4" w:space="0" w:color="auto"/>
            </w:tcBorders>
            <w:shd w:val="clear" w:color="auto" w:fill="auto"/>
            <w:noWrap/>
            <w:vAlign w:val="center"/>
            <w:hideMark/>
          </w:tcPr>
          <w:p w14:paraId="152F1F12"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1,294</w:t>
            </w:r>
          </w:p>
        </w:tc>
        <w:tc>
          <w:tcPr>
            <w:tcW w:w="0" w:type="auto"/>
            <w:tcBorders>
              <w:top w:val="nil"/>
              <w:left w:val="nil"/>
              <w:bottom w:val="single" w:sz="4" w:space="0" w:color="auto"/>
              <w:right w:val="single" w:sz="4" w:space="0" w:color="auto"/>
            </w:tcBorders>
            <w:shd w:val="clear" w:color="auto" w:fill="auto"/>
            <w:noWrap/>
            <w:vAlign w:val="center"/>
            <w:hideMark/>
          </w:tcPr>
          <w:p w14:paraId="4BC7B800"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1,168</w:t>
            </w:r>
          </w:p>
        </w:tc>
        <w:tc>
          <w:tcPr>
            <w:tcW w:w="0" w:type="auto"/>
            <w:tcBorders>
              <w:top w:val="nil"/>
              <w:left w:val="nil"/>
              <w:bottom w:val="single" w:sz="4" w:space="0" w:color="auto"/>
              <w:right w:val="single" w:sz="4" w:space="0" w:color="auto"/>
            </w:tcBorders>
            <w:shd w:val="clear" w:color="auto" w:fill="auto"/>
            <w:noWrap/>
            <w:vAlign w:val="center"/>
            <w:hideMark/>
          </w:tcPr>
          <w:p w14:paraId="47EAB642"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1,224</w:t>
            </w:r>
          </w:p>
        </w:tc>
        <w:tc>
          <w:tcPr>
            <w:tcW w:w="0" w:type="auto"/>
            <w:tcBorders>
              <w:top w:val="nil"/>
              <w:left w:val="nil"/>
              <w:bottom w:val="single" w:sz="4" w:space="0" w:color="auto"/>
              <w:right w:val="single" w:sz="4" w:space="0" w:color="auto"/>
            </w:tcBorders>
            <w:shd w:val="clear" w:color="auto" w:fill="auto"/>
            <w:noWrap/>
            <w:vAlign w:val="center"/>
            <w:hideMark/>
          </w:tcPr>
          <w:p w14:paraId="125EEF26"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252</w:t>
            </w:r>
          </w:p>
        </w:tc>
      </w:tr>
      <w:tr w:rsidR="00164521" w:rsidRPr="00105FFC" w14:paraId="4D76D293"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E28C4"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19EEA300"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958</w:t>
            </w:r>
          </w:p>
        </w:tc>
        <w:tc>
          <w:tcPr>
            <w:tcW w:w="0" w:type="auto"/>
            <w:tcBorders>
              <w:top w:val="nil"/>
              <w:left w:val="nil"/>
              <w:bottom w:val="single" w:sz="4" w:space="0" w:color="auto"/>
              <w:right w:val="single" w:sz="4" w:space="0" w:color="auto"/>
            </w:tcBorders>
            <w:shd w:val="clear" w:color="auto" w:fill="auto"/>
            <w:noWrap/>
            <w:vAlign w:val="center"/>
            <w:hideMark/>
          </w:tcPr>
          <w:p w14:paraId="72EFE886"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2,300</w:t>
            </w:r>
          </w:p>
        </w:tc>
        <w:tc>
          <w:tcPr>
            <w:tcW w:w="0" w:type="auto"/>
            <w:tcBorders>
              <w:top w:val="nil"/>
              <w:left w:val="nil"/>
              <w:bottom w:val="single" w:sz="4" w:space="0" w:color="auto"/>
              <w:right w:val="single" w:sz="4" w:space="0" w:color="auto"/>
            </w:tcBorders>
            <w:shd w:val="clear" w:color="auto" w:fill="auto"/>
            <w:noWrap/>
            <w:vAlign w:val="center"/>
            <w:hideMark/>
          </w:tcPr>
          <w:p w14:paraId="78B85F5A"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2,391</w:t>
            </w:r>
          </w:p>
        </w:tc>
        <w:tc>
          <w:tcPr>
            <w:tcW w:w="0" w:type="auto"/>
            <w:tcBorders>
              <w:top w:val="nil"/>
              <w:left w:val="nil"/>
              <w:bottom w:val="single" w:sz="4" w:space="0" w:color="auto"/>
              <w:right w:val="single" w:sz="4" w:space="0" w:color="auto"/>
            </w:tcBorders>
            <w:shd w:val="clear" w:color="auto" w:fill="auto"/>
            <w:noWrap/>
            <w:vAlign w:val="center"/>
            <w:hideMark/>
          </w:tcPr>
          <w:p w14:paraId="542EF781"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2,908</w:t>
            </w:r>
          </w:p>
        </w:tc>
        <w:tc>
          <w:tcPr>
            <w:tcW w:w="0" w:type="auto"/>
            <w:tcBorders>
              <w:top w:val="nil"/>
              <w:left w:val="nil"/>
              <w:bottom w:val="single" w:sz="4" w:space="0" w:color="auto"/>
              <w:right w:val="single" w:sz="4" w:space="0" w:color="auto"/>
            </w:tcBorders>
            <w:shd w:val="clear" w:color="auto" w:fill="auto"/>
            <w:noWrap/>
            <w:vAlign w:val="center"/>
            <w:hideMark/>
          </w:tcPr>
          <w:p w14:paraId="28D9FACA"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745</w:t>
            </w:r>
          </w:p>
        </w:tc>
      </w:tr>
      <w:tr w:rsidR="00164521" w:rsidRPr="00105FFC" w14:paraId="17241C51"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793E45"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6056DA58"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67</w:t>
            </w:r>
          </w:p>
        </w:tc>
        <w:tc>
          <w:tcPr>
            <w:tcW w:w="0" w:type="auto"/>
            <w:tcBorders>
              <w:top w:val="nil"/>
              <w:left w:val="nil"/>
              <w:bottom w:val="single" w:sz="4" w:space="0" w:color="auto"/>
              <w:right w:val="single" w:sz="4" w:space="0" w:color="auto"/>
            </w:tcBorders>
            <w:shd w:val="clear" w:color="auto" w:fill="auto"/>
            <w:noWrap/>
            <w:vAlign w:val="center"/>
            <w:hideMark/>
          </w:tcPr>
          <w:p w14:paraId="7F0356C7"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164</w:t>
            </w:r>
          </w:p>
        </w:tc>
        <w:tc>
          <w:tcPr>
            <w:tcW w:w="0" w:type="auto"/>
            <w:tcBorders>
              <w:top w:val="nil"/>
              <w:left w:val="nil"/>
              <w:bottom w:val="single" w:sz="4" w:space="0" w:color="auto"/>
              <w:right w:val="single" w:sz="4" w:space="0" w:color="auto"/>
            </w:tcBorders>
            <w:shd w:val="clear" w:color="auto" w:fill="auto"/>
            <w:noWrap/>
            <w:vAlign w:val="center"/>
            <w:hideMark/>
          </w:tcPr>
          <w:p w14:paraId="3E251750"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173</w:t>
            </w:r>
          </w:p>
        </w:tc>
        <w:tc>
          <w:tcPr>
            <w:tcW w:w="0" w:type="auto"/>
            <w:tcBorders>
              <w:top w:val="nil"/>
              <w:left w:val="nil"/>
              <w:bottom w:val="single" w:sz="4" w:space="0" w:color="auto"/>
              <w:right w:val="single" w:sz="4" w:space="0" w:color="auto"/>
            </w:tcBorders>
            <w:shd w:val="clear" w:color="auto" w:fill="auto"/>
            <w:noWrap/>
            <w:vAlign w:val="center"/>
            <w:hideMark/>
          </w:tcPr>
          <w:p w14:paraId="2FFC3E31"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185</w:t>
            </w:r>
          </w:p>
        </w:tc>
        <w:tc>
          <w:tcPr>
            <w:tcW w:w="0" w:type="auto"/>
            <w:tcBorders>
              <w:top w:val="nil"/>
              <w:left w:val="nil"/>
              <w:bottom w:val="single" w:sz="4" w:space="0" w:color="auto"/>
              <w:right w:val="single" w:sz="4" w:space="0" w:color="auto"/>
            </w:tcBorders>
            <w:shd w:val="clear" w:color="auto" w:fill="auto"/>
            <w:noWrap/>
            <w:vAlign w:val="center"/>
            <w:hideMark/>
          </w:tcPr>
          <w:p w14:paraId="7AEAA761"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39</w:t>
            </w:r>
          </w:p>
        </w:tc>
      </w:tr>
      <w:tr w:rsidR="00164521" w:rsidRPr="00105FFC" w14:paraId="4EF49897"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5F0E70"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5CB9D5AC"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2,052</w:t>
            </w:r>
          </w:p>
        </w:tc>
        <w:tc>
          <w:tcPr>
            <w:tcW w:w="0" w:type="auto"/>
            <w:tcBorders>
              <w:top w:val="nil"/>
              <w:left w:val="nil"/>
              <w:bottom w:val="single" w:sz="4" w:space="0" w:color="auto"/>
              <w:right w:val="single" w:sz="4" w:space="0" w:color="auto"/>
            </w:tcBorders>
            <w:shd w:val="clear" w:color="auto" w:fill="auto"/>
            <w:noWrap/>
            <w:vAlign w:val="center"/>
            <w:hideMark/>
          </w:tcPr>
          <w:p w14:paraId="60471268"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7,203</w:t>
            </w:r>
          </w:p>
        </w:tc>
        <w:tc>
          <w:tcPr>
            <w:tcW w:w="0" w:type="auto"/>
            <w:tcBorders>
              <w:top w:val="nil"/>
              <w:left w:val="nil"/>
              <w:bottom w:val="single" w:sz="4" w:space="0" w:color="auto"/>
              <w:right w:val="single" w:sz="4" w:space="0" w:color="auto"/>
            </w:tcBorders>
            <w:shd w:val="clear" w:color="auto" w:fill="auto"/>
            <w:noWrap/>
            <w:vAlign w:val="center"/>
            <w:hideMark/>
          </w:tcPr>
          <w:p w14:paraId="219A0157"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6,225</w:t>
            </w:r>
          </w:p>
        </w:tc>
        <w:tc>
          <w:tcPr>
            <w:tcW w:w="0" w:type="auto"/>
            <w:tcBorders>
              <w:top w:val="nil"/>
              <w:left w:val="nil"/>
              <w:bottom w:val="single" w:sz="4" w:space="0" w:color="auto"/>
              <w:right w:val="single" w:sz="4" w:space="0" w:color="auto"/>
            </w:tcBorders>
            <w:shd w:val="clear" w:color="auto" w:fill="auto"/>
            <w:noWrap/>
            <w:vAlign w:val="center"/>
            <w:hideMark/>
          </w:tcPr>
          <w:p w14:paraId="2C322D1D"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6,447</w:t>
            </w:r>
          </w:p>
        </w:tc>
        <w:tc>
          <w:tcPr>
            <w:tcW w:w="0" w:type="auto"/>
            <w:tcBorders>
              <w:top w:val="nil"/>
              <w:left w:val="nil"/>
              <w:bottom w:val="single" w:sz="4" w:space="0" w:color="auto"/>
              <w:right w:val="single" w:sz="4" w:space="0" w:color="auto"/>
            </w:tcBorders>
            <w:shd w:val="clear" w:color="auto" w:fill="auto"/>
            <w:noWrap/>
            <w:vAlign w:val="center"/>
            <w:hideMark/>
          </w:tcPr>
          <w:p w14:paraId="1BF98874"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2,388</w:t>
            </w:r>
          </w:p>
        </w:tc>
      </w:tr>
      <w:tr w:rsidR="00164521" w:rsidRPr="00105FFC" w14:paraId="6013D393"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EB984"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366FBC91"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85</w:t>
            </w:r>
          </w:p>
        </w:tc>
        <w:tc>
          <w:tcPr>
            <w:tcW w:w="0" w:type="auto"/>
            <w:tcBorders>
              <w:top w:val="nil"/>
              <w:left w:val="nil"/>
              <w:bottom w:val="single" w:sz="4" w:space="0" w:color="auto"/>
              <w:right w:val="single" w:sz="4" w:space="0" w:color="auto"/>
            </w:tcBorders>
            <w:shd w:val="clear" w:color="auto" w:fill="auto"/>
            <w:noWrap/>
            <w:vAlign w:val="center"/>
            <w:hideMark/>
          </w:tcPr>
          <w:p w14:paraId="77A1E8AE"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168</w:t>
            </w:r>
          </w:p>
        </w:tc>
        <w:tc>
          <w:tcPr>
            <w:tcW w:w="0" w:type="auto"/>
            <w:tcBorders>
              <w:top w:val="nil"/>
              <w:left w:val="nil"/>
              <w:bottom w:val="single" w:sz="4" w:space="0" w:color="auto"/>
              <w:right w:val="single" w:sz="4" w:space="0" w:color="auto"/>
            </w:tcBorders>
            <w:shd w:val="clear" w:color="auto" w:fill="auto"/>
            <w:noWrap/>
            <w:vAlign w:val="center"/>
            <w:hideMark/>
          </w:tcPr>
          <w:p w14:paraId="19684B88"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237</w:t>
            </w:r>
          </w:p>
        </w:tc>
        <w:tc>
          <w:tcPr>
            <w:tcW w:w="0" w:type="auto"/>
            <w:tcBorders>
              <w:top w:val="nil"/>
              <w:left w:val="nil"/>
              <w:bottom w:val="single" w:sz="4" w:space="0" w:color="auto"/>
              <w:right w:val="single" w:sz="4" w:space="0" w:color="auto"/>
            </w:tcBorders>
            <w:shd w:val="clear" w:color="auto" w:fill="auto"/>
            <w:noWrap/>
            <w:vAlign w:val="center"/>
            <w:hideMark/>
          </w:tcPr>
          <w:p w14:paraId="51265EAC"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180</w:t>
            </w:r>
          </w:p>
        </w:tc>
        <w:tc>
          <w:tcPr>
            <w:tcW w:w="0" w:type="auto"/>
            <w:tcBorders>
              <w:top w:val="nil"/>
              <w:left w:val="nil"/>
              <w:bottom w:val="single" w:sz="4" w:space="0" w:color="auto"/>
              <w:right w:val="single" w:sz="4" w:space="0" w:color="auto"/>
            </w:tcBorders>
            <w:shd w:val="clear" w:color="auto" w:fill="auto"/>
            <w:noWrap/>
            <w:vAlign w:val="center"/>
            <w:hideMark/>
          </w:tcPr>
          <w:p w14:paraId="480AC426"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21</w:t>
            </w:r>
          </w:p>
        </w:tc>
      </w:tr>
      <w:tr w:rsidR="00164521" w:rsidRPr="00105FFC" w14:paraId="181D55DC"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88C36"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2417DD58"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706</w:t>
            </w:r>
          </w:p>
        </w:tc>
        <w:tc>
          <w:tcPr>
            <w:tcW w:w="0" w:type="auto"/>
            <w:tcBorders>
              <w:top w:val="nil"/>
              <w:left w:val="nil"/>
              <w:bottom w:val="single" w:sz="4" w:space="0" w:color="auto"/>
              <w:right w:val="single" w:sz="4" w:space="0" w:color="auto"/>
            </w:tcBorders>
            <w:shd w:val="clear" w:color="auto" w:fill="auto"/>
            <w:noWrap/>
            <w:vAlign w:val="center"/>
            <w:hideMark/>
          </w:tcPr>
          <w:p w14:paraId="429337D5"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1,909</w:t>
            </w:r>
          </w:p>
        </w:tc>
        <w:tc>
          <w:tcPr>
            <w:tcW w:w="0" w:type="auto"/>
            <w:tcBorders>
              <w:top w:val="nil"/>
              <w:left w:val="nil"/>
              <w:bottom w:val="single" w:sz="4" w:space="0" w:color="auto"/>
              <w:right w:val="single" w:sz="4" w:space="0" w:color="auto"/>
            </w:tcBorders>
            <w:shd w:val="clear" w:color="auto" w:fill="auto"/>
            <w:noWrap/>
            <w:vAlign w:val="center"/>
            <w:hideMark/>
          </w:tcPr>
          <w:p w14:paraId="24D1CF6E"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2,088</w:t>
            </w:r>
          </w:p>
        </w:tc>
        <w:tc>
          <w:tcPr>
            <w:tcW w:w="0" w:type="auto"/>
            <w:tcBorders>
              <w:top w:val="nil"/>
              <w:left w:val="nil"/>
              <w:bottom w:val="single" w:sz="4" w:space="0" w:color="auto"/>
              <w:right w:val="single" w:sz="4" w:space="0" w:color="auto"/>
            </w:tcBorders>
            <w:shd w:val="clear" w:color="auto" w:fill="auto"/>
            <w:noWrap/>
            <w:vAlign w:val="center"/>
            <w:hideMark/>
          </w:tcPr>
          <w:p w14:paraId="200F7BC4"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1,581</w:t>
            </w:r>
          </w:p>
        </w:tc>
        <w:tc>
          <w:tcPr>
            <w:tcW w:w="0" w:type="auto"/>
            <w:tcBorders>
              <w:top w:val="nil"/>
              <w:left w:val="nil"/>
              <w:bottom w:val="single" w:sz="4" w:space="0" w:color="auto"/>
              <w:right w:val="single" w:sz="4" w:space="0" w:color="auto"/>
            </w:tcBorders>
            <w:shd w:val="clear" w:color="auto" w:fill="auto"/>
            <w:noWrap/>
            <w:vAlign w:val="center"/>
            <w:hideMark/>
          </w:tcPr>
          <w:p w14:paraId="0D0BC8A7"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416</w:t>
            </w:r>
          </w:p>
        </w:tc>
      </w:tr>
      <w:tr w:rsidR="00164521" w:rsidRPr="00105FFC" w14:paraId="4F17DE20"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738C53"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43DB16DB"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369</w:t>
            </w:r>
          </w:p>
        </w:tc>
        <w:tc>
          <w:tcPr>
            <w:tcW w:w="0" w:type="auto"/>
            <w:tcBorders>
              <w:top w:val="nil"/>
              <w:left w:val="nil"/>
              <w:bottom w:val="single" w:sz="4" w:space="0" w:color="auto"/>
              <w:right w:val="single" w:sz="4" w:space="0" w:color="auto"/>
            </w:tcBorders>
            <w:shd w:val="clear" w:color="auto" w:fill="auto"/>
            <w:noWrap/>
            <w:vAlign w:val="center"/>
            <w:hideMark/>
          </w:tcPr>
          <w:p w14:paraId="4708AD12"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32E45964"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980</w:t>
            </w:r>
          </w:p>
        </w:tc>
        <w:tc>
          <w:tcPr>
            <w:tcW w:w="0" w:type="auto"/>
            <w:tcBorders>
              <w:top w:val="nil"/>
              <w:left w:val="nil"/>
              <w:bottom w:val="single" w:sz="4" w:space="0" w:color="auto"/>
              <w:right w:val="single" w:sz="4" w:space="0" w:color="auto"/>
            </w:tcBorders>
            <w:shd w:val="clear" w:color="auto" w:fill="auto"/>
            <w:noWrap/>
            <w:vAlign w:val="center"/>
            <w:hideMark/>
          </w:tcPr>
          <w:p w14:paraId="7D462099"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697</w:t>
            </w:r>
          </w:p>
        </w:tc>
        <w:tc>
          <w:tcPr>
            <w:tcW w:w="0" w:type="auto"/>
            <w:tcBorders>
              <w:top w:val="nil"/>
              <w:left w:val="nil"/>
              <w:bottom w:val="single" w:sz="4" w:space="0" w:color="auto"/>
              <w:right w:val="single" w:sz="4" w:space="0" w:color="auto"/>
            </w:tcBorders>
            <w:shd w:val="clear" w:color="auto" w:fill="auto"/>
            <w:noWrap/>
            <w:vAlign w:val="center"/>
            <w:hideMark/>
          </w:tcPr>
          <w:p w14:paraId="065D9488"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126</w:t>
            </w:r>
          </w:p>
        </w:tc>
      </w:tr>
      <w:tr w:rsidR="00164521" w:rsidRPr="00105FFC" w14:paraId="62B49EF7"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15EB8"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6C8BA4AA"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2,491</w:t>
            </w:r>
          </w:p>
        </w:tc>
        <w:tc>
          <w:tcPr>
            <w:tcW w:w="0" w:type="auto"/>
            <w:tcBorders>
              <w:top w:val="nil"/>
              <w:left w:val="nil"/>
              <w:bottom w:val="single" w:sz="4" w:space="0" w:color="auto"/>
              <w:right w:val="single" w:sz="4" w:space="0" w:color="auto"/>
            </w:tcBorders>
            <w:shd w:val="clear" w:color="auto" w:fill="auto"/>
            <w:noWrap/>
            <w:vAlign w:val="center"/>
            <w:hideMark/>
          </w:tcPr>
          <w:p w14:paraId="4438F635"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7,044</w:t>
            </w:r>
          </w:p>
        </w:tc>
        <w:tc>
          <w:tcPr>
            <w:tcW w:w="0" w:type="auto"/>
            <w:tcBorders>
              <w:top w:val="nil"/>
              <w:left w:val="nil"/>
              <w:bottom w:val="single" w:sz="4" w:space="0" w:color="auto"/>
              <w:right w:val="single" w:sz="4" w:space="0" w:color="auto"/>
            </w:tcBorders>
            <w:shd w:val="clear" w:color="auto" w:fill="auto"/>
            <w:noWrap/>
            <w:vAlign w:val="center"/>
            <w:hideMark/>
          </w:tcPr>
          <w:p w14:paraId="584A312F"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6,165</w:t>
            </w:r>
          </w:p>
        </w:tc>
        <w:tc>
          <w:tcPr>
            <w:tcW w:w="0" w:type="auto"/>
            <w:tcBorders>
              <w:top w:val="nil"/>
              <w:left w:val="nil"/>
              <w:bottom w:val="single" w:sz="4" w:space="0" w:color="auto"/>
              <w:right w:val="single" w:sz="4" w:space="0" w:color="auto"/>
            </w:tcBorders>
            <w:shd w:val="clear" w:color="auto" w:fill="auto"/>
            <w:noWrap/>
            <w:vAlign w:val="center"/>
            <w:hideMark/>
          </w:tcPr>
          <w:p w14:paraId="314DC16D"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6,068</w:t>
            </w:r>
          </w:p>
        </w:tc>
        <w:tc>
          <w:tcPr>
            <w:tcW w:w="0" w:type="auto"/>
            <w:tcBorders>
              <w:top w:val="nil"/>
              <w:left w:val="nil"/>
              <w:bottom w:val="single" w:sz="4" w:space="0" w:color="auto"/>
              <w:right w:val="single" w:sz="4" w:space="0" w:color="auto"/>
            </w:tcBorders>
            <w:shd w:val="clear" w:color="auto" w:fill="auto"/>
            <w:noWrap/>
            <w:vAlign w:val="center"/>
            <w:hideMark/>
          </w:tcPr>
          <w:p w14:paraId="0F0234EA" w14:textId="77777777" w:rsidR="00164521" w:rsidRPr="00105FFC" w:rsidRDefault="00164521" w:rsidP="00774675">
            <w:pPr>
              <w:jc w:val="center"/>
              <w:rPr>
                <w:rFonts w:asciiTheme="minorHAnsi" w:hAnsiTheme="minorHAnsi"/>
                <w:color w:val="000000"/>
                <w:sz w:val="20"/>
                <w:szCs w:val="20"/>
              </w:rPr>
            </w:pPr>
            <w:r w:rsidRPr="00105FFC">
              <w:rPr>
                <w:rFonts w:asciiTheme="minorHAnsi" w:hAnsiTheme="minorHAnsi"/>
                <w:color w:val="000000"/>
                <w:sz w:val="20"/>
                <w:szCs w:val="20"/>
              </w:rPr>
              <w:t>1,788</w:t>
            </w:r>
          </w:p>
        </w:tc>
      </w:tr>
    </w:tbl>
    <w:p w14:paraId="46435F25" w14:textId="77777777" w:rsidR="00164521" w:rsidRPr="00105FFC" w:rsidRDefault="00164521" w:rsidP="00164521">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21A5DA1F" w14:textId="77777777" w:rsidR="00164521" w:rsidRPr="00105FFC" w:rsidRDefault="00164521" w:rsidP="00164521">
      <w:pPr>
        <w:pStyle w:val="Heading4"/>
        <w:spacing w:before="0" w:line="276" w:lineRule="auto"/>
      </w:pPr>
    </w:p>
    <w:p w14:paraId="72AD9C45" w14:textId="77777777" w:rsidR="00073BFC" w:rsidRPr="00105FFC" w:rsidRDefault="00073BFC" w:rsidP="00802F4A">
      <w:pPr>
        <w:pStyle w:val="Heading4"/>
        <w:spacing w:before="0" w:after="120" w:line="276" w:lineRule="auto"/>
      </w:pPr>
      <w:r w:rsidRPr="00105FFC">
        <w:t>Behavioral Health Providers</w:t>
      </w:r>
    </w:p>
    <w:p w14:paraId="0950E813" w14:textId="77777777" w:rsidR="002960F7" w:rsidRPr="00105FFC" w:rsidRDefault="00073BFC" w:rsidP="00073BFC">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Behavioral Health providers include physicians, physician groups, and other non-physician providers</w:t>
      </w:r>
      <w:r w:rsidR="007165C6" w:rsidRPr="00105FFC">
        <w:rPr>
          <w:rFonts w:asciiTheme="minorHAnsi" w:eastAsiaTheme="minorHAnsi" w:hAnsiTheme="minorHAnsi" w:cstheme="minorBidi"/>
        </w:rPr>
        <w:t xml:space="preserve"> such as psychologists</w:t>
      </w:r>
      <w:r w:rsidRPr="00105FFC">
        <w:rPr>
          <w:rFonts w:asciiTheme="minorHAnsi" w:eastAsiaTheme="minorHAnsi" w:hAnsiTheme="minorHAnsi" w:cstheme="minorBidi"/>
        </w:rPr>
        <w:t xml:space="preserve">. Statewide during SFY 2013-14, there were 863 Behavioral Health providers that provided services to Medi-Cal beneficiaries, compared to 1,002 during SFY 2014-15. The geographic region with the largest number of participating Behavioral Health providers was Los Angeles, with 247 providers during SFY 2013-14 and 282 during SFY 2014-15. The geographic regions with the next-largest number of participating Behavioral Health providers were the Bay Area, with 217 participating providers during SFY 2013-14 and 263 during SFY 2014-15; and Southern California, with 197 participating providers during SFY 2013-14 and 253 during SFY 2014-15 (Tables </w:t>
      </w:r>
      <w:r w:rsidR="000468AD" w:rsidRPr="00105FFC">
        <w:rPr>
          <w:rFonts w:asciiTheme="minorHAnsi" w:eastAsiaTheme="minorHAnsi" w:hAnsiTheme="minorHAnsi" w:cstheme="minorBidi"/>
        </w:rPr>
        <w:t>2</w:t>
      </w:r>
      <w:r w:rsidR="00581549" w:rsidRPr="00105FFC">
        <w:rPr>
          <w:rFonts w:asciiTheme="minorHAnsi" w:eastAsiaTheme="minorHAnsi" w:hAnsiTheme="minorHAnsi" w:cstheme="minorBidi"/>
        </w:rPr>
        <w:t>8</w:t>
      </w:r>
      <w:r w:rsidR="000468AD" w:rsidRPr="00105FFC">
        <w:rPr>
          <w:rFonts w:asciiTheme="minorHAnsi" w:eastAsiaTheme="minorHAnsi" w:hAnsiTheme="minorHAnsi" w:cstheme="minorBidi"/>
        </w:rPr>
        <w:t>-2</w:t>
      </w:r>
      <w:r w:rsidR="00581549" w:rsidRPr="00105FFC">
        <w:rPr>
          <w:rFonts w:asciiTheme="minorHAnsi" w:eastAsiaTheme="minorHAnsi" w:hAnsiTheme="minorHAnsi" w:cstheme="minorBidi"/>
        </w:rPr>
        <w:t>9</w:t>
      </w:r>
      <w:r w:rsidRPr="00105FFC">
        <w:rPr>
          <w:rFonts w:asciiTheme="minorHAnsi" w:eastAsiaTheme="minorHAnsi" w:hAnsiTheme="minorHAnsi" w:cstheme="minorBidi"/>
        </w:rPr>
        <w:t xml:space="preserve">; Figure </w:t>
      </w:r>
      <w:r w:rsidR="00E50DA6" w:rsidRPr="00105FFC">
        <w:rPr>
          <w:rFonts w:asciiTheme="minorHAnsi" w:eastAsiaTheme="minorHAnsi" w:hAnsiTheme="minorHAnsi" w:cstheme="minorBidi"/>
        </w:rPr>
        <w:t>3</w:t>
      </w:r>
      <w:r w:rsidR="000468AD" w:rsidRPr="00105FFC">
        <w:rPr>
          <w:rFonts w:asciiTheme="minorHAnsi" w:eastAsiaTheme="minorHAnsi" w:hAnsiTheme="minorHAnsi" w:cstheme="minorBidi"/>
        </w:rPr>
        <w:t>4</w:t>
      </w:r>
      <w:r w:rsidRPr="00105FFC">
        <w:rPr>
          <w:rFonts w:asciiTheme="minorHAnsi" w:eastAsiaTheme="minorHAnsi" w:hAnsiTheme="minorHAnsi" w:cstheme="minorBidi"/>
        </w:rPr>
        <w:t>).</w:t>
      </w:r>
      <w:r w:rsidR="008227BA" w:rsidRPr="00105FFC">
        <w:rPr>
          <w:rFonts w:asciiTheme="minorHAnsi" w:eastAsiaTheme="minorHAnsi" w:hAnsiTheme="minorHAnsi" w:cstheme="minorBidi"/>
        </w:rPr>
        <w:t xml:space="preserve">  It is important to note that given the delivery system structure in Medi-Cal that the FFS Medi-Cal delivery system is a very  minor component of the delivery system for behavioral health.  Mental health services are primarily delivered through a managed care delivery system, as noted earlier, County Mental Health plans are entirely responsible for specialty mental health services, and in addition, for mild to moderate metal health conditions Medi-Cal managed care plans have the responsibility for those services for managed care enrollees.  </w:t>
      </w:r>
    </w:p>
    <w:p w14:paraId="7FE3CEAE" w14:textId="77777777" w:rsidR="002960F7" w:rsidRPr="00105FFC" w:rsidRDefault="002960F7">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br w:type="page"/>
      </w:r>
    </w:p>
    <w:p w14:paraId="617CE8BD" w14:textId="77777777" w:rsidR="00073BFC" w:rsidRPr="00105FFC" w:rsidRDefault="001641BD" w:rsidP="00073BFC">
      <w:pPr>
        <w:rPr>
          <w:rFonts w:asciiTheme="minorHAnsi" w:eastAsiaTheme="minorHAnsi" w:hAnsiTheme="minorHAnsi" w:cstheme="minorBidi"/>
          <w:bCs/>
          <w:sz w:val="20"/>
          <w:szCs w:val="20"/>
        </w:rPr>
      </w:pPr>
      <w:bookmarkStart w:id="367" w:name="_Toc458783103"/>
      <w:bookmarkStart w:id="368" w:name="_Toc459285173"/>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28</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Total Medi-Cal Participating Behavioral Health Providers in SFY 2013-14, by Provider Sub-Group and Geographic Region</w:t>
      </w:r>
      <w:bookmarkEnd w:id="367"/>
      <w:bookmarkEnd w:id="368"/>
    </w:p>
    <w:tbl>
      <w:tblPr>
        <w:tblW w:w="0" w:type="auto"/>
        <w:tblInd w:w="93" w:type="dxa"/>
        <w:tblLook w:val="04A0" w:firstRow="1" w:lastRow="0" w:firstColumn="1" w:lastColumn="0" w:noHBand="0" w:noVBand="1"/>
      </w:tblPr>
      <w:tblGrid>
        <w:gridCol w:w="1836"/>
        <w:gridCol w:w="1355"/>
        <w:gridCol w:w="1416"/>
        <w:gridCol w:w="1929"/>
        <w:gridCol w:w="2947"/>
      </w:tblGrid>
      <w:tr w:rsidR="00073BFC" w:rsidRPr="00105FFC" w14:paraId="70DD19D3" w14:textId="77777777" w:rsidTr="000D6C4B">
        <w:trPr>
          <w:trHeight w:val="255"/>
        </w:trPr>
        <w:tc>
          <w:tcPr>
            <w:tcW w:w="0" w:type="auto"/>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0FF97A7F" w14:textId="77777777" w:rsidR="00073BFC" w:rsidRPr="00105FFC" w:rsidRDefault="00073BFC" w:rsidP="00073BFC">
            <w:pPr>
              <w:jc w:val="center"/>
              <w:rPr>
                <w:rFonts w:asciiTheme="minorHAnsi" w:hAnsiTheme="minorHAnsi"/>
                <w:b/>
                <w:bCs/>
                <w:color w:val="FFFFFF"/>
                <w:sz w:val="20"/>
                <w:szCs w:val="20"/>
              </w:rPr>
            </w:pPr>
            <w:r w:rsidRPr="00105FFC">
              <w:rPr>
                <w:rFonts w:asciiTheme="minorHAnsi" w:hAnsiTheme="minorHAnsi"/>
                <w:b/>
                <w:bCs/>
                <w:color w:val="FFFFFF"/>
                <w:sz w:val="20"/>
                <w:szCs w:val="20"/>
              </w:rPr>
              <w:t>Behavioral Health Providers</w:t>
            </w:r>
          </w:p>
        </w:tc>
      </w:tr>
      <w:tr w:rsidR="00073BFC" w:rsidRPr="00105FFC" w14:paraId="632D6D53"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D349CA0"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16699266"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Providers</w:t>
            </w:r>
          </w:p>
        </w:tc>
        <w:tc>
          <w:tcPr>
            <w:tcW w:w="0" w:type="auto"/>
            <w:tcBorders>
              <w:top w:val="nil"/>
              <w:left w:val="nil"/>
              <w:bottom w:val="single" w:sz="4" w:space="0" w:color="auto"/>
              <w:right w:val="single" w:sz="4" w:space="0" w:color="auto"/>
            </w:tcBorders>
            <w:shd w:val="clear" w:color="000000" w:fill="F2F2F2"/>
            <w:noWrap/>
            <w:vAlign w:val="center"/>
            <w:hideMark/>
          </w:tcPr>
          <w:p w14:paraId="6B2218A9"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Physicians</w:t>
            </w:r>
          </w:p>
        </w:tc>
        <w:tc>
          <w:tcPr>
            <w:tcW w:w="0" w:type="auto"/>
            <w:tcBorders>
              <w:top w:val="nil"/>
              <w:left w:val="nil"/>
              <w:bottom w:val="single" w:sz="4" w:space="0" w:color="auto"/>
              <w:right w:val="single" w:sz="4" w:space="0" w:color="auto"/>
            </w:tcBorders>
            <w:shd w:val="clear" w:color="000000" w:fill="F2F2F2"/>
            <w:noWrap/>
            <w:vAlign w:val="center"/>
            <w:hideMark/>
          </w:tcPr>
          <w:p w14:paraId="161901C9"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 Groups</w:t>
            </w:r>
          </w:p>
        </w:tc>
        <w:tc>
          <w:tcPr>
            <w:tcW w:w="0" w:type="auto"/>
            <w:tcBorders>
              <w:top w:val="nil"/>
              <w:left w:val="nil"/>
              <w:bottom w:val="single" w:sz="4" w:space="0" w:color="auto"/>
              <w:right w:val="single" w:sz="4" w:space="0" w:color="auto"/>
            </w:tcBorders>
            <w:shd w:val="clear" w:color="000000" w:fill="F2F2F2"/>
            <w:noWrap/>
            <w:vAlign w:val="center"/>
            <w:hideMark/>
          </w:tcPr>
          <w:p w14:paraId="58662F32"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Other Non-Physician Providers</w:t>
            </w:r>
          </w:p>
        </w:tc>
      </w:tr>
      <w:tr w:rsidR="00073BFC" w:rsidRPr="00105FFC" w14:paraId="7B81FA05"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60C7F306"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71C32044"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863</w:t>
            </w:r>
          </w:p>
        </w:tc>
        <w:tc>
          <w:tcPr>
            <w:tcW w:w="0" w:type="auto"/>
            <w:tcBorders>
              <w:top w:val="nil"/>
              <w:left w:val="nil"/>
              <w:bottom w:val="single" w:sz="4" w:space="0" w:color="auto"/>
              <w:right w:val="single" w:sz="4" w:space="0" w:color="auto"/>
            </w:tcBorders>
            <w:shd w:val="clear" w:color="000000" w:fill="EBF1DE"/>
            <w:noWrap/>
            <w:vAlign w:val="center"/>
            <w:hideMark/>
          </w:tcPr>
          <w:p w14:paraId="65B9D0E7"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581</w:t>
            </w:r>
          </w:p>
        </w:tc>
        <w:tc>
          <w:tcPr>
            <w:tcW w:w="0" w:type="auto"/>
            <w:tcBorders>
              <w:top w:val="nil"/>
              <w:left w:val="nil"/>
              <w:bottom w:val="single" w:sz="4" w:space="0" w:color="auto"/>
              <w:right w:val="single" w:sz="4" w:space="0" w:color="auto"/>
            </w:tcBorders>
            <w:shd w:val="clear" w:color="000000" w:fill="EBF1DE"/>
            <w:noWrap/>
            <w:vAlign w:val="center"/>
            <w:hideMark/>
          </w:tcPr>
          <w:p w14:paraId="24902608"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41</w:t>
            </w:r>
          </w:p>
        </w:tc>
        <w:tc>
          <w:tcPr>
            <w:tcW w:w="0" w:type="auto"/>
            <w:tcBorders>
              <w:top w:val="nil"/>
              <w:left w:val="nil"/>
              <w:bottom w:val="single" w:sz="4" w:space="0" w:color="auto"/>
              <w:right w:val="single" w:sz="4" w:space="0" w:color="auto"/>
            </w:tcBorders>
            <w:shd w:val="clear" w:color="000000" w:fill="EBF1DE"/>
            <w:noWrap/>
            <w:vAlign w:val="center"/>
            <w:hideMark/>
          </w:tcPr>
          <w:p w14:paraId="490FBAE7"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241</w:t>
            </w:r>
          </w:p>
        </w:tc>
      </w:tr>
      <w:tr w:rsidR="00073BFC" w:rsidRPr="00105FFC" w14:paraId="72C4CF89"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61844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6C1D932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217</w:t>
            </w:r>
          </w:p>
        </w:tc>
        <w:tc>
          <w:tcPr>
            <w:tcW w:w="0" w:type="auto"/>
            <w:tcBorders>
              <w:top w:val="nil"/>
              <w:left w:val="nil"/>
              <w:bottom w:val="single" w:sz="4" w:space="0" w:color="auto"/>
              <w:right w:val="single" w:sz="4" w:space="0" w:color="auto"/>
            </w:tcBorders>
            <w:shd w:val="clear" w:color="auto" w:fill="auto"/>
            <w:noWrap/>
            <w:vAlign w:val="center"/>
            <w:hideMark/>
          </w:tcPr>
          <w:p w14:paraId="45A331C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158</w:t>
            </w:r>
          </w:p>
        </w:tc>
        <w:tc>
          <w:tcPr>
            <w:tcW w:w="0" w:type="auto"/>
            <w:tcBorders>
              <w:top w:val="nil"/>
              <w:left w:val="nil"/>
              <w:bottom w:val="single" w:sz="4" w:space="0" w:color="auto"/>
              <w:right w:val="single" w:sz="4" w:space="0" w:color="auto"/>
            </w:tcBorders>
            <w:shd w:val="clear" w:color="auto" w:fill="auto"/>
            <w:noWrap/>
            <w:vAlign w:val="center"/>
            <w:hideMark/>
          </w:tcPr>
          <w:p w14:paraId="20BAA8B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14:paraId="33E852F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45</w:t>
            </w:r>
          </w:p>
        </w:tc>
      </w:tr>
      <w:tr w:rsidR="00073BFC" w:rsidRPr="00105FFC" w14:paraId="5A1BE79C"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5A9EE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468DC4A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14:paraId="47BD126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14:paraId="3B76EE6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5CA5A79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w:t>
            </w:r>
          </w:p>
        </w:tc>
      </w:tr>
      <w:tr w:rsidR="00073BFC" w:rsidRPr="00105FFC" w14:paraId="3DA73691"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9120A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099E0CA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83</w:t>
            </w:r>
          </w:p>
        </w:tc>
        <w:tc>
          <w:tcPr>
            <w:tcW w:w="0" w:type="auto"/>
            <w:tcBorders>
              <w:top w:val="nil"/>
              <w:left w:val="nil"/>
              <w:bottom w:val="single" w:sz="4" w:space="0" w:color="auto"/>
              <w:right w:val="single" w:sz="4" w:space="0" w:color="auto"/>
            </w:tcBorders>
            <w:shd w:val="clear" w:color="auto" w:fill="auto"/>
            <w:noWrap/>
            <w:vAlign w:val="center"/>
            <w:hideMark/>
          </w:tcPr>
          <w:p w14:paraId="0F58D4E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60</w:t>
            </w:r>
          </w:p>
        </w:tc>
        <w:tc>
          <w:tcPr>
            <w:tcW w:w="0" w:type="auto"/>
            <w:tcBorders>
              <w:top w:val="nil"/>
              <w:left w:val="nil"/>
              <w:bottom w:val="single" w:sz="4" w:space="0" w:color="auto"/>
              <w:right w:val="single" w:sz="4" w:space="0" w:color="auto"/>
            </w:tcBorders>
            <w:shd w:val="clear" w:color="auto" w:fill="auto"/>
            <w:noWrap/>
            <w:vAlign w:val="center"/>
            <w:hideMark/>
          </w:tcPr>
          <w:p w14:paraId="5DECD1D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613B5E8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w:t>
            </w:r>
          </w:p>
        </w:tc>
      </w:tr>
      <w:tr w:rsidR="00073BFC" w:rsidRPr="00105FFC" w14:paraId="6595AF23"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52F5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3D57090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14:paraId="4F034B1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4C652FA9" w14:textId="77777777" w:rsidR="00073BFC" w:rsidRPr="00105FFC" w:rsidRDefault="00073BFC" w:rsidP="00073BFC">
            <w:pPr>
              <w:jc w:val="center"/>
              <w:rPr>
                <w:rFonts w:asciiTheme="minorHAnsi" w:hAnsiTheme="minorHAns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0E252F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r>
      <w:tr w:rsidR="00073BFC" w:rsidRPr="00105FFC" w14:paraId="13EA1EDE"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CB0A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76C1AF7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247</w:t>
            </w:r>
          </w:p>
        </w:tc>
        <w:tc>
          <w:tcPr>
            <w:tcW w:w="0" w:type="auto"/>
            <w:tcBorders>
              <w:top w:val="nil"/>
              <w:left w:val="nil"/>
              <w:bottom w:val="single" w:sz="4" w:space="0" w:color="auto"/>
              <w:right w:val="single" w:sz="4" w:space="0" w:color="auto"/>
            </w:tcBorders>
            <w:shd w:val="clear" w:color="auto" w:fill="auto"/>
            <w:noWrap/>
            <w:vAlign w:val="center"/>
            <w:hideMark/>
          </w:tcPr>
          <w:p w14:paraId="7F7535E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145</w:t>
            </w:r>
          </w:p>
        </w:tc>
        <w:tc>
          <w:tcPr>
            <w:tcW w:w="0" w:type="auto"/>
            <w:tcBorders>
              <w:top w:val="nil"/>
              <w:left w:val="nil"/>
              <w:bottom w:val="single" w:sz="4" w:space="0" w:color="auto"/>
              <w:right w:val="single" w:sz="4" w:space="0" w:color="auto"/>
            </w:tcBorders>
            <w:shd w:val="clear" w:color="auto" w:fill="auto"/>
            <w:noWrap/>
            <w:vAlign w:val="center"/>
            <w:hideMark/>
          </w:tcPr>
          <w:p w14:paraId="4EA2D33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14:paraId="578E94A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86</w:t>
            </w:r>
          </w:p>
        </w:tc>
      </w:tr>
      <w:tr w:rsidR="00073BFC" w:rsidRPr="00105FFC" w14:paraId="2235752C"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AEEDB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2CE2286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7B349D4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2C81BC6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8258394" w14:textId="77777777" w:rsidR="00073BFC" w:rsidRPr="00105FFC" w:rsidRDefault="00073BFC" w:rsidP="00073BFC">
            <w:pPr>
              <w:jc w:val="center"/>
              <w:rPr>
                <w:rFonts w:asciiTheme="minorHAnsi" w:hAnsiTheme="minorHAnsi"/>
                <w:color w:val="000000"/>
                <w:sz w:val="20"/>
                <w:szCs w:val="20"/>
              </w:rPr>
            </w:pPr>
          </w:p>
        </w:tc>
      </w:tr>
      <w:tr w:rsidR="00073BFC" w:rsidRPr="00105FFC" w14:paraId="0CE7CA03"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DCD97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6E90C60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95</w:t>
            </w:r>
          </w:p>
        </w:tc>
        <w:tc>
          <w:tcPr>
            <w:tcW w:w="0" w:type="auto"/>
            <w:tcBorders>
              <w:top w:val="nil"/>
              <w:left w:val="nil"/>
              <w:bottom w:val="single" w:sz="4" w:space="0" w:color="auto"/>
              <w:right w:val="single" w:sz="4" w:space="0" w:color="auto"/>
            </w:tcBorders>
            <w:shd w:val="clear" w:color="auto" w:fill="auto"/>
            <w:noWrap/>
            <w:vAlign w:val="center"/>
            <w:hideMark/>
          </w:tcPr>
          <w:p w14:paraId="430A2C7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7859ED4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2CEFF71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w:t>
            </w:r>
          </w:p>
        </w:tc>
      </w:tr>
      <w:tr w:rsidR="00073BFC" w:rsidRPr="00105FFC" w14:paraId="43F4EDB8"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3D8A9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5AFA90D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14:paraId="5993FEC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1DA1A3E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5D19DB0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r>
      <w:tr w:rsidR="00073BFC" w:rsidRPr="00105FFC" w14:paraId="02B66AA9"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50729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77485D3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197</w:t>
            </w:r>
          </w:p>
        </w:tc>
        <w:tc>
          <w:tcPr>
            <w:tcW w:w="0" w:type="auto"/>
            <w:tcBorders>
              <w:top w:val="nil"/>
              <w:left w:val="nil"/>
              <w:bottom w:val="single" w:sz="4" w:space="0" w:color="auto"/>
              <w:right w:val="single" w:sz="4" w:space="0" w:color="auto"/>
            </w:tcBorders>
            <w:shd w:val="clear" w:color="auto" w:fill="auto"/>
            <w:noWrap/>
            <w:vAlign w:val="center"/>
            <w:hideMark/>
          </w:tcPr>
          <w:p w14:paraId="2E2D3C2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133</w:t>
            </w:r>
          </w:p>
        </w:tc>
        <w:tc>
          <w:tcPr>
            <w:tcW w:w="0" w:type="auto"/>
            <w:tcBorders>
              <w:top w:val="nil"/>
              <w:left w:val="nil"/>
              <w:bottom w:val="single" w:sz="4" w:space="0" w:color="auto"/>
              <w:right w:val="single" w:sz="4" w:space="0" w:color="auto"/>
            </w:tcBorders>
            <w:shd w:val="clear" w:color="auto" w:fill="auto"/>
            <w:noWrap/>
            <w:vAlign w:val="center"/>
            <w:hideMark/>
          </w:tcPr>
          <w:p w14:paraId="1869AC7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290A143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56</w:t>
            </w:r>
          </w:p>
        </w:tc>
      </w:tr>
    </w:tbl>
    <w:p w14:paraId="2B267F5B" w14:textId="77777777" w:rsidR="00073BFC" w:rsidRPr="00105FFC" w:rsidRDefault="00073BFC" w:rsidP="00073BFC">
      <w:pPr>
        <w:spacing w:after="120"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7EF0951B" w14:textId="77777777" w:rsidR="00932E5C" w:rsidRPr="00105FFC" w:rsidRDefault="00932E5C" w:rsidP="0019409F">
      <w:pPr>
        <w:spacing w:line="276" w:lineRule="auto"/>
        <w:rPr>
          <w:rFonts w:asciiTheme="minorHAnsi" w:eastAsiaTheme="minorHAnsi" w:hAnsiTheme="minorHAnsi" w:cs="Arial"/>
          <w:sz w:val="22"/>
        </w:rPr>
      </w:pPr>
    </w:p>
    <w:p w14:paraId="6E9535DA" w14:textId="77777777" w:rsidR="00073BFC" w:rsidRPr="00105FFC" w:rsidRDefault="001641BD" w:rsidP="00073BFC">
      <w:pPr>
        <w:rPr>
          <w:rFonts w:asciiTheme="minorHAnsi" w:eastAsiaTheme="minorHAnsi" w:hAnsiTheme="minorHAnsi" w:cstheme="minorBidi"/>
          <w:bCs/>
          <w:sz w:val="20"/>
          <w:szCs w:val="20"/>
        </w:rPr>
      </w:pPr>
      <w:bookmarkStart w:id="369" w:name="_Toc458783104"/>
      <w:bookmarkStart w:id="370" w:name="_Toc459285174"/>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29</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Total Medi-Cal Participating Behavioral Health Providers in SFY 2014-15, by Provider Sub-Group and Geographic Region</w:t>
      </w:r>
      <w:bookmarkEnd w:id="369"/>
      <w:bookmarkEnd w:id="370"/>
    </w:p>
    <w:tbl>
      <w:tblPr>
        <w:tblW w:w="0" w:type="auto"/>
        <w:tblInd w:w="93" w:type="dxa"/>
        <w:tblLook w:val="04A0" w:firstRow="1" w:lastRow="0" w:firstColumn="1" w:lastColumn="0" w:noHBand="0" w:noVBand="1"/>
      </w:tblPr>
      <w:tblGrid>
        <w:gridCol w:w="1836"/>
        <w:gridCol w:w="1355"/>
        <w:gridCol w:w="1416"/>
        <w:gridCol w:w="1929"/>
        <w:gridCol w:w="2947"/>
      </w:tblGrid>
      <w:tr w:rsidR="00073BFC" w:rsidRPr="00105FFC" w14:paraId="43E4CA46" w14:textId="77777777" w:rsidTr="000D6C4B">
        <w:trPr>
          <w:trHeight w:val="255"/>
        </w:trPr>
        <w:tc>
          <w:tcPr>
            <w:tcW w:w="0" w:type="auto"/>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6D3FCE93" w14:textId="77777777" w:rsidR="00073BFC" w:rsidRPr="00105FFC" w:rsidRDefault="00073BFC" w:rsidP="00073BFC">
            <w:pPr>
              <w:jc w:val="center"/>
              <w:rPr>
                <w:rFonts w:asciiTheme="minorHAnsi" w:hAnsiTheme="minorHAnsi"/>
                <w:b/>
                <w:bCs/>
                <w:color w:val="FFFFFF"/>
                <w:sz w:val="20"/>
                <w:szCs w:val="20"/>
              </w:rPr>
            </w:pPr>
            <w:r w:rsidRPr="00105FFC">
              <w:rPr>
                <w:rFonts w:asciiTheme="minorHAnsi" w:hAnsiTheme="minorHAnsi"/>
                <w:b/>
                <w:bCs/>
                <w:color w:val="FFFFFF"/>
                <w:sz w:val="20"/>
                <w:szCs w:val="20"/>
              </w:rPr>
              <w:t>Behavioral Health Providers</w:t>
            </w:r>
          </w:p>
        </w:tc>
      </w:tr>
      <w:tr w:rsidR="00073BFC" w:rsidRPr="00105FFC" w14:paraId="2443F72F"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B30B66C"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56D322A7"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Providers</w:t>
            </w:r>
          </w:p>
        </w:tc>
        <w:tc>
          <w:tcPr>
            <w:tcW w:w="0" w:type="auto"/>
            <w:tcBorders>
              <w:top w:val="nil"/>
              <w:left w:val="nil"/>
              <w:bottom w:val="single" w:sz="4" w:space="0" w:color="auto"/>
              <w:right w:val="single" w:sz="4" w:space="0" w:color="auto"/>
            </w:tcBorders>
            <w:shd w:val="clear" w:color="000000" w:fill="F2F2F2"/>
            <w:noWrap/>
            <w:vAlign w:val="center"/>
            <w:hideMark/>
          </w:tcPr>
          <w:p w14:paraId="7CE53D33"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Physicians</w:t>
            </w:r>
          </w:p>
        </w:tc>
        <w:tc>
          <w:tcPr>
            <w:tcW w:w="0" w:type="auto"/>
            <w:tcBorders>
              <w:top w:val="nil"/>
              <w:left w:val="nil"/>
              <w:bottom w:val="single" w:sz="4" w:space="0" w:color="auto"/>
              <w:right w:val="single" w:sz="4" w:space="0" w:color="auto"/>
            </w:tcBorders>
            <w:shd w:val="clear" w:color="000000" w:fill="F2F2F2"/>
            <w:noWrap/>
            <w:vAlign w:val="center"/>
            <w:hideMark/>
          </w:tcPr>
          <w:p w14:paraId="0169DA3F"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 Groups</w:t>
            </w:r>
          </w:p>
        </w:tc>
        <w:tc>
          <w:tcPr>
            <w:tcW w:w="0" w:type="auto"/>
            <w:tcBorders>
              <w:top w:val="nil"/>
              <w:left w:val="nil"/>
              <w:bottom w:val="single" w:sz="4" w:space="0" w:color="auto"/>
              <w:right w:val="single" w:sz="4" w:space="0" w:color="auto"/>
            </w:tcBorders>
            <w:shd w:val="clear" w:color="000000" w:fill="F2F2F2"/>
            <w:noWrap/>
            <w:vAlign w:val="center"/>
            <w:hideMark/>
          </w:tcPr>
          <w:p w14:paraId="54E65B28"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Other Non-Physician Providers</w:t>
            </w:r>
          </w:p>
        </w:tc>
      </w:tr>
      <w:tr w:rsidR="00073BFC" w:rsidRPr="00105FFC" w14:paraId="02052DCE"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5E6E895C"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51986C9B"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1,002</w:t>
            </w:r>
          </w:p>
        </w:tc>
        <w:tc>
          <w:tcPr>
            <w:tcW w:w="0" w:type="auto"/>
            <w:tcBorders>
              <w:top w:val="nil"/>
              <w:left w:val="nil"/>
              <w:bottom w:val="single" w:sz="4" w:space="0" w:color="auto"/>
              <w:right w:val="single" w:sz="4" w:space="0" w:color="auto"/>
            </w:tcBorders>
            <w:shd w:val="clear" w:color="000000" w:fill="EBF1DE"/>
            <w:noWrap/>
            <w:vAlign w:val="center"/>
            <w:hideMark/>
          </w:tcPr>
          <w:p w14:paraId="5F8B5C82"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656</w:t>
            </w:r>
          </w:p>
        </w:tc>
        <w:tc>
          <w:tcPr>
            <w:tcW w:w="0" w:type="auto"/>
            <w:tcBorders>
              <w:top w:val="nil"/>
              <w:left w:val="nil"/>
              <w:bottom w:val="single" w:sz="4" w:space="0" w:color="auto"/>
              <w:right w:val="single" w:sz="4" w:space="0" w:color="auto"/>
            </w:tcBorders>
            <w:shd w:val="clear" w:color="000000" w:fill="EBF1DE"/>
            <w:noWrap/>
            <w:vAlign w:val="center"/>
            <w:hideMark/>
          </w:tcPr>
          <w:p w14:paraId="0068DE24"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41</w:t>
            </w:r>
          </w:p>
        </w:tc>
        <w:tc>
          <w:tcPr>
            <w:tcW w:w="0" w:type="auto"/>
            <w:tcBorders>
              <w:top w:val="nil"/>
              <w:left w:val="nil"/>
              <w:bottom w:val="single" w:sz="4" w:space="0" w:color="auto"/>
              <w:right w:val="single" w:sz="4" w:space="0" w:color="auto"/>
            </w:tcBorders>
            <w:shd w:val="clear" w:color="000000" w:fill="EBF1DE"/>
            <w:noWrap/>
            <w:vAlign w:val="center"/>
            <w:hideMark/>
          </w:tcPr>
          <w:p w14:paraId="521EC8AB"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305</w:t>
            </w:r>
          </w:p>
        </w:tc>
      </w:tr>
      <w:tr w:rsidR="00073BFC" w:rsidRPr="00105FFC" w14:paraId="5D0497D9"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BAE5F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6C1616E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263</w:t>
            </w:r>
          </w:p>
        </w:tc>
        <w:tc>
          <w:tcPr>
            <w:tcW w:w="0" w:type="auto"/>
            <w:tcBorders>
              <w:top w:val="nil"/>
              <w:left w:val="nil"/>
              <w:bottom w:val="single" w:sz="4" w:space="0" w:color="auto"/>
              <w:right w:val="single" w:sz="4" w:space="0" w:color="auto"/>
            </w:tcBorders>
            <w:shd w:val="clear" w:color="auto" w:fill="auto"/>
            <w:noWrap/>
            <w:vAlign w:val="center"/>
            <w:hideMark/>
          </w:tcPr>
          <w:p w14:paraId="267A177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180</w:t>
            </w:r>
          </w:p>
        </w:tc>
        <w:tc>
          <w:tcPr>
            <w:tcW w:w="0" w:type="auto"/>
            <w:tcBorders>
              <w:top w:val="nil"/>
              <w:left w:val="nil"/>
              <w:bottom w:val="single" w:sz="4" w:space="0" w:color="auto"/>
              <w:right w:val="single" w:sz="4" w:space="0" w:color="auto"/>
            </w:tcBorders>
            <w:shd w:val="clear" w:color="auto" w:fill="auto"/>
            <w:noWrap/>
            <w:vAlign w:val="center"/>
            <w:hideMark/>
          </w:tcPr>
          <w:p w14:paraId="34E28E2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7273BC1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70</w:t>
            </w:r>
          </w:p>
        </w:tc>
      </w:tr>
      <w:tr w:rsidR="00073BFC" w:rsidRPr="00105FFC" w14:paraId="4FC6D70B"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424EA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4ED028F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44</w:t>
            </w:r>
          </w:p>
        </w:tc>
        <w:tc>
          <w:tcPr>
            <w:tcW w:w="0" w:type="auto"/>
            <w:tcBorders>
              <w:top w:val="nil"/>
              <w:left w:val="nil"/>
              <w:bottom w:val="single" w:sz="4" w:space="0" w:color="auto"/>
              <w:right w:val="single" w:sz="4" w:space="0" w:color="auto"/>
            </w:tcBorders>
            <w:shd w:val="clear" w:color="auto" w:fill="auto"/>
            <w:noWrap/>
            <w:vAlign w:val="center"/>
            <w:hideMark/>
          </w:tcPr>
          <w:p w14:paraId="22BFA24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14:paraId="2CC274B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3B05277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15</w:t>
            </w:r>
          </w:p>
        </w:tc>
      </w:tr>
      <w:tr w:rsidR="00073BFC" w:rsidRPr="00105FFC" w14:paraId="55EF87EF"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34954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6E501EF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79</w:t>
            </w:r>
          </w:p>
        </w:tc>
        <w:tc>
          <w:tcPr>
            <w:tcW w:w="0" w:type="auto"/>
            <w:tcBorders>
              <w:top w:val="nil"/>
              <w:left w:val="nil"/>
              <w:bottom w:val="single" w:sz="4" w:space="0" w:color="auto"/>
              <w:right w:val="single" w:sz="4" w:space="0" w:color="auto"/>
            </w:tcBorders>
            <w:shd w:val="clear" w:color="auto" w:fill="auto"/>
            <w:noWrap/>
            <w:vAlign w:val="center"/>
            <w:hideMark/>
          </w:tcPr>
          <w:p w14:paraId="12C180F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14:paraId="247E42D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1AD76FF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23</w:t>
            </w:r>
          </w:p>
        </w:tc>
      </w:tr>
      <w:tr w:rsidR="00073BFC" w:rsidRPr="00105FFC" w14:paraId="14029A9A"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3ECBE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4121C60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47B68AE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40FAA424" w14:textId="77777777" w:rsidR="00073BFC" w:rsidRPr="00105FFC" w:rsidRDefault="00073BFC" w:rsidP="00073BFC">
            <w:pPr>
              <w:jc w:val="center"/>
              <w:rPr>
                <w:rFonts w:asciiTheme="minorHAnsi" w:hAnsiTheme="minorHAns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A77E114" w14:textId="77777777" w:rsidR="00073BFC" w:rsidRPr="00105FFC" w:rsidRDefault="00073BFC" w:rsidP="00073BFC">
            <w:pPr>
              <w:jc w:val="center"/>
              <w:rPr>
                <w:rFonts w:asciiTheme="minorHAnsi" w:hAnsiTheme="minorHAnsi"/>
                <w:color w:val="000000"/>
                <w:sz w:val="20"/>
                <w:szCs w:val="20"/>
              </w:rPr>
            </w:pPr>
          </w:p>
        </w:tc>
      </w:tr>
      <w:tr w:rsidR="00073BFC" w:rsidRPr="00105FFC" w14:paraId="12EDB59E"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F1D3B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5254288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01A30E4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176</w:t>
            </w:r>
          </w:p>
        </w:tc>
        <w:tc>
          <w:tcPr>
            <w:tcW w:w="0" w:type="auto"/>
            <w:tcBorders>
              <w:top w:val="nil"/>
              <w:left w:val="nil"/>
              <w:bottom w:val="single" w:sz="4" w:space="0" w:color="auto"/>
              <w:right w:val="single" w:sz="4" w:space="0" w:color="auto"/>
            </w:tcBorders>
            <w:shd w:val="clear" w:color="auto" w:fill="auto"/>
            <w:noWrap/>
            <w:vAlign w:val="center"/>
            <w:hideMark/>
          </w:tcPr>
          <w:p w14:paraId="676831E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14:paraId="234E6E6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92</w:t>
            </w:r>
          </w:p>
        </w:tc>
      </w:tr>
      <w:tr w:rsidR="00073BFC" w:rsidRPr="00105FFC" w14:paraId="59DFF9F4"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5D263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4490188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670A836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196010B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156EE1F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r>
      <w:tr w:rsidR="00073BFC" w:rsidRPr="00105FFC" w14:paraId="689E42AF"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4E01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0495425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110</w:t>
            </w:r>
          </w:p>
        </w:tc>
        <w:tc>
          <w:tcPr>
            <w:tcW w:w="0" w:type="auto"/>
            <w:tcBorders>
              <w:top w:val="nil"/>
              <w:left w:val="nil"/>
              <w:bottom w:val="single" w:sz="4" w:space="0" w:color="auto"/>
              <w:right w:val="single" w:sz="4" w:space="0" w:color="auto"/>
            </w:tcBorders>
            <w:shd w:val="clear" w:color="auto" w:fill="auto"/>
            <w:noWrap/>
            <w:vAlign w:val="center"/>
            <w:hideMark/>
          </w:tcPr>
          <w:p w14:paraId="6D1E229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center"/>
            <w:hideMark/>
          </w:tcPr>
          <w:p w14:paraId="38213E1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6E59083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w:t>
            </w:r>
          </w:p>
        </w:tc>
      </w:tr>
      <w:tr w:rsidR="00073BFC" w:rsidRPr="00105FFC" w14:paraId="691AC985"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711FB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00D9CDA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14:paraId="3EB2446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14:paraId="57F7C02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569339B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w:t>
            </w:r>
          </w:p>
        </w:tc>
      </w:tr>
      <w:tr w:rsidR="00073BFC" w:rsidRPr="00105FFC" w14:paraId="143ADC53"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B1E68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1AE6BD5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253</w:t>
            </w:r>
          </w:p>
        </w:tc>
        <w:tc>
          <w:tcPr>
            <w:tcW w:w="0" w:type="auto"/>
            <w:tcBorders>
              <w:top w:val="nil"/>
              <w:left w:val="nil"/>
              <w:bottom w:val="single" w:sz="4" w:space="0" w:color="auto"/>
              <w:right w:val="single" w:sz="4" w:space="0" w:color="auto"/>
            </w:tcBorders>
            <w:shd w:val="clear" w:color="auto" w:fill="auto"/>
            <w:noWrap/>
            <w:vAlign w:val="center"/>
            <w:hideMark/>
          </w:tcPr>
          <w:p w14:paraId="20FB623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158</w:t>
            </w:r>
          </w:p>
        </w:tc>
        <w:tc>
          <w:tcPr>
            <w:tcW w:w="0" w:type="auto"/>
            <w:tcBorders>
              <w:top w:val="nil"/>
              <w:left w:val="nil"/>
              <w:bottom w:val="single" w:sz="4" w:space="0" w:color="auto"/>
              <w:right w:val="single" w:sz="4" w:space="0" w:color="auto"/>
            </w:tcBorders>
            <w:shd w:val="clear" w:color="auto" w:fill="auto"/>
            <w:noWrap/>
            <w:vAlign w:val="center"/>
            <w:hideMark/>
          </w:tcPr>
          <w:p w14:paraId="66F3B21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2E05167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85</w:t>
            </w:r>
          </w:p>
        </w:tc>
      </w:tr>
    </w:tbl>
    <w:p w14:paraId="31230584"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r w:rsidRPr="00105FFC">
        <w:rPr>
          <w:rFonts w:asciiTheme="minorHAnsi" w:eastAsiaTheme="minorHAnsi" w:hAnsiTheme="minorHAnsi" w:cs="Tahoma"/>
          <w:sz w:val="16"/>
          <w:szCs w:val="16"/>
        </w:rPr>
        <w:br w:type="page"/>
      </w:r>
    </w:p>
    <w:p w14:paraId="2797569F" w14:textId="77777777" w:rsidR="00073BFC" w:rsidRPr="00105FFC" w:rsidRDefault="001641BD" w:rsidP="00073BFC">
      <w:pPr>
        <w:rPr>
          <w:rFonts w:asciiTheme="minorHAnsi" w:eastAsiaTheme="minorHAnsi" w:hAnsiTheme="minorHAnsi" w:cstheme="minorBidi"/>
          <w:bCs/>
          <w:sz w:val="20"/>
          <w:szCs w:val="20"/>
        </w:rPr>
      </w:pPr>
      <w:bookmarkStart w:id="371" w:name="_Toc458782972"/>
      <w:bookmarkStart w:id="372" w:name="_Toc459285083"/>
      <w:bookmarkStart w:id="373" w:name="_Toc459285274"/>
      <w:bookmarkStart w:id="374" w:name="_Toc459286715"/>
      <w:r w:rsidRPr="00105FFC">
        <w:rPr>
          <w:rFonts w:asciiTheme="minorHAnsi" w:eastAsiaTheme="minorHAnsi" w:hAnsiTheme="minorHAnsi" w:cstheme="minorBidi"/>
          <w:b/>
          <w:bCs/>
          <w:sz w:val="20"/>
          <w:szCs w:val="20"/>
        </w:rPr>
        <w:t xml:space="preserve">Figure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Figure \* ARABIC </w:instrText>
      </w:r>
      <w:r w:rsidR="00073BFC" w:rsidRPr="00105FFC">
        <w:rPr>
          <w:rFonts w:asciiTheme="minorHAnsi" w:eastAsiaTheme="minorHAnsi" w:hAnsiTheme="minorHAnsi" w:cstheme="minorBidi"/>
          <w:b/>
          <w:bCs/>
          <w:sz w:val="20"/>
          <w:szCs w:val="20"/>
        </w:rPr>
        <w:fldChar w:fldCharType="separate"/>
      </w:r>
      <w:r w:rsidR="000E1B8E">
        <w:rPr>
          <w:rFonts w:asciiTheme="minorHAnsi" w:eastAsiaTheme="minorHAnsi" w:hAnsiTheme="minorHAnsi" w:cstheme="minorBidi"/>
          <w:b/>
          <w:bCs/>
          <w:noProof/>
          <w:sz w:val="20"/>
          <w:szCs w:val="20"/>
        </w:rPr>
        <w:t>34</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Total Medi-Cal Participating Behavioral Health Providers from SFY 2013-14 to 2014-15, by Geographic Region</w:t>
      </w:r>
      <w:bookmarkEnd w:id="371"/>
      <w:bookmarkEnd w:id="372"/>
      <w:bookmarkEnd w:id="373"/>
      <w:bookmarkEnd w:id="374"/>
    </w:p>
    <w:p w14:paraId="73E2D80B" w14:textId="77777777" w:rsidR="00073BFC" w:rsidRPr="00105FFC" w:rsidRDefault="00073BFC" w:rsidP="00073BFC">
      <w:pPr>
        <w:spacing w:line="276" w:lineRule="auto"/>
        <w:rPr>
          <w:rFonts w:asciiTheme="minorHAnsi" w:eastAsiaTheme="minorHAnsi" w:hAnsiTheme="minorHAnsi" w:cstheme="minorBidi"/>
          <w:sz w:val="22"/>
          <w:szCs w:val="22"/>
        </w:rPr>
      </w:pPr>
      <w:r w:rsidRPr="00105FFC">
        <w:rPr>
          <w:rFonts w:asciiTheme="minorHAnsi" w:eastAsiaTheme="minorHAnsi" w:hAnsiTheme="minorHAnsi" w:cstheme="minorBidi"/>
          <w:noProof/>
          <w:sz w:val="22"/>
          <w:szCs w:val="22"/>
        </w:rPr>
        <w:drawing>
          <wp:inline distT="0" distB="0" distL="0" distR="0" wp14:anchorId="54D468AD" wp14:editId="73C092CE">
            <wp:extent cx="5943600" cy="2743200"/>
            <wp:effectExtent l="0" t="0" r="0" b="0"/>
            <wp:docPr id="47" name="Chart 47" descr="STATEWIDE: 2013-14 863; 2014-15   1,002 &#10;&#10;Bay Area: 2013-14 217; 2014-15 263 &#10;&#10;Central Coast: 2013-14 41; 2014-15 44 &#10;&#10;Central Valley: 2013-14 83; 2014-15 79 &#10;&#10;Far North: 2013-14   7; 2014-15   5 &#10;&#10;Los Angeles: 2013-14 247; 2014-15 282 &#10;&#10;North Coast: 2013-14   5; 2014-15   6 &#10;&#10;Sacramento Valley: 2013-14 95; 2014-15 110 &#10;&#10;Sierra Range/Foothills: 2013-14 27; 2014-15 36 &#10;&#10;Southern California: 2013-14 197; 2014-15 253 &#10;" title="Total Medi-Cal Participating Behavioral Health Providers from SFY 2013-14 to 2014-15, by Geographic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87065F"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370C4567" w14:textId="77777777" w:rsidR="00932E5C" w:rsidRPr="00105FFC" w:rsidRDefault="00932E5C" w:rsidP="00932E5C">
      <w:pPr>
        <w:spacing w:after="120" w:line="276" w:lineRule="auto"/>
        <w:rPr>
          <w:rFonts w:asciiTheme="minorHAnsi" w:eastAsiaTheme="minorHAnsi" w:hAnsiTheme="minorHAnsi" w:cstheme="minorBidi"/>
        </w:rPr>
      </w:pPr>
    </w:p>
    <w:p w14:paraId="6CCF408E" w14:textId="77777777" w:rsidR="00932E5C" w:rsidRPr="00105FFC" w:rsidRDefault="00932E5C" w:rsidP="002960F7">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Statewide, during both SFY 2013-14 and SFY 2014-15, Behavioral Health providers that provided services to Medi-Cal beneficiaries were concentrated in the Hospital Inpatient (337 during SFY 2013-14 and 402 during SFY 2014-15), Hospital Outpatient (372 during SFY 2013-14 and 381 during SFY 2014-15), and Clinic (350 during SFY 2013-14 and 442 during SFY 2014-15) service settings. The geographic regions with the largest number of participating Behavioral Health providers during both SFY 2013-14 and SFY 2014-15, regardless of service setting, were the Bay Area, Los Angeles, and Southern California (</w:t>
      </w:r>
      <w:r w:rsidR="000468AD" w:rsidRPr="00105FFC">
        <w:rPr>
          <w:rFonts w:asciiTheme="minorHAnsi" w:eastAsiaTheme="minorHAnsi" w:hAnsiTheme="minorHAnsi" w:cstheme="minorBidi"/>
        </w:rPr>
        <w:t xml:space="preserve">Tables </w:t>
      </w:r>
      <w:r w:rsidR="00581549" w:rsidRPr="00105FFC">
        <w:rPr>
          <w:rFonts w:asciiTheme="minorHAnsi" w:eastAsiaTheme="minorHAnsi" w:hAnsiTheme="minorHAnsi" w:cstheme="minorBidi"/>
        </w:rPr>
        <w:t>30</w:t>
      </w:r>
      <w:r w:rsidR="00E50DA6" w:rsidRPr="00105FFC">
        <w:rPr>
          <w:rFonts w:asciiTheme="minorHAnsi" w:eastAsiaTheme="minorHAnsi" w:hAnsiTheme="minorHAnsi" w:cstheme="minorBidi"/>
        </w:rPr>
        <w:t>-</w:t>
      </w:r>
      <w:r w:rsidR="00581549" w:rsidRPr="00105FFC">
        <w:rPr>
          <w:rFonts w:asciiTheme="minorHAnsi" w:eastAsiaTheme="minorHAnsi" w:hAnsiTheme="minorHAnsi" w:cstheme="minorBidi"/>
        </w:rPr>
        <w:t>31</w:t>
      </w:r>
      <w:r w:rsidRPr="00105FFC">
        <w:rPr>
          <w:rFonts w:asciiTheme="minorHAnsi" w:eastAsiaTheme="minorHAnsi" w:hAnsiTheme="minorHAnsi" w:cstheme="minorBidi"/>
        </w:rPr>
        <w:t>).</w:t>
      </w:r>
    </w:p>
    <w:p w14:paraId="65EC7401" w14:textId="77777777" w:rsidR="00932E5C" w:rsidRPr="00105FFC" w:rsidRDefault="00932E5C" w:rsidP="00932E5C">
      <w:pPr>
        <w:rPr>
          <w:rFonts w:asciiTheme="minorHAnsi" w:eastAsiaTheme="minorHAnsi" w:hAnsiTheme="minorHAnsi" w:cstheme="minorBidi"/>
          <w:b/>
          <w:bCs/>
          <w:sz w:val="20"/>
          <w:szCs w:val="20"/>
        </w:rPr>
      </w:pPr>
      <w:bookmarkStart w:id="375" w:name="_Toc458783105"/>
      <w:bookmarkStart w:id="376" w:name="_Toc459285175"/>
      <w:r w:rsidRPr="00105FFC">
        <w:rPr>
          <w:rFonts w:asciiTheme="minorHAnsi" w:eastAsiaTheme="minorHAnsi" w:hAnsiTheme="minorHAnsi" w:cstheme="minorBidi"/>
          <w:b/>
          <w:bCs/>
          <w:sz w:val="20"/>
          <w:szCs w:val="20"/>
        </w:rPr>
        <w:t xml:space="preserve">Table </w:t>
      </w:r>
      <w:r w:rsidRPr="00105FFC">
        <w:rPr>
          <w:rFonts w:asciiTheme="minorHAnsi" w:eastAsiaTheme="minorHAnsi" w:hAnsiTheme="minorHAnsi" w:cstheme="minorBidi"/>
          <w:b/>
          <w:bCs/>
          <w:sz w:val="20"/>
          <w:szCs w:val="20"/>
        </w:rPr>
        <w:fldChar w:fldCharType="begin"/>
      </w:r>
      <w:r w:rsidRPr="00105FFC">
        <w:rPr>
          <w:rFonts w:asciiTheme="minorHAnsi" w:eastAsiaTheme="minorHAnsi" w:hAnsiTheme="minorHAnsi" w:cstheme="minorBidi"/>
          <w:b/>
          <w:bCs/>
          <w:sz w:val="20"/>
          <w:szCs w:val="20"/>
        </w:rPr>
        <w:instrText xml:space="preserve"> SEQ Table \* ARABIC </w:instrText>
      </w:r>
      <w:r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30</w:t>
      </w:r>
      <w:r w:rsidRPr="00105FFC">
        <w:rPr>
          <w:rFonts w:asciiTheme="minorHAnsi" w:eastAsiaTheme="minorHAnsi" w:hAnsiTheme="minorHAnsi" w:cstheme="minorBidi"/>
          <w:b/>
          <w:bCs/>
          <w:sz w:val="20"/>
          <w:szCs w:val="20"/>
        </w:rPr>
        <w:fldChar w:fldCharType="end"/>
      </w:r>
      <w:r w:rsidRPr="00105FFC">
        <w:rPr>
          <w:rFonts w:asciiTheme="minorHAnsi" w:eastAsiaTheme="minorHAnsi" w:hAnsiTheme="minorHAnsi" w:cstheme="minorBidi"/>
          <w:b/>
          <w:bCs/>
          <w:sz w:val="20"/>
          <w:szCs w:val="20"/>
        </w:rPr>
        <w:t xml:space="preserve">: </w:t>
      </w:r>
      <w:r w:rsidRPr="00105FFC">
        <w:rPr>
          <w:rFonts w:asciiTheme="minorHAnsi" w:eastAsiaTheme="minorHAnsi" w:hAnsiTheme="minorHAnsi" w:cstheme="minorBidi"/>
          <w:bCs/>
          <w:sz w:val="20"/>
          <w:szCs w:val="20"/>
        </w:rPr>
        <w:t>Total Medi-Cal Participating Behavioral Health Providers in SFY 2013-14, by Service Setting and Geographic Region</w:t>
      </w:r>
      <w:bookmarkEnd w:id="375"/>
      <w:bookmarkEnd w:id="376"/>
    </w:p>
    <w:tbl>
      <w:tblPr>
        <w:tblW w:w="0" w:type="auto"/>
        <w:tblInd w:w="93" w:type="dxa"/>
        <w:tblLook w:val="04A0" w:firstRow="1" w:lastRow="0" w:firstColumn="1" w:lastColumn="0" w:noHBand="0" w:noVBand="1"/>
      </w:tblPr>
      <w:tblGrid>
        <w:gridCol w:w="2005"/>
        <w:gridCol w:w="2188"/>
        <w:gridCol w:w="1711"/>
        <w:gridCol w:w="1863"/>
        <w:gridCol w:w="741"/>
        <w:gridCol w:w="700"/>
      </w:tblGrid>
      <w:tr w:rsidR="00932E5C" w:rsidRPr="00105FFC" w14:paraId="05E6F937" w14:textId="77777777" w:rsidTr="00774675">
        <w:trPr>
          <w:trHeight w:val="300"/>
        </w:trPr>
        <w:tc>
          <w:tcPr>
            <w:tcW w:w="0" w:type="auto"/>
            <w:gridSpan w:val="6"/>
            <w:tcBorders>
              <w:top w:val="nil"/>
              <w:left w:val="single" w:sz="4" w:space="0" w:color="auto"/>
              <w:bottom w:val="single" w:sz="4" w:space="0" w:color="auto"/>
              <w:right w:val="nil"/>
            </w:tcBorders>
            <w:shd w:val="clear" w:color="000000" w:fill="000000"/>
            <w:noWrap/>
            <w:vAlign w:val="center"/>
            <w:hideMark/>
          </w:tcPr>
          <w:p w14:paraId="3B2B4446" w14:textId="77777777" w:rsidR="00932E5C" w:rsidRPr="00105FFC" w:rsidRDefault="00932E5C" w:rsidP="00774675">
            <w:pPr>
              <w:jc w:val="center"/>
              <w:rPr>
                <w:rFonts w:asciiTheme="minorHAnsi" w:hAnsiTheme="minorHAnsi"/>
                <w:b/>
                <w:bCs/>
                <w:color w:val="FFFFFF"/>
                <w:sz w:val="20"/>
                <w:szCs w:val="20"/>
              </w:rPr>
            </w:pPr>
            <w:r w:rsidRPr="00105FFC">
              <w:rPr>
                <w:rFonts w:asciiTheme="minorHAnsi" w:hAnsiTheme="minorHAnsi"/>
                <w:b/>
                <w:bCs/>
                <w:color w:val="FFFFFF"/>
                <w:sz w:val="20"/>
                <w:szCs w:val="20"/>
              </w:rPr>
              <w:t>Behavioral Health Providers</w:t>
            </w:r>
          </w:p>
        </w:tc>
      </w:tr>
      <w:tr w:rsidR="00932E5C" w:rsidRPr="00105FFC" w14:paraId="2B68EACD" w14:textId="77777777" w:rsidTr="0077467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8F366E9"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7CBFA765"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Emergency Department</w:t>
            </w:r>
          </w:p>
        </w:tc>
        <w:tc>
          <w:tcPr>
            <w:tcW w:w="0" w:type="auto"/>
            <w:tcBorders>
              <w:top w:val="nil"/>
              <w:left w:val="nil"/>
              <w:bottom w:val="single" w:sz="4" w:space="0" w:color="auto"/>
              <w:right w:val="single" w:sz="4" w:space="0" w:color="auto"/>
            </w:tcBorders>
            <w:shd w:val="clear" w:color="000000" w:fill="F2F2F2"/>
            <w:noWrap/>
            <w:vAlign w:val="center"/>
            <w:hideMark/>
          </w:tcPr>
          <w:p w14:paraId="5F85DB14"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Inpatient</w:t>
            </w:r>
          </w:p>
        </w:tc>
        <w:tc>
          <w:tcPr>
            <w:tcW w:w="0" w:type="auto"/>
            <w:tcBorders>
              <w:top w:val="nil"/>
              <w:left w:val="nil"/>
              <w:bottom w:val="single" w:sz="4" w:space="0" w:color="auto"/>
              <w:right w:val="single" w:sz="4" w:space="0" w:color="auto"/>
            </w:tcBorders>
            <w:shd w:val="clear" w:color="000000" w:fill="F2F2F2"/>
            <w:noWrap/>
            <w:vAlign w:val="center"/>
            <w:hideMark/>
          </w:tcPr>
          <w:p w14:paraId="2D32852E"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Outpatient</w:t>
            </w:r>
          </w:p>
        </w:tc>
        <w:tc>
          <w:tcPr>
            <w:tcW w:w="0" w:type="auto"/>
            <w:tcBorders>
              <w:top w:val="nil"/>
              <w:left w:val="nil"/>
              <w:bottom w:val="single" w:sz="4" w:space="0" w:color="auto"/>
              <w:right w:val="single" w:sz="4" w:space="0" w:color="auto"/>
            </w:tcBorders>
            <w:shd w:val="clear" w:color="000000" w:fill="F2F2F2"/>
            <w:noWrap/>
            <w:vAlign w:val="center"/>
            <w:hideMark/>
          </w:tcPr>
          <w:p w14:paraId="062BF34E"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Clinics</w:t>
            </w:r>
          </w:p>
        </w:tc>
        <w:tc>
          <w:tcPr>
            <w:tcW w:w="0" w:type="auto"/>
            <w:tcBorders>
              <w:top w:val="nil"/>
              <w:left w:val="nil"/>
              <w:bottom w:val="single" w:sz="4" w:space="0" w:color="auto"/>
              <w:right w:val="single" w:sz="4" w:space="0" w:color="auto"/>
            </w:tcBorders>
            <w:shd w:val="clear" w:color="000000" w:fill="F2F2F2"/>
            <w:noWrap/>
            <w:vAlign w:val="center"/>
            <w:hideMark/>
          </w:tcPr>
          <w:p w14:paraId="5F21B6A6"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Other</w:t>
            </w:r>
          </w:p>
        </w:tc>
      </w:tr>
      <w:tr w:rsidR="00932E5C" w:rsidRPr="00105FFC" w14:paraId="533E3408" w14:textId="77777777" w:rsidTr="00774675">
        <w:trPr>
          <w:trHeight w:val="300"/>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730494E9"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11D191B4"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131</w:t>
            </w:r>
          </w:p>
        </w:tc>
        <w:tc>
          <w:tcPr>
            <w:tcW w:w="0" w:type="auto"/>
            <w:tcBorders>
              <w:top w:val="nil"/>
              <w:left w:val="nil"/>
              <w:bottom w:val="single" w:sz="4" w:space="0" w:color="auto"/>
              <w:right w:val="single" w:sz="4" w:space="0" w:color="auto"/>
            </w:tcBorders>
            <w:shd w:val="clear" w:color="000000" w:fill="EBF1DE"/>
            <w:noWrap/>
            <w:vAlign w:val="center"/>
            <w:hideMark/>
          </w:tcPr>
          <w:p w14:paraId="2FCF5EF6"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337</w:t>
            </w:r>
          </w:p>
        </w:tc>
        <w:tc>
          <w:tcPr>
            <w:tcW w:w="0" w:type="auto"/>
            <w:tcBorders>
              <w:top w:val="nil"/>
              <w:left w:val="nil"/>
              <w:bottom w:val="single" w:sz="4" w:space="0" w:color="auto"/>
              <w:right w:val="single" w:sz="4" w:space="0" w:color="auto"/>
            </w:tcBorders>
            <w:shd w:val="clear" w:color="000000" w:fill="EBF1DE"/>
            <w:noWrap/>
            <w:vAlign w:val="center"/>
            <w:hideMark/>
          </w:tcPr>
          <w:p w14:paraId="417AE287"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372</w:t>
            </w:r>
          </w:p>
        </w:tc>
        <w:tc>
          <w:tcPr>
            <w:tcW w:w="0" w:type="auto"/>
            <w:tcBorders>
              <w:top w:val="nil"/>
              <w:left w:val="nil"/>
              <w:bottom w:val="single" w:sz="4" w:space="0" w:color="auto"/>
              <w:right w:val="single" w:sz="4" w:space="0" w:color="auto"/>
            </w:tcBorders>
            <w:shd w:val="clear" w:color="000000" w:fill="EBF1DE"/>
            <w:noWrap/>
            <w:vAlign w:val="center"/>
            <w:hideMark/>
          </w:tcPr>
          <w:p w14:paraId="225122BF"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350</w:t>
            </w:r>
          </w:p>
        </w:tc>
        <w:tc>
          <w:tcPr>
            <w:tcW w:w="0" w:type="auto"/>
            <w:tcBorders>
              <w:top w:val="nil"/>
              <w:left w:val="nil"/>
              <w:bottom w:val="single" w:sz="4" w:space="0" w:color="auto"/>
              <w:right w:val="single" w:sz="4" w:space="0" w:color="auto"/>
            </w:tcBorders>
            <w:shd w:val="clear" w:color="000000" w:fill="EBF1DE"/>
            <w:noWrap/>
            <w:vAlign w:val="center"/>
            <w:hideMark/>
          </w:tcPr>
          <w:p w14:paraId="1DAEBABA"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153</w:t>
            </w:r>
          </w:p>
        </w:tc>
      </w:tr>
      <w:tr w:rsidR="00932E5C" w:rsidRPr="00105FFC" w14:paraId="71B70402"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5EF52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19F0396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14:paraId="2FD7FD6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79</w:t>
            </w:r>
          </w:p>
        </w:tc>
        <w:tc>
          <w:tcPr>
            <w:tcW w:w="0" w:type="auto"/>
            <w:tcBorders>
              <w:top w:val="nil"/>
              <w:left w:val="nil"/>
              <w:bottom w:val="single" w:sz="4" w:space="0" w:color="auto"/>
              <w:right w:val="single" w:sz="4" w:space="0" w:color="auto"/>
            </w:tcBorders>
            <w:shd w:val="clear" w:color="auto" w:fill="auto"/>
            <w:noWrap/>
            <w:vAlign w:val="center"/>
            <w:hideMark/>
          </w:tcPr>
          <w:p w14:paraId="0C20A34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92</w:t>
            </w:r>
          </w:p>
        </w:tc>
        <w:tc>
          <w:tcPr>
            <w:tcW w:w="0" w:type="auto"/>
            <w:tcBorders>
              <w:top w:val="nil"/>
              <w:left w:val="nil"/>
              <w:bottom w:val="single" w:sz="4" w:space="0" w:color="auto"/>
              <w:right w:val="single" w:sz="4" w:space="0" w:color="auto"/>
            </w:tcBorders>
            <w:shd w:val="clear" w:color="auto" w:fill="auto"/>
            <w:noWrap/>
            <w:vAlign w:val="center"/>
            <w:hideMark/>
          </w:tcPr>
          <w:p w14:paraId="5B25566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86</w:t>
            </w:r>
          </w:p>
        </w:tc>
        <w:tc>
          <w:tcPr>
            <w:tcW w:w="0" w:type="auto"/>
            <w:tcBorders>
              <w:top w:val="nil"/>
              <w:left w:val="nil"/>
              <w:bottom w:val="single" w:sz="4" w:space="0" w:color="auto"/>
              <w:right w:val="single" w:sz="4" w:space="0" w:color="auto"/>
            </w:tcBorders>
            <w:shd w:val="clear" w:color="auto" w:fill="auto"/>
            <w:noWrap/>
            <w:vAlign w:val="center"/>
            <w:hideMark/>
          </w:tcPr>
          <w:p w14:paraId="4270854F"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26</w:t>
            </w:r>
          </w:p>
        </w:tc>
      </w:tr>
      <w:tr w:rsidR="00932E5C" w:rsidRPr="00105FFC" w14:paraId="7BD8712B"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21B88A"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49B14AB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318B49D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479D436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7730A9E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14:paraId="20F1EB3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w:t>
            </w:r>
          </w:p>
        </w:tc>
      </w:tr>
      <w:tr w:rsidR="00932E5C" w:rsidRPr="00105FFC" w14:paraId="46B1E2DC"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7A6B9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287D77B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7066596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14:paraId="217FDD6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46</w:t>
            </w:r>
          </w:p>
        </w:tc>
        <w:tc>
          <w:tcPr>
            <w:tcW w:w="0" w:type="auto"/>
            <w:tcBorders>
              <w:top w:val="nil"/>
              <w:left w:val="nil"/>
              <w:bottom w:val="single" w:sz="4" w:space="0" w:color="auto"/>
              <w:right w:val="single" w:sz="4" w:space="0" w:color="auto"/>
            </w:tcBorders>
            <w:shd w:val="clear" w:color="auto" w:fill="auto"/>
            <w:noWrap/>
            <w:vAlign w:val="center"/>
            <w:hideMark/>
          </w:tcPr>
          <w:p w14:paraId="415D289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34</w:t>
            </w:r>
          </w:p>
        </w:tc>
        <w:tc>
          <w:tcPr>
            <w:tcW w:w="0" w:type="auto"/>
            <w:tcBorders>
              <w:top w:val="nil"/>
              <w:left w:val="nil"/>
              <w:bottom w:val="single" w:sz="4" w:space="0" w:color="auto"/>
              <w:right w:val="single" w:sz="4" w:space="0" w:color="auto"/>
            </w:tcBorders>
            <w:shd w:val="clear" w:color="auto" w:fill="auto"/>
            <w:noWrap/>
            <w:vAlign w:val="center"/>
            <w:hideMark/>
          </w:tcPr>
          <w:p w14:paraId="2DEBB60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w:t>
            </w:r>
          </w:p>
        </w:tc>
      </w:tr>
      <w:tr w:rsidR="00932E5C" w:rsidRPr="00105FFC" w14:paraId="557380A6"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58E8FD"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3AEF0E4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004520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0CB96E8"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5D691D3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2493CED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w:t>
            </w:r>
          </w:p>
        </w:tc>
      </w:tr>
      <w:tr w:rsidR="00932E5C" w:rsidRPr="00105FFC" w14:paraId="225423F3"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B390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6E67510D"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14:paraId="0C9D509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115</w:t>
            </w:r>
          </w:p>
        </w:tc>
        <w:tc>
          <w:tcPr>
            <w:tcW w:w="0" w:type="auto"/>
            <w:tcBorders>
              <w:top w:val="nil"/>
              <w:left w:val="nil"/>
              <w:bottom w:val="single" w:sz="4" w:space="0" w:color="auto"/>
              <w:right w:val="single" w:sz="4" w:space="0" w:color="auto"/>
            </w:tcBorders>
            <w:shd w:val="clear" w:color="auto" w:fill="auto"/>
            <w:noWrap/>
            <w:vAlign w:val="center"/>
            <w:hideMark/>
          </w:tcPr>
          <w:p w14:paraId="0A28936F"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86</w:t>
            </w:r>
          </w:p>
        </w:tc>
        <w:tc>
          <w:tcPr>
            <w:tcW w:w="0" w:type="auto"/>
            <w:tcBorders>
              <w:top w:val="nil"/>
              <w:left w:val="nil"/>
              <w:bottom w:val="single" w:sz="4" w:space="0" w:color="auto"/>
              <w:right w:val="single" w:sz="4" w:space="0" w:color="auto"/>
            </w:tcBorders>
            <w:shd w:val="clear" w:color="auto" w:fill="auto"/>
            <w:noWrap/>
            <w:vAlign w:val="center"/>
            <w:hideMark/>
          </w:tcPr>
          <w:p w14:paraId="51ACCB1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91</w:t>
            </w:r>
          </w:p>
        </w:tc>
        <w:tc>
          <w:tcPr>
            <w:tcW w:w="0" w:type="auto"/>
            <w:tcBorders>
              <w:top w:val="nil"/>
              <w:left w:val="nil"/>
              <w:bottom w:val="single" w:sz="4" w:space="0" w:color="auto"/>
              <w:right w:val="single" w:sz="4" w:space="0" w:color="auto"/>
            </w:tcBorders>
            <w:shd w:val="clear" w:color="auto" w:fill="auto"/>
            <w:noWrap/>
            <w:vAlign w:val="center"/>
            <w:hideMark/>
          </w:tcPr>
          <w:p w14:paraId="6CF8DD7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59</w:t>
            </w:r>
          </w:p>
        </w:tc>
      </w:tr>
      <w:tr w:rsidR="00932E5C" w:rsidRPr="00105FFC" w14:paraId="3F691BC8"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F3EA5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78719C8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98F35E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61465D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1793D16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1CD556A1" w14:textId="77777777" w:rsidR="00932E5C" w:rsidRPr="00105FFC" w:rsidRDefault="00932E5C" w:rsidP="00774675">
            <w:pPr>
              <w:jc w:val="center"/>
              <w:rPr>
                <w:rFonts w:asciiTheme="minorHAnsi" w:hAnsiTheme="minorHAnsi"/>
                <w:color w:val="000000"/>
                <w:sz w:val="20"/>
                <w:szCs w:val="20"/>
              </w:rPr>
            </w:pPr>
          </w:p>
        </w:tc>
      </w:tr>
      <w:tr w:rsidR="00932E5C" w:rsidRPr="00105FFC" w14:paraId="6DA23C76"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5B917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59E8327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14:paraId="3BE597FD"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14:paraId="72048FB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center"/>
            <w:hideMark/>
          </w:tcPr>
          <w:p w14:paraId="3409376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34</w:t>
            </w:r>
          </w:p>
        </w:tc>
        <w:tc>
          <w:tcPr>
            <w:tcW w:w="0" w:type="auto"/>
            <w:tcBorders>
              <w:top w:val="nil"/>
              <w:left w:val="nil"/>
              <w:bottom w:val="single" w:sz="4" w:space="0" w:color="auto"/>
              <w:right w:val="single" w:sz="4" w:space="0" w:color="auto"/>
            </w:tcBorders>
            <w:shd w:val="clear" w:color="auto" w:fill="auto"/>
            <w:noWrap/>
            <w:vAlign w:val="center"/>
            <w:hideMark/>
          </w:tcPr>
          <w:p w14:paraId="609FCDA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w:t>
            </w:r>
          </w:p>
        </w:tc>
      </w:tr>
      <w:tr w:rsidR="00932E5C" w:rsidRPr="00105FFC" w14:paraId="0CF157F3"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67A2D"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21B9B4D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6C5B613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08AC5A6A"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14:paraId="57153E3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14:paraId="6501B10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w:t>
            </w:r>
          </w:p>
        </w:tc>
      </w:tr>
      <w:tr w:rsidR="00932E5C" w:rsidRPr="00105FFC" w14:paraId="517644EB"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C7C92A"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087D197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14:paraId="4246AF7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71</w:t>
            </w:r>
          </w:p>
        </w:tc>
        <w:tc>
          <w:tcPr>
            <w:tcW w:w="0" w:type="auto"/>
            <w:tcBorders>
              <w:top w:val="nil"/>
              <w:left w:val="nil"/>
              <w:bottom w:val="single" w:sz="4" w:space="0" w:color="auto"/>
              <w:right w:val="single" w:sz="4" w:space="0" w:color="auto"/>
            </w:tcBorders>
            <w:shd w:val="clear" w:color="auto" w:fill="auto"/>
            <w:noWrap/>
            <w:vAlign w:val="center"/>
            <w:hideMark/>
          </w:tcPr>
          <w:p w14:paraId="2CC63BC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84</w:t>
            </w:r>
          </w:p>
        </w:tc>
        <w:tc>
          <w:tcPr>
            <w:tcW w:w="0" w:type="auto"/>
            <w:tcBorders>
              <w:top w:val="nil"/>
              <w:left w:val="nil"/>
              <w:bottom w:val="single" w:sz="4" w:space="0" w:color="auto"/>
              <w:right w:val="single" w:sz="4" w:space="0" w:color="auto"/>
            </w:tcBorders>
            <w:shd w:val="clear" w:color="auto" w:fill="auto"/>
            <w:noWrap/>
            <w:vAlign w:val="center"/>
            <w:hideMark/>
          </w:tcPr>
          <w:p w14:paraId="4BF0091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78</w:t>
            </w:r>
          </w:p>
        </w:tc>
        <w:tc>
          <w:tcPr>
            <w:tcW w:w="0" w:type="auto"/>
            <w:tcBorders>
              <w:top w:val="nil"/>
              <w:left w:val="nil"/>
              <w:bottom w:val="single" w:sz="4" w:space="0" w:color="auto"/>
              <w:right w:val="single" w:sz="4" w:space="0" w:color="auto"/>
            </w:tcBorders>
            <w:shd w:val="clear" w:color="auto" w:fill="auto"/>
            <w:noWrap/>
            <w:vAlign w:val="center"/>
            <w:hideMark/>
          </w:tcPr>
          <w:p w14:paraId="5298F83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45</w:t>
            </w:r>
          </w:p>
        </w:tc>
      </w:tr>
    </w:tbl>
    <w:p w14:paraId="413ED266" w14:textId="77777777" w:rsidR="00932E5C" w:rsidRPr="00105FFC" w:rsidRDefault="00932E5C" w:rsidP="00932E5C">
      <w:pPr>
        <w:spacing w:after="120"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221A6388" w14:textId="77777777" w:rsidR="00932E5C" w:rsidRPr="00105FFC" w:rsidRDefault="00932E5C" w:rsidP="00932E5C">
      <w:pPr>
        <w:spacing w:after="120" w:line="276" w:lineRule="auto"/>
        <w:rPr>
          <w:rFonts w:asciiTheme="minorHAnsi" w:eastAsiaTheme="minorHAnsi" w:hAnsiTheme="minorHAnsi" w:cs="Tahoma"/>
          <w:sz w:val="16"/>
          <w:szCs w:val="16"/>
        </w:rPr>
      </w:pPr>
    </w:p>
    <w:p w14:paraId="69690F07" w14:textId="77777777" w:rsidR="00932E5C" w:rsidRPr="00105FFC" w:rsidRDefault="00932E5C" w:rsidP="00932E5C">
      <w:pPr>
        <w:rPr>
          <w:rFonts w:asciiTheme="minorHAnsi" w:eastAsiaTheme="minorHAnsi" w:hAnsiTheme="minorHAnsi" w:cstheme="minorBidi"/>
          <w:b/>
          <w:bCs/>
          <w:sz w:val="20"/>
          <w:szCs w:val="20"/>
        </w:rPr>
      </w:pPr>
      <w:bookmarkStart w:id="377" w:name="_Toc458783106"/>
      <w:bookmarkStart w:id="378" w:name="_Toc459285176"/>
      <w:r w:rsidRPr="00105FFC">
        <w:rPr>
          <w:rFonts w:asciiTheme="minorHAnsi" w:eastAsiaTheme="minorHAnsi" w:hAnsiTheme="minorHAnsi" w:cstheme="minorBidi"/>
          <w:b/>
          <w:bCs/>
          <w:sz w:val="20"/>
          <w:szCs w:val="20"/>
        </w:rPr>
        <w:t xml:space="preserve">Table </w:t>
      </w:r>
      <w:r w:rsidRPr="00105FFC">
        <w:rPr>
          <w:rFonts w:asciiTheme="minorHAnsi" w:eastAsiaTheme="minorHAnsi" w:hAnsiTheme="minorHAnsi" w:cstheme="minorBidi"/>
          <w:b/>
          <w:bCs/>
          <w:sz w:val="20"/>
          <w:szCs w:val="20"/>
        </w:rPr>
        <w:fldChar w:fldCharType="begin"/>
      </w:r>
      <w:r w:rsidRPr="00105FFC">
        <w:rPr>
          <w:rFonts w:asciiTheme="minorHAnsi" w:eastAsiaTheme="minorHAnsi" w:hAnsiTheme="minorHAnsi" w:cstheme="minorBidi"/>
          <w:b/>
          <w:bCs/>
          <w:sz w:val="20"/>
          <w:szCs w:val="20"/>
        </w:rPr>
        <w:instrText xml:space="preserve"> SEQ Table \* ARABIC </w:instrText>
      </w:r>
      <w:r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31</w:t>
      </w:r>
      <w:r w:rsidRPr="00105FFC">
        <w:rPr>
          <w:rFonts w:asciiTheme="minorHAnsi" w:eastAsiaTheme="minorHAnsi" w:hAnsiTheme="minorHAnsi" w:cstheme="minorBidi"/>
          <w:b/>
          <w:bCs/>
          <w:sz w:val="20"/>
          <w:szCs w:val="20"/>
        </w:rPr>
        <w:fldChar w:fldCharType="end"/>
      </w:r>
      <w:r w:rsidRPr="00105FFC">
        <w:rPr>
          <w:rFonts w:asciiTheme="minorHAnsi" w:eastAsiaTheme="minorHAnsi" w:hAnsiTheme="minorHAnsi" w:cstheme="minorBidi"/>
          <w:b/>
          <w:bCs/>
          <w:sz w:val="20"/>
          <w:szCs w:val="20"/>
        </w:rPr>
        <w:t xml:space="preserve">: </w:t>
      </w:r>
      <w:r w:rsidRPr="00105FFC">
        <w:rPr>
          <w:rFonts w:asciiTheme="minorHAnsi" w:eastAsiaTheme="minorHAnsi" w:hAnsiTheme="minorHAnsi" w:cstheme="minorBidi"/>
          <w:bCs/>
          <w:sz w:val="20"/>
          <w:szCs w:val="20"/>
        </w:rPr>
        <w:t>Total Medi-Cal Participating Behavioral Health Providers in SFY 2014-15, by Service Setting and Geographic Region</w:t>
      </w:r>
      <w:bookmarkEnd w:id="377"/>
      <w:bookmarkEnd w:id="378"/>
    </w:p>
    <w:tbl>
      <w:tblPr>
        <w:tblW w:w="0" w:type="auto"/>
        <w:tblInd w:w="93" w:type="dxa"/>
        <w:tblLook w:val="04A0" w:firstRow="1" w:lastRow="0" w:firstColumn="1" w:lastColumn="0" w:noHBand="0" w:noVBand="1"/>
      </w:tblPr>
      <w:tblGrid>
        <w:gridCol w:w="2005"/>
        <w:gridCol w:w="2188"/>
        <w:gridCol w:w="1711"/>
        <w:gridCol w:w="1863"/>
        <w:gridCol w:w="741"/>
        <w:gridCol w:w="700"/>
      </w:tblGrid>
      <w:tr w:rsidR="00932E5C" w:rsidRPr="00105FFC" w14:paraId="06401ABB" w14:textId="77777777" w:rsidTr="00774675">
        <w:trPr>
          <w:trHeight w:val="300"/>
        </w:trPr>
        <w:tc>
          <w:tcPr>
            <w:tcW w:w="0" w:type="auto"/>
            <w:gridSpan w:val="6"/>
            <w:tcBorders>
              <w:top w:val="nil"/>
              <w:left w:val="single" w:sz="4" w:space="0" w:color="auto"/>
              <w:bottom w:val="single" w:sz="4" w:space="0" w:color="auto"/>
              <w:right w:val="nil"/>
            </w:tcBorders>
            <w:shd w:val="clear" w:color="000000" w:fill="000000"/>
            <w:noWrap/>
            <w:vAlign w:val="center"/>
            <w:hideMark/>
          </w:tcPr>
          <w:p w14:paraId="7E726957" w14:textId="77777777" w:rsidR="00932E5C" w:rsidRPr="00105FFC" w:rsidRDefault="00932E5C" w:rsidP="00774675">
            <w:pPr>
              <w:jc w:val="center"/>
              <w:rPr>
                <w:rFonts w:asciiTheme="minorHAnsi" w:hAnsiTheme="minorHAnsi"/>
                <w:b/>
                <w:bCs/>
                <w:color w:val="FFFFFF"/>
                <w:sz w:val="20"/>
                <w:szCs w:val="20"/>
              </w:rPr>
            </w:pPr>
            <w:r w:rsidRPr="00105FFC">
              <w:rPr>
                <w:rFonts w:asciiTheme="minorHAnsi" w:hAnsiTheme="minorHAnsi"/>
                <w:b/>
                <w:bCs/>
                <w:color w:val="FFFFFF"/>
                <w:sz w:val="20"/>
                <w:szCs w:val="20"/>
              </w:rPr>
              <w:t>Behavioral Health Providers</w:t>
            </w:r>
          </w:p>
        </w:tc>
      </w:tr>
      <w:tr w:rsidR="00932E5C" w:rsidRPr="00105FFC" w14:paraId="20D19E27" w14:textId="77777777" w:rsidTr="0077467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44E2F9A"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26852593"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Emergency Department</w:t>
            </w:r>
          </w:p>
        </w:tc>
        <w:tc>
          <w:tcPr>
            <w:tcW w:w="0" w:type="auto"/>
            <w:tcBorders>
              <w:top w:val="nil"/>
              <w:left w:val="nil"/>
              <w:bottom w:val="single" w:sz="4" w:space="0" w:color="auto"/>
              <w:right w:val="single" w:sz="4" w:space="0" w:color="auto"/>
            </w:tcBorders>
            <w:shd w:val="clear" w:color="000000" w:fill="F2F2F2"/>
            <w:noWrap/>
            <w:vAlign w:val="center"/>
            <w:hideMark/>
          </w:tcPr>
          <w:p w14:paraId="5CFF5131"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Inpatient</w:t>
            </w:r>
          </w:p>
        </w:tc>
        <w:tc>
          <w:tcPr>
            <w:tcW w:w="0" w:type="auto"/>
            <w:tcBorders>
              <w:top w:val="nil"/>
              <w:left w:val="nil"/>
              <w:bottom w:val="single" w:sz="4" w:space="0" w:color="auto"/>
              <w:right w:val="single" w:sz="4" w:space="0" w:color="auto"/>
            </w:tcBorders>
            <w:shd w:val="clear" w:color="000000" w:fill="F2F2F2"/>
            <w:noWrap/>
            <w:vAlign w:val="center"/>
            <w:hideMark/>
          </w:tcPr>
          <w:p w14:paraId="49DAA801" w14:textId="77777777" w:rsidR="00932E5C" w:rsidRPr="00105FFC" w:rsidRDefault="00932E5C" w:rsidP="00774675">
            <w:pPr>
              <w:rPr>
                <w:rFonts w:asciiTheme="minorHAnsi" w:hAnsiTheme="minorHAnsi"/>
                <w:b/>
                <w:bCs/>
                <w:color w:val="000000"/>
                <w:sz w:val="20"/>
                <w:szCs w:val="20"/>
              </w:rPr>
            </w:pPr>
            <w:r w:rsidRPr="00105FFC">
              <w:rPr>
                <w:rFonts w:asciiTheme="minorHAnsi" w:hAnsiTheme="minorHAnsi"/>
                <w:b/>
                <w:bCs/>
                <w:color w:val="000000"/>
                <w:sz w:val="20"/>
                <w:szCs w:val="20"/>
              </w:rPr>
              <w:t>Hospital Outpatient</w:t>
            </w:r>
          </w:p>
        </w:tc>
        <w:tc>
          <w:tcPr>
            <w:tcW w:w="0" w:type="auto"/>
            <w:tcBorders>
              <w:top w:val="nil"/>
              <w:left w:val="nil"/>
              <w:bottom w:val="single" w:sz="4" w:space="0" w:color="auto"/>
              <w:right w:val="single" w:sz="4" w:space="0" w:color="auto"/>
            </w:tcBorders>
            <w:shd w:val="clear" w:color="000000" w:fill="F2F2F2"/>
            <w:noWrap/>
            <w:vAlign w:val="center"/>
            <w:hideMark/>
          </w:tcPr>
          <w:p w14:paraId="646C1B15"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Clinics</w:t>
            </w:r>
          </w:p>
        </w:tc>
        <w:tc>
          <w:tcPr>
            <w:tcW w:w="0" w:type="auto"/>
            <w:tcBorders>
              <w:top w:val="nil"/>
              <w:left w:val="nil"/>
              <w:bottom w:val="single" w:sz="4" w:space="0" w:color="auto"/>
              <w:right w:val="single" w:sz="4" w:space="0" w:color="auto"/>
            </w:tcBorders>
            <w:shd w:val="clear" w:color="000000" w:fill="F2F2F2"/>
            <w:noWrap/>
            <w:vAlign w:val="center"/>
            <w:hideMark/>
          </w:tcPr>
          <w:p w14:paraId="2257E3F9"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Other</w:t>
            </w:r>
          </w:p>
        </w:tc>
      </w:tr>
      <w:tr w:rsidR="00932E5C" w:rsidRPr="00105FFC" w14:paraId="3D567DDF" w14:textId="77777777" w:rsidTr="00774675">
        <w:trPr>
          <w:trHeight w:val="300"/>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24ACF7B7"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1AA7EE24"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160</w:t>
            </w:r>
          </w:p>
        </w:tc>
        <w:tc>
          <w:tcPr>
            <w:tcW w:w="0" w:type="auto"/>
            <w:tcBorders>
              <w:top w:val="nil"/>
              <w:left w:val="nil"/>
              <w:bottom w:val="single" w:sz="4" w:space="0" w:color="auto"/>
              <w:right w:val="single" w:sz="4" w:space="0" w:color="auto"/>
            </w:tcBorders>
            <w:shd w:val="clear" w:color="000000" w:fill="EBF1DE"/>
            <w:noWrap/>
            <w:vAlign w:val="center"/>
            <w:hideMark/>
          </w:tcPr>
          <w:p w14:paraId="37679992"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402</w:t>
            </w:r>
          </w:p>
        </w:tc>
        <w:tc>
          <w:tcPr>
            <w:tcW w:w="0" w:type="auto"/>
            <w:tcBorders>
              <w:top w:val="nil"/>
              <w:left w:val="nil"/>
              <w:bottom w:val="single" w:sz="4" w:space="0" w:color="auto"/>
              <w:right w:val="single" w:sz="4" w:space="0" w:color="auto"/>
            </w:tcBorders>
            <w:shd w:val="clear" w:color="000000" w:fill="EBF1DE"/>
            <w:noWrap/>
            <w:vAlign w:val="center"/>
            <w:hideMark/>
          </w:tcPr>
          <w:p w14:paraId="1C7B3C40"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381</w:t>
            </w:r>
          </w:p>
        </w:tc>
        <w:tc>
          <w:tcPr>
            <w:tcW w:w="0" w:type="auto"/>
            <w:tcBorders>
              <w:top w:val="nil"/>
              <w:left w:val="nil"/>
              <w:bottom w:val="single" w:sz="4" w:space="0" w:color="auto"/>
              <w:right w:val="single" w:sz="4" w:space="0" w:color="auto"/>
            </w:tcBorders>
            <w:shd w:val="clear" w:color="000000" w:fill="EBF1DE"/>
            <w:noWrap/>
            <w:vAlign w:val="center"/>
            <w:hideMark/>
          </w:tcPr>
          <w:p w14:paraId="3EC31E4B"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442</w:t>
            </w:r>
          </w:p>
        </w:tc>
        <w:tc>
          <w:tcPr>
            <w:tcW w:w="0" w:type="auto"/>
            <w:tcBorders>
              <w:top w:val="nil"/>
              <w:left w:val="nil"/>
              <w:bottom w:val="single" w:sz="4" w:space="0" w:color="auto"/>
              <w:right w:val="single" w:sz="4" w:space="0" w:color="auto"/>
            </w:tcBorders>
            <w:shd w:val="clear" w:color="000000" w:fill="EBF1DE"/>
            <w:noWrap/>
            <w:vAlign w:val="center"/>
            <w:hideMark/>
          </w:tcPr>
          <w:p w14:paraId="5E6E022E"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159</w:t>
            </w:r>
          </w:p>
        </w:tc>
      </w:tr>
      <w:tr w:rsidR="00932E5C" w:rsidRPr="00105FFC" w14:paraId="1AA15D72"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27A1B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1D73AAD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14:paraId="796CFCBF"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105</w:t>
            </w:r>
          </w:p>
        </w:tc>
        <w:tc>
          <w:tcPr>
            <w:tcW w:w="0" w:type="auto"/>
            <w:tcBorders>
              <w:top w:val="nil"/>
              <w:left w:val="nil"/>
              <w:bottom w:val="single" w:sz="4" w:space="0" w:color="auto"/>
              <w:right w:val="single" w:sz="4" w:space="0" w:color="auto"/>
            </w:tcBorders>
            <w:shd w:val="clear" w:color="auto" w:fill="auto"/>
            <w:noWrap/>
            <w:vAlign w:val="center"/>
            <w:hideMark/>
          </w:tcPr>
          <w:p w14:paraId="6529300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100</w:t>
            </w:r>
          </w:p>
        </w:tc>
        <w:tc>
          <w:tcPr>
            <w:tcW w:w="0" w:type="auto"/>
            <w:tcBorders>
              <w:top w:val="nil"/>
              <w:left w:val="nil"/>
              <w:bottom w:val="single" w:sz="4" w:space="0" w:color="auto"/>
              <w:right w:val="single" w:sz="4" w:space="0" w:color="auto"/>
            </w:tcBorders>
            <w:shd w:val="clear" w:color="auto" w:fill="auto"/>
            <w:noWrap/>
            <w:vAlign w:val="center"/>
            <w:hideMark/>
          </w:tcPr>
          <w:p w14:paraId="7823AA0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117</w:t>
            </w:r>
          </w:p>
        </w:tc>
        <w:tc>
          <w:tcPr>
            <w:tcW w:w="0" w:type="auto"/>
            <w:tcBorders>
              <w:top w:val="nil"/>
              <w:left w:val="nil"/>
              <w:bottom w:val="single" w:sz="4" w:space="0" w:color="auto"/>
              <w:right w:val="single" w:sz="4" w:space="0" w:color="auto"/>
            </w:tcBorders>
            <w:shd w:val="clear" w:color="auto" w:fill="auto"/>
            <w:noWrap/>
            <w:vAlign w:val="center"/>
            <w:hideMark/>
          </w:tcPr>
          <w:p w14:paraId="0B3F68BA"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20</w:t>
            </w:r>
          </w:p>
        </w:tc>
      </w:tr>
      <w:tr w:rsidR="00932E5C" w:rsidRPr="00105FFC" w14:paraId="168160F9"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8AA8E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517E21C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6EE3695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254C634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14:paraId="7E8A6C3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14:paraId="1F65913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w:t>
            </w:r>
          </w:p>
        </w:tc>
      </w:tr>
      <w:tr w:rsidR="00932E5C" w:rsidRPr="00105FFC" w14:paraId="0C7C8B9F"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71F07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3A2223E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4AC80A5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774198FF"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14:paraId="2A97765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14:paraId="0FA372E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w:t>
            </w:r>
          </w:p>
        </w:tc>
      </w:tr>
      <w:tr w:rsidR="00932E5C" w:rsidRPr="00105FFC" w14:paraId="4194E0FF"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051BF8"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5C0EBE5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CA8701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4DFDD9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B44EA8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5DE55258" w14:textId="77777777" w:rsidR="00932E5C" w:rsidRPr="00105FFC" w:rsidRDefault="00932E5C" w:rsidP="00774675">
            <w:pPr>
              <w:jc w:val="center"/>
              <w:rPr>
                <w:rFonts w:asciiTheme="minorHAnsi" w:hAnsiTheme="minorHAnsi"/>
                <w:color w:val="000000"/>
                <w:sz w:val="20"/>
                <w:szCs w:val="20"/>
              </w:rPr>
            </w:pPr>
          </w:p>
        </w:tc>
      </w:tr>
      <w:tr w:rsidR="00932E5C" w:rsidRPr="00105FFC" w14:paraId="400FBABE"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8671D"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16E87A2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55</w:t>
            </w:r>
          </w:p>
        </w:tc>
        <w:tc>
          <w:tcPr>
            <w:tcW w:w="0" w:type="auto"/>
            <w:tcBorders>
              <w:top w:val="nil"/>
              <w:left w:val="nil"/>
              <w:bottom w:val="single" w:sz="4" w:space="0" w:color="auto"/>
              <w:right w:val="single" w:sz="4" w:space="0" w:color="auto"/>
            </w:tcBorders>
            <w:shd w:val="clear" w:color="auto" w:fill="auto"/>
            <w:noWrap/>
            <w:vAlign w:val="center"/>
            <w:hideMark/>
          </w:tcPr>
          <w:p w14:paraId="6FA33A5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129</w:t>
            </w:r>
          </w:p>
        </w:tc>
        <w:tc>
          <w:tcPr>
            <w:tcW w:w="0" w:type="auto"/>
            <w:tcBorders>
              <w:top w:val="nil"/>
              <w:left w:val="nil"/>
              <w:bottom w:val="single" w:sz="4" w:space="0" w:color="auto"/>
              <w:right w:val="single" w:sz="4" w:space="0" w:color="auto"/>
            </w:tcBorders>
            <w:shd w:val="clear" w:color="auto" w:fill="auto"/>
            <w:noWrap/>
            <w:vAlign w:val="center"/>
            <w:hideMark/>
          </w:tcPr>
          <w:p w14:paraId="640194A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14:paraId="2BB00F4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121</w:t>
            </w:r>
          </w:p>
        </w:tc>
        <w:tc>
          <w:tcPr>
            <w:tcW w:w="0" w:type="auto"/>
            <w:tcBorders>
              <w:top w:val="nil"/>
              <w:left w:val="nil"/>
              <w:bottom w:val="single" w:sz="4" w:space="0" w:color="auto"/>
              <w:right w:val="single" w:sz="4" w:space="0" w:color="auto"/>
            </w:tcBorders>
            <w:shd w:val="clear" w:color="auto" w:fill="auto"/>
            <w:noWrap/>
            <w:vAlign w:val="center"/>
            <w:hideMark/>
          </w:tcPr>
          <w:p w14:paraId="1C45E28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63</w:t>
            </w:r>
          </w:p>
        </w:tc>
      </w:tr>
      <w:tr w:rsidR="00932E5C" w:rsidRPr="00105FFC" w14:paraId="32192F07"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BEE3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4B6F13CA"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F571BB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BCF854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73383B5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4F48ACC7" w14:textId="77777777" w:rsidR="00932E5C" w:rsidRPr="00105FFC" w:rsidRDefault="00932E5C" w:rsidP="00774675">
            <w:pPr>
              <w:jc w:val="center"/>
              <w:rPr>
                <w:rFonts w:asciiTheme="minorHAnsi" w:hAnsiTheme="minorHAnsi"/>
                <w:color w:val="000000"/>
                <w:sz w:val="20"/>
                <w:szCs w:val="20"/>
              </w:rPr>
            </w:pPr>
          </w:p>
        </w:tc>
      </w:tr>
      <w:tr w:rsidR="00932E5C" w:rsidRPr="00105FFC" w14:paraId="36051B1F"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2DE62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7AE2378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14:paraId="537866E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14:paraId="4D11266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49</w:t>
            </w:r>
          </w:p>
        </w:tc>
        <w:tc>
          <w:tcPr>
            <w:tcW w:w="0" w:type="auto"/>
            <w:tcBorders>
              <w:top w:val="nil"/>
              <w:left w:val="nil"/>
              <w:bottom w:val="single" w:sz="4" w:space="0" w:color="auto"/>
              <w:right w:val="single" w:sz="4" w:space="0" w:color="auto"/>
            </w:tcBorders>
            <w:shd w:val="clear" w:color="auto" w:fill="auto"/>
            <w:noWrap/>
            <w:vAlign w:val="center"/>
            <w:hideMark/>
          </w:tcPr>
          <w:p w14:paraId="25FB1FE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34</w:t>
            </w:r>
          </w:p>
        </w:tc>
        <w:tc>
          <w:tcPr>
            <w:tcW w:w="0" w:type="auto"/>
            <w:tcBorders>
              <w:top w:val="nil"/>
              <w:left w:val="nil"/>
              <w:bottom w:val="single" w:sz="4" w:space="0" w:color="auto"/>
              <w:right w:val="single" w:sz="4" w:space="0" w:color="auto"/>
            </w:tcBorders>
            <w:shd w:val="clear" w:color="auto" w:fill="auto"/>
            <w:noWrap/>
            <w:vAlign w:val="center"/>
            <w:hideMark/>
          </w:tcPr>
          <w:p w14:paraId="2E02A1C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w:t>
            </w:r>
          </w:p>
        </w:tc>
      </w:tr>
      <w:tr w:rsidR="00932E5C" w:rsidRPr="00105FFC" w14:paraId="1F4EE19D"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EE473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5C2E990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02B1038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5BDFFF3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14:paraId="3B4DF5C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14:paraId="38DA071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w:t>
            </w:r>
          </w:p>
        </w:tc>
      </w:tr>
      <w:tr w:rsidR="00932E5C" w:rsidRPr="00105FFC" w14:paraId="1C5326D2"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31F8D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0824EBF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34</w:t>
            </w:r>
          </w:p>
        </w:tc>
        <w:tc>
          <w:tcPr>
            <w:tcW w:w="0" w:type="auto"/>
            <w:tcBorders>
              <w:top w:val="nil"/>
              <w:left w:val="nil"/>
              <w:bottom w:val="single" w:sz="4" w:space="0" w:color="auto"/>
              <w:right w:val="single" w:sz="4" w:space="0" w:color="auto"/>
            </w:tcBorders>
            <w:shd w:val="clear" w:color="auto" w:fill="auto"/>
            <w:noWrap/>
            <w:vAlign w:val="center"/>
            <w:hideMark/>
          </w:tcPr>
          <w:p w14:paraId="0B7C0BC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91</w:t>
            </w:r>
          </w:p>
        </w:tc>
        <w:tc>
          <w:tcPr>
            <w:tcW w:w="0" w:type="auto"/>
            <w:tcBorders>
              <w:top w:val="nil"/>
              <w:left w:val="nil"/>
              <w:bottom w:val="single" w:sz="4" w:space="0" w:color="auto"/>
              <w:right w:val="single" w:sz="4" w:space="0" w:color="auto"/>
            </w:tcBorders>
            <w:shd w:val="clear" w:color="auto" w:fill="auto"/>
            <w:noWrap/>
            <w:vAlign w:val="center"/>
            <w:hideMark/>
          </w:tcPr>
          <w:p w14:paraId="30DC0CCF"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88</w:t>
            </w:r>
          </w:p>
        </w:tc>
        <w:tc>
          <w:tcPr>
            <w:tcW w:w="0" w:type="auto"/>
            <w:tcBorders>
              <w:top w:val="nil"/>
              <w:left w:val="nil"/>
              <w:bottom w:val="single" w:sz="4" w:space="0" w:color="auto"/>
              <w:right w:val="single" w:sz="4" w:space="0" w:color="auto"/>
            </w:tcBorders>
            <w:shd w:val="clear" w:color="auto" w:fill="auto"/>
            <w:noWrap/>
            <w:vAlign w:val="center"/>
            <w:hideMark/>
          </w:tcPr>
          <w:p w14:paraId="04E43A4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100</w:t>
            </w:r>
          </w:p>
        </w:tc>
        <w:tc>
          <w:tcPr>
            <w:tcW w:w="0" w:type="auto"/>
            <w:tcBorders>
              <w:top w:val="nil"/>
              <w:left w:val="nil"/>
              <w:bottom w:val="single" w:sz="4" w:space="0" w:color="auto"/>
              <w:right w:val="single" w:sz="4" w:space="0" w:color="auto"/>
            </w:tcBorders>
            <w:shd w:val="clear" w:color="auto" w:fill="auto"/>
            <w:noWrap/>
            <w:vAlign w:val="center"/>
            <w:hideMark/>
          </w:tcPr>
          <w:p w14:paraId="429D019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65</w:t>
            </w:r>
          </w:p>
        </w:tc>
      </w:tr>
    </w:tbl>
    <w:p w14:paraId="3D0510C5" w14:textId="77777777" w:rsidR="00932E5C" w:rsidRPr="00105FFC" w:rsidRDefault="00932E5C" w:rsidP="00932E5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06611E2D" w14:textId="77777777" w:rsidR="00932E5C" w:rsidRPr="00105FFC" w:rsidRDefault="00932E5C" w:rsidP="00932E5C">
      <w:pPr>
        <w:spacing w:line="276" w:lineRule="auto"/>
        <w:rPr>
          <w:rFonts w:asciiTheme="minorHAnsi" w:eastAsiaTheme="minorHAnsi" w:hAnsiTheme="minorHAnsi" w:cs="Tahoma"/>
          <w:sz w:val="16"/>
          <w:szCs w:val="16"/>
        </w:rPr>
      </w:pPr>
    </w:p>
    <w:p w14:paraId="56CF5832" w14:textId="77777777" w:rsidR="00073BFC" w:rsidRPr="00105FFC" w:rsidRDefault="00073BFC" w:rsidP="00802F4A">
      <w:pPr>
        <w:pStyle w:val="Heading4"/>
        <w:spacing w:before="0" w:after="120" w:line="276" w:lineRule="auto"/>
      </w:pPr>
      <w:r w:rsidRPr="00105FFC">
        <w:t>Pre- and Post-Natal Obstetric Providers</w:t>
      </w:r>
    </w:p>
    <w:p w14:paraId="6B776AAD" w14:textId="77777777" w:rsidR="002960F7" w:rsidRPr="00105FFC" w:rsidRDefault="00073BFC" w:rsidP="00073BFC">
      <w:pPr>
        <w:spacing w:after="120" w:line="276" w:lineRule="auto"/>
        <w:rPr>
          <w:rFonts w:asciiTheme="minorHAnsi" w:eastAsiaTheme="minorHAnsi" w:hAnsiTheme="minorHAnsi" w:cstheme="minorBidi"/>
          <w:sz w:val="23"/>
          <w:szCs w:val="23"/>
        </w:rPr>
      </w:pPr>
      <w:r w:rsidRPr="00105FFC">
        <w:rPr>
          <w:rFonts w:asciiTheme="minorHAnsi" w:eastAsiaTheme="minorHAnsi" w:hAnsiTheme="minorHAnsi" w:cstheme="minorBidi"/>
          <w:sz w:val="23"/>
          <w:szCs w:val="23"/>
        </w:rPr>
        <w:t>Pre- and Post-Natal Obstetric providers include physicians, physician groups, and other non-physician providers</w:t>
      </w:r>
      <w:r w:rsidR="007165C6" w:rsidRPr="00105FFC">
        <w:rPr>
          <w:rFonts w:asciiTheme="minorHAnsi" w:eastAsiaTheme="minorHAnsi" w:hAnsiTheme="minorHAnsi" w:cstheme="minorBidi"/>
          <w:sz w:val="23"/>
          <w:szCs w:val="23"/>
        </w:rPr>
        <w:t xml:space="preserve"> such as midwives</w:t>
      </w:r>
      <w:r w:rsidR="002960F7" w:rsidRPr="00105FFC">
        <w:rPr>
          <w:rFonts w:asciiTheme="minorHAnsi" w:eastAsiaTheme="minorHAnsi" w:hAnsiTheme="minorHAnsi" w:cstheme="minorBidi"/>
          <w:sz w:val="23"/>
          <w:szCs w:val="23"/>
        </w:rPr>
        <w:t xml:space="preserve"> </w:t>
      </w:r>
      <w:r w:rsidR="00E50DA6" w:rsidRPr="00105FFC">
        <w:rPr>
          <w:rFonts w:asciiTheme="minorHAnsi" w:eastAsiaTheme="minorHAnsi" w:hAnsiTheme="minorHAnsi" w:cstheme="minorBidi"/>
          <w:sz w:val="23"/>
          <w:szCs w:val="23"/>
        </w:rPr>
        <w:t>(Appendix H</w:t>
      </w:r>
      <w:r w:rsidR="002960F7" w:rsidRPr="00105FFC">
        <w:rPr>
          <w:rFonts w:asciiTheme="minorHAnsi" w:eastAsiaTheme="minorHAnsi" w:hAnsiTheme="minorHAnsi" w:cstheme="minorBidi"/>
          <w:sz w:val="23"/>
          <w:szCs w:val="23"/>
        </w:rPr>
        <w:t>)</w:t>
      </w:r>
      <w:r w:rsidRPr="00105FFC">
        <w:rPr>
          <w:rFonts w:asciiTheme="minorHAnsi" w:eastAsiaTheme="minorHAnsi" w:hAnsiTheme="minorHAnsi" w:cstheme="minorBidi"/>
          <w:sz w:val="23"/>
          <w:szCs w:val="23"/>
        </w:rPr>
        <w:t xml:space="preserve">. Statewide during SFY 2013-14, there were 4,475 Pre- and Post-Natal Obstetric providers that provided services to Medi-Cal beneficiaries, compared to 4,670 during SFY 2014-15. The geographic region with the largest number of participating Pre- and Post-Natal Obstetric providers was Los Angeles, with 1,357 providers during SFY 2013-14 and 1,499 during SFY 2014-15. The geographic regions with the next-largest number of participating Pre- and Post-Natal Obstetric providers were Southern California, with 1,312 participating providers during SFY 2013-14 and 1,415 during SFY 2014-15; and the Bay Area, with 1,092 participating providers during SFY 2013-14 and 1,132 during SFY 2014-15 (Tables </w:t>
      </w:r>
      <w:r w:rsidR="00581549" w:rsidRPr="00105FFC">
        <w:rPr>
          <w:rFonts w:asciiTheme="minorHAnsi" w:eastAsiaTheme="minorHAnsi" w:hAnsiTheme="minorHAnsi" w:cstheme="minorBidi"/>
          <w:sz w:val="23"/>
          <w:szCs w:val="23"/>
        </w:rPr>
        <w:t>32</w:t>
      </w:r>
      <w:r w:rsidR="00E50DA6" w:rsidRPr="00105FFC">
        <w:rPr>
          <w:rFonts w:asciiTheme="minorHAnsi" w:eastAsiaTheme="minorHAnsi" w:hAnsiTheme="minorHAnsi" w:cstheme="minorBidi"/>
          <w:sz w:val="23"/>
          <w:szCs w:val="23"/>
        </w:rPr>
        <w:t>-</w:t>
      </w:r>
      <w:r w:rsidR="00581549" w:rsidRPr="00105FFC">
        <w:rPr>
          <w:rFonts w:asciiTheme="minorHAnsi" w:eastAsiaTheme="minorHAnsi" w:hAnsiTheme="minorHAnsi" w:cstheme="minorBidi"/>
          <w:sz w:val="23"/>
          <w:szCs w:val="23"/>
        </w:rPr>
        <w:t>33</w:t>
      </w:r>
      <w:r w:rsidRPr="00105FFC">
        <w:rPr>
          <w:rFonts w:asciiTheme="minorHAnsi" w:eastAsiaTheme="minorHAnsi" w:hAnsiTheme="minorHAnsi" w:cstheme="minorBidi"/>
          <w:sz w:val="23"/>
          <w:szCs w:val="23"/>
        </w:rPr>
        <w:t xml:space="preserve">; Figure </w:t>
      </w:r>
      <w:r w:rsidR="00E50DA6" w:rsidRPr="00105FFC">
        <w:rPr>
          <w:rFonts w:asciiTheme="minorHAnsi" w:eastAsiaTheme="minorHAnsi" w:hAnsiTheme="minorHAnsi" w:cstheme="minorBidi"/>
          <w:sz w:val="23"/>
          <w:szCs w:val="23"/>
        </w:rPr>
        <w:t>3</w:t>
      </w:r>
      <w:r w:rsidR="000468AD" w:rsidRPr="00105FFC">
        <w:rPr>
          <w:rFonts w:asciiTheme="minorHAnsi" w:eastAsiaTheme="minorHAnsi" w:hAnsiTheme="minorHAnsi" w:cstheme="minorBidi"/>
          <w:sz w:val="23"/>
          <w:szCs w:val="23"/>
        </w:rPr>
        <w:t>5</w:t>
      </w:r>
      <w:r w:rsidRPr="00105FFC">
        <w:rPr>
          <w:rFonts w:asciiTheme="minorHAnsi" w:eastAsiaTheme="minorHAnsi" w:hAnsiTheme="minorHAnsi" w:cstheme="minorBidi"/>
          <w:sz w:val="23"/>
          <w:szCs w:val="23"/>
        </w:rPr>
        <w:t>).</w:t>
      </w:r>
    </w:p>
    <w:p w14:paraId="5F4459FE" w14:textId="77777777" w:rsidR="002960F7" w:rsidRPr="00105FFC" w:rsidRDefault="002960F7">
      <w:pPr>
        <w:spacing w:after="200" w:line="276" w:lineRule="auto"/>
        <w:rPr>
          <w:rFonts w:asciiTheme="minorHAnsi" w:eastAsiaTheme="minorHAnsi" w:hAnsiTheme="minorHAnsi" w:cstheme="minorBidi"/>
          <w:sz w:val="23"/>
          <w:szCs w:val="23"/>
        </w:rPr>
      </w:pPr>
      <w:r w:rsidRPr="00105FFC">
        <w:rPr>
          <w:rFonts w:asciiTheme="minorHAnsi" w:eastAsiaTheme="minorHAnsi" w:hAnsiTheme="minorHAnsi" w:cstheme="minorBidi"/>
          <w:sz w:val="23"/>
          <w:szCs w:val="23"/>
        </w:rPr>
        <w:br w:type="page"/>
      </w:r>
    </w:p>
    <w:p w14:paraId="5C3D5BE2" w14:textId="77777777" w:rsidR="00073BFC" w:rsidRPr="00105FFC" w:rsidRDefault="001641BD" w:rsidP="00073BFC">
      <w:pPr>
        <w:rPr>
          <w:rFonts w:asciiTheme="minorHAnsi" w:eastAsiaTheme="minorHAnsi" w:hAnsiTheme="minorHAnsi" w:cstheme="minorBidi"/>
          <w:bCs/>
          <w:sz w:val="20"/>
          <w:szCs w:val="20"/>
        </w:rPr>
      </w:pPr>
      <w:bookmarkStart w:id="379" w:name="_Toc458783107"/>
      <w:bookmarkStart w:id="380" w:name="_Toc459285177"/>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32</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Total Medi-Cal Participating Pre- and Post-Natal Obstetric Providers in SFY 2013-14, by Provider Sub-Group and Geographic Region</w:t>
      </w:r>
      <w:bookmarkEnd w:id="379"/>
      <w:bookmarkEnd w:id="380"/>
    </w:p>
    <w:tbl>
      <w:tblPr>
        <w:tblW w:w="0" w:type="auto"/>
        <w:tblInd w:w="93" w:type="dxa"/>
        <w:tblLook w:val="04A0" w:firstRow="1" w:lastRow="0" w:firstColumn="1" w:lastColumn="0" w:noHBand="0" w:noVBand="1"/>
      </w:tblPr>
      <w:tblGrid>
        <w:gridCol w:w="1836"/>
        <w:gridCol w:w="1355"/>
        <w:gridCol w:w="1416"/>
        <w:gridCol w:w="1929"/>
        <w:gridCol w:w="2947"/>
      </w:tblGrid>
      <w:tr w:rsidR="00073BFC" w:rsidRPr="00105FFC" w14:paraId="0AC559A9" w14:textId="77777777" w:rsidTr="000D6C4B">
        <w:trPr>
          <w:trHeight w:val="255"/>
        </w:trPr>
        <w:tc>
          <w:tcPr>
            <w:tcW w:w="0" w:type="auto"/>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38FADB8C" w14:textId="77777777" w:rsidR="00073BFC" w:rsidRPr="00105FFC" w:rsidRDefault="00073BFC" w:rsidP="00073BFC">
            <w:pPr>
              <w:jc w:val="center"/>
              <w:rPr>
                <w:rFonts w:asciiTheme="minorHAnsi" w:hAnsiTheme="minorHAnsi"/>
                <w:b/>
                <w:bCs/>
                <w:color w:val="FFFFFF"/>
                <w:sz w:val="20"/>
                <w:szCs w:val="20"/>
              </w:rPr>
            </w:pPr>
            <w:r w:rsidRPr="00105FFC">
              <w:rPr>
                <w:rFonts w:asciiTheme="minorHAnsi" w:hAnsiTheme="minorHAnsi"/>
                <w:b/>
                <w:bCs/>
                <w:color w:val="FFFFFF"/>
                <w:sz w:val="20"/>
                <w:szCs w:val="20"/>
              </w:rPr>
              <w:t>Pre- and Post-Natal Obstetric Providers</w:t>
            </w:r>
          </w:p>
        </w:tc>
      </w:tr>
      <w:tr w:rsidR="00073BFC" w:rsidRPr="00105FFC" w14:paraId="1D3DA008"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00D6D07"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2E1C8E12"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Providers</w:t>
            </w:r>
          </w:p>
        </w:tc>
        <w:tc>
          <w:tcPr>
            <w:tcW w:w="0" w:type="auto"/>
            <w:tcBorders>
              <w:top w:val="nil"/>
              <w:left w:val="nil"/>
              <w:bottom w:val="single" w:sz="4" w:space="0" w:color="auto"/>
              <w:right w:val="single" w:sz="4" w:space="0" w:color="auto"/>
            </w:tcBorders>
            <w:shd w:val="clear" w:color="000000" w:fill="F2F2F2"/>
            <w:noWrap/>
            <w:vAlign w:val="center"/>
            <w:hideMark/>
          </w:tcPr>
          <w:p w14:paraId="18830AEE"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Physicians</w:t>
            </w:r>
          </w:p>
        </w:tc>
        <w:tc>
          <w:tcPr>
            <w:tcW w:w="0" w:type="auto"/>
            <w:tcBorders>
              <w:top w:val="nil"/>
              <w:left w:val="nil"/>
              <w:bottom w:val="single" w:sz="4" w:space="0" w:color="auto"/>
              <w:right w:val="single" w:sz="4" w:space="0" w:color="auto"/>
            </w:tcBorders>
            <w:shd w:val="clear" w:color="000000" w:fill="F2F2F2"/>
            <w:noWrap/>
            <w:vAlign w:val="center"/>
            <w:hideMark/>
          </w:tcPr>
          <w:p w14:paraId="7646FD63"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 Groups</w:t>
            </w:r>
          </w:p>
        </w:tc>
        <w:tc>
          <w:tcPr>
            <w:tcW w:w="0" w:type="auto"/>
            <w:tcBorders>
              <w:top w:val="nil"/>
              <w:left w:val="nil"/>
              <w:bottom w:val="single" w:sz="4" w:space="0" w:color="auto"/>
              <w:right w:val="single" w:sz="4" w:space="0" w:color="auto"/>
            </w:tcBorders>
            <w:shd w:val="clear" w:color="000000" w:fill="F2F2F2"/>
            <w:noWrap/>
            <w:vAlign w:val="center"/>
            <w:hideMark/>
          </w:tcPr>
          <w:p w14:paraId="1C73B042"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Other Non-Physician Providers</w:t>
            </w:r>
          </w:p>
        </w:tc>
      </w:tr>
      <w:tr w:rsidR="00073BFC" w:rsidRPr="00105FFC" w14:paraId="06BDB53D"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60311464"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55E83717"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4,475</w:t>
            </w:r>
          </w:p>
        </w:tc>
        <w:tc>
          <w:tcPr>
            <w:tcW w:w="0" w:type="auto"/>
            <w:tcBorders>
              <w:top w:val="nil"/>
              <w:left w:val="nil"/>
              <w:bottom w:val="single" w:sz="4" w:space="0" w:color="auto"/>
              <w:right w:val="single" w:sz="4" w:space="0" w:color="auto"/>
            </w:tcBorders>
            <w:shd w:val="clear" w:color="000000" w:fill="EBF1DE"/>
            <w:noWrap/>
            <w:vAlign w:val="center"/>
            <w:hideMark/>
          </w:tcPr>
          <w:p w14:paraId="4896435F"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3,847</w:t>
            </w:r>
          </w:p>
        </w:tc>
        <w:tc>
          <w:tcPr>
            <w:tcW w:w="0" w:type="auto"/>
            <w:tcBorders>
              <w:top w:val="nil"/>
              <w:left w:val="nil"/>
              <w:bottom w:val="single" w:sz="4" w:space="0" w:color="auto"/>
              <w:right w:val="single" w:sz="4" w:space="0" w:color="auto"/>
            </w:tcBorders>
            <w:shd w:val="clear" w:color="000000" w:fill="EBF1DE"/>
            <w:noWrap/>
            <w:vAlign w:val="center"/>
            <w:hideMark/>
          </w:tcPr>
          <w:p w14:paraId="47A3816E"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431</w:t>
            </w:r>
          </w:p>
        </w:tc>
        <w:tc>
          <w:tcPr>
            <w:tcW w:w="0" w:type="auto"/>
            <w:tcBorders>
              <w:top w:val="nil"/>
              <w:left w:val="nil"/>
              <w:bottom w:val="single" w:sz="4" w:space="0" w:color="auto"/>
              <w:right w:val="single" w:sz="4" w:space="0" w:color="auto"/>
            </w:tcBorders>
            <w:shd w:val="clear" w:color="000000" w:fill="EBF1DE"/>
            <w:noWrap/>
            <w:vAlign w:val="center"/>
            <w:hideMark/>
          </w:tcPr>
          <w:p w14:paraId="66A944B5"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197</w:t>
            </w:r>
          </w:p>
        </w:tc>
      </w:tr>
      <w:tr w:rsidR="00073BFC" w:rsidRPr="00105FFC" w14:paraId="4BA10BD8"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DEA4B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1661421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1,092</w:t>
            </w:r>
          </w:p>
        </w:tc>
        <w:tc>
          <w:tcPr>
            <w:tcW w:w="0" w:type="auto"/>
            <w:tcBorders>
              <w:top w:val="nil"/>
              <w:left w:val="nil"/>
              <w:bottom w:val="single" w:sz="4" w:space="0" w:color="auto"/>
              <w:right w:val="single" w:sz="4" w:space="0" w:color="auto"/>
            </w:tcBorders>
            <w:shd w:val="clear" w:color="auto" w:fill="auto"/>
            <w:noWrap/>
            <w:vAlign w:val="center"/>
            <w:hideMark/>
          </w:tcPr>
          <w:p w14:paraId="2C30544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1,010</w:t>
            </w:r>
          </w:p>
        </w:tc>
        <w:tc>
          <w:tcPr>
            <w:tcW w:w="0" w:type="auto"/>
            <w:tcBorders>
              <w:top w:val="nil"/>
              <w:left w:val="nil"/>
              <w:bottom w:val="single" w:sz="4" w:space="0" w:color="auto"/>
              <w:right w:val="single" w:sz="4" w:space="0" w:color="auto"/>
            </w:tcBorders>
            <w:shd w:val="clear" w:color="auto" w:fill="auto"/>
            <w:noWrap/>
            <w:vAlign w:val="center"/>
            <w:hideMark/>
          </w:tcPr>
          <w:p w14:paraId="551CFF6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14:paraId="547FF32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41</w:t>
            </w:r>
          </w:p>
        </w:tc>
      </w:tr>
      <w:tr w:rsidR="00073BFC" w:rsidRPr="00105FFC" w14:paraId="076B8032"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50390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2CA8C06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275</w:t>
            </w:r>
          </w:p>
        </w:tc>
        <w:tc>
          <w:tcPr>
            <w:tcW w:w="0" w:type="auto"/>
            <w:tcBorders>
              <w:top w:val="nil"/>
              <w:left w:val="nil"/>
              <w:bottom w:val="single" w:sz="4" w:space="0" w:color="auto"/>
              <w:right w:val="single" w:sz="4" w:space="0" w:color="auto"/>
            </w:tcBorders>
            <w:shd w:val="clear" w:color="auto" w:fill="auto"/>
            <w:noWrap/>
            <w:vAlign w:val="center"/>
            <w:hideMark/>
          </w:tcPr>
          <w:p w14:paraId="60E9D07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238</w:t>
            </w:r>
          </w:p>
        </w:tc>
        <w:tc>
          <w:tcPr>
            <w:tcW w:w="0" w:type="auto"/>
            <w:tcBorders>
              <w:top w:val="nil"/>
              <w:left w:val="nil"/>
              <w:bottom w:val="single" w:sz="4" w:space="0" w:color="auto"/>
              <w:right w:val="single" w:sz="4" w:space="0" w:color="auto"/>
            </w:tcBorders>
            <w:shd w:val="clear" w:color="auto" w:fill="auto"/>
            <w:noWrap/>
            <w:vAlign w:val="center"/>
            <w:hideMark/>
          </w:tcPr>
          <w:p w14:paraId="04EF1CA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14:paraId="642C029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w:t>
            </w:r>
          </w:p>
        </w:tc>
      </w:tr>
      <w:tr w:rsidR="00073BFC" w:rsidRPr="00105FFC" w14:paraId="526A999E"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21B9E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22E4E40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573</w:t>
            </w:r>
          </w:p>
        </w:tc>
        <w:tc>
          <w:tcPr>
            <w:tcW w:w="0" w:type="auto"/>
            <w:tcBorders>
              <w:top w:val="nil"/>
              <w:left w:val="nil"/>
              <w:bottom w:val="single" w:sz="4" w:space="0" w:color="auto"/>
              <w:right w:val="single" w:sz="4" w:space="0" w:color="auto"/>
            </w:tcBorders>
            <w:shd w:val="clear" w:color="auto" w:fill="auto"/>
            <w:noWrap/>
            <w:vAlign w:val="center"/>
            <w:hideMark/>
          </w:tcPr>
          <w:p w14:paraId="420C9A9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525</w:t>
            </w:r>
          </w:p>
        </w:tc>
        <w:tc>
          <w:tcPr>
            <w:tcW w:w="0" w:type="auto"/>
            <w:tcBorders>
              <w:top w:val="nil"/>
              <w:left w:val="nil"/>
              <w:bottom w:val="single" w:sz="4" w:space="0" w:color="auto"/>
              <w:right w:val="single" w:sz="4" w:space="0" w:color="auto"/>
            </w:tcBorders>
            <w:shd w:val="clear" w:color="auto" w:fill="auto"/>
            <w:noWrap/>
            <w:vAlign w:val="center"/>
            <w:hideMark/>
          </w:tcPr>
          <w:p w14:paraId="78944A1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14:paraId="6BEBDC2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w:t>
            </w:r>
          </w:p>
        </w:tc>
      </w:tr>
      <w:tr w:rsidR="00073BFC" w:rsidRPr="00105FFC" w14:paraId="686F29C6"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94123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718AF32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14:paraId="7A9F546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14:paraId="4D7675B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548E0BFF" w14:textId="77777777" w:rsidR="00073BFC" w:rsidRPr="00105FFC" w:rsidRDefault="00073BFC" w:rsidP="00073BFC">
            <w:pPr>
              <w:jc w:val="center"/>
              <w:rPr>
                <w:rFonts w:asciiTheme="minorHAnsi" w:hAnsiTheme="minorHAnsi"/>
                <w:color w:val="000000"/>
                <w:sz w:val="20"/>
                <w:szCs w:val="20"/>
              </w:rPr>
            </w:pPr>
          </w:p>
        </w:tc>
      </w:tr>
      <w:tr w:rsidR="00073BFC" w:rsidRPr="00105FFC" w14:paraId="0D5A8B45"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27F9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7405F54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1,357</w:t>
            </w:r>
          </w:p>
        </w:tc>
        <w:tc>
          <w:tcPr>
            <w:tcW w:w="0" w:type="auto"/>
            <w:tcBorders>
              <w:top w:val="nil"/>
              <w:left w:val="nil"/>
              <w:bottom w:val="single" w:sz="4" w:space="0" w:color="auto"/>
              <w:right w:val="single" w:sz="4" w:space="0" w:color="auto"/>
            </w:tcBorders>
            <w:shd w:val="clear" w:color="auto" w:fill="auto"/>
            <w:noWrap/>
            <w:vAlign w:val="center"/>
            <w:hideMark/>
          </w:tcPr>
          <w:p w14:paraId="239FD02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1,131</w:t>
            </w:r>
          </w:p>
        </w:tc>
        <w:tc>
          <w:tcPr>
            <w:tcW w:w="0" w:type="auto"/>
            <w:tcBorders>
              <w:top w:val="nil"/>
              <w:left w:val="nil"/>
              <w:bottom w:val="single" w:sz="4" w:space="0" w:color="auto"/>
              <w:right w:val="single" w:sz="4" w:space="0" w:color="auto"/>
            </w:tcBorders>
            <w:shd w:val="clear" w:color="auto" w:fill="auto"/>
            <w:noWrap/>
            <w:vAlign w:val="center"/>
            <w:hideMark/>
          </w:tcPr>
          <w:p w14:paraId="450151E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168</w:t>
            </w:r>
          </w:p>
        </w:tc>
        <w:tc>
          <w:tcPr>
            <w:tcW w:w="0" w:type="auto"/>
            <w:tcBorders>
              <w:top w:val="nil"/>
              <w:left w:val="nil"/>
              <w:bottom w:val="single" w:sz="4" w:space="0" w:color="auto"/>
              <w:right w:val="single" w:sz="4" w:space="0" w:color="auto"/>
            </w:tcBorders>
            <w:shd w:val="clear" w:color="auto" w:fill="auto"/>
            <w:noWrap/>
            <w:vAlign w:val="center"/>
            <w:hideMark/>
          </w:tcPr>
          <w:p w14:paraId="5EAF7CF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58</w:t>
            </w:r>
          </w:p>
        </w:tc>
      </w:tr>
      <w:tr w:rsidR="00073BFC" w:rsidRPr="00105FFC" w14:paraId="41275275"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9D80A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665C5A8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14:paraId="000AF10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14:paraId="3ECD3B3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6264694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w:t>
            </w:r>
          </w:p>
        </w:tc>
      </w:tr>
      <w:tr w:rsidR="00073BFC" w:rsidRPr="00105FFC" w14:paraId="624744AA"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933CE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5794410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340</w:t>
            </w:r>
          </w:p>
        </w:tc>
        <w:tc>
          <w:tcPr>
            <w:tcW w:w="0" w:type="auto"/>
            <w:tcBorders>
              <w:top w:val="nil"/>
              <w:left w:val="nil"/>
              <w:bottom w:val="single" w:sz="4" w:space="0" w:color="auto"/>
              <w:right w:val="single" w:sz="4" w:space="0" w:color="auto"/>
            </w:tcBorders>
            <w:shd w:val="clear" w:color="auto" w:fill="auto"/>
            <w:noWrap/>
            <w:vAlign w:val="center"/>
            <w:hideMark/>
          </w:tcPr>
          <w:p w14:paraId="6D90BFC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302</w:t>
            </w:r>
          </w:p>
        </w:tc>
        <w:tc>
          <w:tcPr>
            <w:tcW w:w="0" w:type="auto"/>
            <w:tcBorders>
              <w:top w:val="nil"/>
              <w:left w:val="nil"/>
              <w:bottom w:val="single" w:sz="4" w:space="0" w:color="auto"/>
              <w:right w:val="single" w:sz="4" w:space="0" w:color="auto"/>
            </w:tcBorders>
            <w:shd w:val="clear" w:color="auto" w:fill="auto"/>
            <w:noWrap/>
            <w:vAlign w:val="center"/>
            <w:hideMark/>
          </w:tcPr>
          <w:p w14:paraId="651B162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14:paraId="5B2CD72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w:t>
            </w:r>
          </w:p>
        </w:tc>
      </w:tr>
      <w:tr w:rsidR="00073BFC" w:rsidRPr="00105FFC" w14:paraId="35CB641D"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228D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308690D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180</w:t>
            </w:r>
          </w:p>
        </w:tc>
        <w:tc>
          <w:tcPr>
            <w:tcW w:w="0" w:type="auto"/>
            <w:tcBorders>
              <w:top w:val="nil"/>
              <w:left w:val="nil"/>
              <w:bottom w:val="single" w:sz="4" w:space="0" w:color="auto"/>
              <w:right w:val="single" w:sz="4" w:space="0" w:color="auto"/>
            </w:tcBorders>
            <w:shd w:val="clear" w:color="auto" w:fill="auto"/>
            <w:noWrap/>
            <w:vAlign w:val="center"/>
            <w:hideMark/>
          </w:tcPr>
          <w:p w14:paraId="356F207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166</w:t>
            </w:r>
          </w:p>
        </w:tc>
        <w:tc>
          <w:tcPr>
            <w:tcW w:w="0" w:type="auto"/>
            <w:tcBorders>
              <w:top w:val="nil"/>
              <w:left w:val="nil"/>
              <w:bottom w:val="single" w:sz="4" w:space="0" w:color="auto"/>
              <w:right w:val="single" w:sz="4" w:space="0" w:color="auto"/>
            </w:tcBorders>
            <w:shd w:val="clear" w:color="auto" w:fill="auto"/>
            <w:noWrap/>
            <w:vAlign w:val="center"/>
            <w:hideMark/>
          </w:tcPr>
          <w:p w14:paraId="033D039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56C0997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w:t>
            </w:r>
          </w:p>
        </w:tc>
      </w:tr>
      <w:tr w:rsidR="00073BFC" w:rsidRPr="00105FFC" w14:paraId="3755D064"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CC71C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7C35661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1,312</w:t>
            </w:r>
          </w:p>
        </w:tc>
        <w:tc>
          <w:tcPr>
            <w:tcW w:w="0" w:type="auto"/>
            <w:tcBorders>
              <w:top w:val="nil"/>
              <w:left w:val="nil"/>
              <w:bottom w:val="single" w:sz="4" w:space="0" w:color="auto"/>
              <w:right w:val="single" w:sz="4" w:space="0" w:color="auto"/>
            </w:tcBorders>
            <w:shd w:val="clear" w:color="auto" w:fill="auto"/>
            <w:noWrap/>
            <w:vAlign w:val="center"/>
            <w:hideMark/>
          </w:tcPr>
          <w:p w14:paraId="279B2E5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1,100</w:t>
            </w:r>
          </w:p>
        </w:tc>
        <w:tc>
          <w:tcPr>
            <w:tcW w:w="0" w:type="auto"/>
            <w:tcBorders>
              <w:top w:val="nil"/>
              <w:left w:val="nil"/>
              <w:bottom w:val="single" w:sz="4" w:space="0" w:color="auto"/>
              <w:right w:val="single" w:sz="4" w:space="0" w:color="auto"/>
            </w:tcBorders>
            <w:shd w:val="clear" w:color="auto" w:fill="auto"/>
            <w:noWrap/>
            <w:vAlign w:val="center"/>
            <w:hideMark/>
          </w:tcPr>
          <w:p w14:paraId="074CB3D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123</w:t>
            </w:r>
          </w:p>
        </w:tc>
        <w:tc>
          <w:tcPr>
            <w:tcW w:w="0" w:type="auto"/>
            <w:tcBorders>
              <w:top w:val="nil"/>
              <w:left w:val="nil"/>
              <w:bottom w:val="single" w:sz="4" w:space="0" w:color="auto"/>
              <w:right w:val="single" w:sz="4" w:space="0" w:color="auto"/>
            </w:tcBorders>
            <w:shd w:val="clear" w:color="auto" w:fill="auto"/>
            <w:noWrap/>
            <w:vAlign w:val="center"/>
            <w:hideMark/>
          </w:tcPr>
          <w:p w14:paraId="249D085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89</w:t>
            </w:r>
          </w:p>
        </w:tc>
      </w:tr>
    </w:tbl>
    <w:p w14:paraId="72285D8C" w14:textId="77777777" w:rsidR="00073BFC" w:rsidRPr="00105FFC" w:rsidRDefault="00073BFC" w:rsidP="002960F7">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1199C02B" w14:textId="77777777" w:rsidR="002960F7" w:rsidRPr="00105FFC" w:rsidRDefault="002960F7" w:rsidP="002960F7">
      <w:pPr>
        <w:spacing w:line="276" w:lineRule="auto"/>
        <w:rPr>
          <w:rFonts w:asciiTheme="minorHAnsi" w:eastAsiaTheme="minorHAnsi" w:hAnsiTheme="minorHAnsi" w:cs="Arial"/>
          <w:sz w:val="22"/>
        </w:rPr>
      </w:pPr>
    </w:p>
    <w:p w14:paraId="526DF249" w14:textId="77777777" w:rsidR="00073BFC" w:rsidRPr="00105FFC" w:rsidRDefault="001641BD" w:rsidP="00073BFC">
      <w:pPr>
        <w:rPr>
          <w:rFonts w:asciiTheme="minorHAnsi" w:eastAsiaTheme="minorHAnsi" w:hAnsiTheme="minorHAnsi" w:cstheme="minorBidi"/>
          <w:bCs/>
          <w:sz w:val="20"/>
          <w:szCs w:val="20"/>
        </w:rPr>
      </w:pPr>
      <w:bookmarkStart w:id="381" w:name="_Toc458783108"/>
      <w:bookmarkStart w:id="382" w:name="_Toc459285178"/>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33</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Total Medi-Cal Participating Pre- and Post-Natal Obstetric Providers in SFY 2014-15, by Provider Sub-Group and Geographic Region</w:t>
      </w:r>
      <w:bookmarkEnd w:id="381"/>
      <w:bookmarkEnd w:id="382"/>
    </w:p>
    <w:tbl>
      <w:tblPr>
        <w:tblW w:w="0" w:type="auto"/>
        <w:tblInd w:w="93" w:type="dxa"/>
        <w:tblLook w:val="04A0" w:firstRow="1" w:lastRow="0" w:firstColumn="1" w:lastColumn="0" w:noHBand="0" w:noVBand="1"/>
      </w:tblPr>
      <w:tblGrid>
        <w:gridCol w:w="1836"/>
        <w:gridCol w:w="1355"/>
        <w:gridCol w:w="1416"/>
        <w:gridCol w:w="1929"/>
        <w:gridCol w:w="2947"/>
      </w:tblGrid>
      <w:tr w:rsidR="00073BFC" w:rsidRPr="00105FFC" w14:paraId="6B50AF42" w14:textId="77777777" w:rsidTr="000D6C4B">
        <w:trPr>
          <w:trHeight w:val="255"/>
        </w:trPr>
        <w:tc>
          <w:tcPr>
            <w:tcW w:w="0" w:type="auto"/>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5EF4AAFE" w14:textId="77777777" w:rsidR="00073BFC" w:rsidRPr="00105FFC" w:rsidRDefault="00073BFC" w:rsidP="00073BFC">
            <w:pPr>
              <w:jc w:val="center"/>
              <w:rPr>
                <w:rFonts w:asciiTheme="minorHAnsi" w:hAnsiTheme="minorHAnsi"/>
                <w:b/>
                <w:bCs/>
                <w:color w:val="FFFFFF"/>
                <w:sz w:val="20"/>
                <w:szCs w:val="20"/>
              </w:rPr>
            </w:pPr>
            <w:r w:rsidRPr="00105FFC">
              <w:rPr>
                <w:rFonts w:asciiTheme="minorHAnsi" w:hAnsiTheme="minorHAnsi"/>
                <w:b/>
                <w:bCs/>
                <w:color w:val="FFFFFF"/>
                <w:sz w:val="20"/>
                <w:szCs w:val="20"/>
              </w:rPr>
              <w:t>Pre- and Post-Natal Obstetric Providers</w:t>
            </w:r>
          </w:p>
        </w:tc>
      </w:tr>
      <w:tr w:rsidR="00073BFC" w:rsidRPr="00105FFC" w14:paraId="6B03ED90"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16060C7"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396D780D"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Providers</w:t>
            </w:r>
          </w:p>
        </w:tc>
        <w:tc>
          <w:tcPr>
            <w:tcW w:w="0" w:type="auto"/>
            <w:tcBorders>
              <w:top w:val="nil"/>
              <w:left w:val="nil"/>
              <w:bottom w:val="single" w:sz="4" w:space="0" w:color="auto"/>
              <w:right w:val="single" w:sz="4" w:space="0" w:color="auto"/>
            </w:tcBorders>
            <w:shd w:val="clear" w:color="000000" w:fill="F2F2F2"/>
            <w:noWrap/>
            <w:vAlign w:val="center"/>
            <w:hideMark/>
          </w:tcPr>
          <w:p w14:paraId="37A368AF"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Physicians</w:t>
            </w:r>
          </w:p>
        </w:tc>
        <w:tc>
          <w:tcPr>
            <w:tcW w:w="0" w:type="auto"/>
            <w:tcBorders>
              <w:top w:val="nil"/>
              <w:left w:val="nil"/>
              <w:bottom w:val="single" w:sz="4" w:space="0" w:color="auto"/>
              <w:right w:val="single" w:sz="4" w:space="0" w:color="auto"/>
            </w:tcBorders>
            <w:shd w:val="clear" w:color="000000" w:fill="F2F2F2"/>
            <w:noWrap/>
            <w:vAlign w:val="center"/>
            <w:hideMark/>
          </w:tcPr>
          <w:p w14:paraId="12F3D2E0"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Physician Groups</w:t>
            </w:r>
          </w:p>
        </w:tc>
        <w:tc>
          <w:tcPr>
            <w:tcW w:w="0" w:type="auto"/>
            <w:tcBorders>
              <w:top w:val="nil"/>
              <w:left w:val="nil"/>
              <w:bottom w:val="single" w:sz="4" w:space="0" w:color="auto"/>
              <w:right w:val="single" w:sz="4" w:space="0" w:color="auto"/>
            </w:tcBorders>
            <w:shd w:val="clear" w:color="000000" w:fill="F2F2F2"/>
            <w:noWrap/>
            <w:vAlign w:val="center"/>
            <w:hideMark/>
          </w:tcPr>
          <w:p w14:paraId="2EED91ED"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Other Non-Physician Providers</w:t>
            </w:r>
          </w:p>
        </w:tc>
      </w:tr>
      <w:tr w:rsidR="00073BFC" w:rsidRPr="00105FFC" w14:paraId="6C468BDF"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10BD9D8F"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55522E52"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4,670</w:t>
            </w:r>
          </w:p>
        </w:tc>
        <w:tc>
          <w:tcPr>
            <w:tcW w:w="0" w:type="auto"/>
            <w:tcBorders>
              <w:top w:val="nil"/>
              <w:left w:val="nil"/>
              <w:bottom w:val="single" w:sz="4" w:space="0" w:color="auto"/>
              <w:right w:val="single" w:sz="4" w:space="0" w:color="auto"/>
            </w:tcBorders>
            <w:shd w:val="clear" w:color="000000" w:fill="EBF1DE"/>
            <w:noWrap/>
            <w:vAlign w:val="center"/>
            <w:hideMark/>
          </w:tcPr>
          <w:p w14:paraId="4CC7E28B"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4,015</w:t>
            </w:r>
          </w:p>
        </w:tc>
        <w:tc>
          <w:tcPr>
            <w:tcW w:w="0" w:type="auto"/>
            <w:tcBorders>
              <w:top w:val="nil"/>
              <w:left w:val="nil"/>
              <w:bottom w:val="single" w:sz="4" w:space="0" w:color="auto"/>
              <w:right w:val="single" w:sz="4" w:space="0" w:color="auto"/>
            </w:tcBorders>
            <w:shd w:val="clear" w:color="000000" w:fill="EBF1DE"/>
            <w:noWrap/>
            <w:vAlign w:val="center"/>
            <w:hideMark/>
          </w:tcPr>
          <w:p w14:paraId="2B4AD7C6"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421</w:t>
            </w:r>
          </w:p>
        </w:tc>
        <w:tc>
          <w:tcPr>
            <w:tcW w:w="0" w:type="auto"/>
            <w:tcBorders>
              <w:top w:val="nil"/>
              <w:left w:val="nil"/>
              <w:bottom w:val="single" w:sz="4" w:space="0" w:color="auto"/>
              <w:right w:val="single" w:sz="4" w:space="0" w:color="auto"/>
            </w:tcBorders>
            <w:shd w:val="clear" w:color="000000" w:fill="EBF1DE"/>
            <w:noWrap/>
            <w:vAlign w:val="center"/>
            <w:hideMark/>
          </w:tcPr>
          <w:p w14:paraId="71448245"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234</w:t>
            </w:r>
          </w:p>
        </w:tc>
      </w:tr>
      <w:tr w:rsidR="00073BFC" w:rsidRPr="00105FFC" w14:paraId="3AC95724"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70DF1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2A2CA4D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1,132</w:t>
            </w:r>
          </w:p>
        </w:tc>
        <w:tc>
          <w:tcPr>
            <w:tcW w:w="0" w:type="auto"/>
            <w:tcBorders>
              <w:top w:val="nil"/>
              <w:left w:val="nil"/>
              <w:bottom w:val="single" w:sz="4" w:space="0" w:color="auto"/>
              <w:right w:val="single" w:sz="4" w:space="0" w:color="auto"/>
            </w:tcBorders>
            <w:shd w:val="clear" w:color="auto" w:fill="auto"/>
            <w:noWrap/>
            <w:vAlign w:val="center"/>
            <w:hideMark/>
          </w:tcPr>
          <w:p w14:paraId="0DBDB51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1,048</w:t>
            </w:r>
          </w:p>
        </w:tc>
        <w:tc>
          <w:tcPr>
            <w:tcW w:w="0" w:type="auto"/>
            <w:tcBorders>
              <w:top w:val="nil"/>
              <w:left w:val="nil"/>
              <w:bottom w:val="single" w:sz="4" w:space="0" w:color="auto"/>
              <w:right w:val="single" w:sz="4" w:space="0" w:color="auto"/>
            </w:tcBorders>
            <w:shd w:val="clear" w:color="auto" w:fill="auto"/>
            <w:noWrap/>
            <w:vAlign w:val="center"/>
            <w:hideMark/>
          </w:tcPr>
          <w:p w14:paraId="41D9D28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42</w:t>
            </w:r>
          </w:p>
        </w:tc>
        <w:tc>
          <w:tcPr>
            <w:tcW w:w="0" w:type="auto"/>
            <w:tcBorders>
              <w:top w:val="nil"/>
              <w:left w:val="nil"/>
              <w:bottom w:val="single" w:sz="4" w:space="0" w:color="auto"/>
              <w:right w:val="single" w:sz="4" w:space="0" w:color="auto"/>
            </w:tcBorders>
            <w:shd w:val="clear" w:color="auto" w:fill="auto"/>
            <w:noWrap/>
            <w:vAlign w:val="center"/>
            <w:hideMark/>
          </w:tcPr>
          <w:p w14:paraId="5C6F743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42</w:t>
            </w:r>
          </w:p>
        </w:tc>
      </w:tr>
      <w:tr w:rsidR="00073BFC" w:rsidRPr="00105FFC" w14:paraId="4AE4A85A"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20C3A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58FF247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288</w:t>
            </w:r>
          </w:p>
        </w:tc>
        <w:tc>
          <w:tcPr>
            <w:tcW w:w="0" w:type="auto"/>
            <w:tcBorders>
              <w:top w:val="nil"/>
              <w:left w:val="nil"/>
              <w:bottom w:val="single" w:sz="4" w:space="0" w:color="auto"/>
              <w:right w:val="single" w:sz="4" w:space="0" w:color="auto"/>
            </w:tcBorders>
            <w:shd w:val="clear" w:color="auto" w:fill="auto"/>
            <w:noWrap/>
            <w:vAlign w:val="center"/>
            <w:hideMark/>
          </w:tcPr>
          <w:p w14:paraId="4F264BD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245</w:t>
            </w:r>
          </w:p>
        </w:tc>
        <w:tc>
          <w:tcPr>
            <w:tcW w:w="0" w:type="auto"/>
            <w:tcBorders>
              <w:top w:val="nil"/>
              <w:left w:val="nil"/>
              <w:bottom w:val="single" w:sz="4" w:space="0" w:color="auto"/>
              <w:right w:val="single" w:sz="4" w:space="0" w:color="auto"/>
            </w:tcBorders>
            <w:shd w:val="clear" w:color="auto" w:fill="auto"/>
            <w:noWrap/>
            <w:vAlign w:val="center"/>
            <w:hideMark/>
          </w:tcPr>
          <w:p w14:paraId="0B3908F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14:paraId="2619E7F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w:t>
            </w:r>
          </w:p>
        </w:tc>
      </w:tr>
      <w:tr w:rsidR="00073BFC" w:rsidRPr="00105FFC" w14:paraId="2E207C17"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1B525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5031F48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598</w:t>
            </w:r>
          </w:p>
        </w:tc>
        <w:tc>
          <w:tcPr>
            <w:tcW w:w="0" w:type="auto"/>
            <w:tcBorders>
              <w:top w:val="nil"/>
              <w:left w:val="nil"/>
              <w:bottom w:val="single" w:sz="4" w:space="0" w:color="auto"/>
              <w:right w:val="single" w:sz="4" w:space="0" w:color="auto"/>
            </w:tcBorders>
            <w:shd w:val="clear" w:color="auto" w:fill="auto"/>
            <w:noWrap/>
            <w:vAlign w:val="center"/>
            <w:hideMark/>
          </w:tcPr>
          <w:p w14:paraId="277E7F4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545</w:t>
            </w:r>
          </w:p>
        </w:tc>
        <w:tc>
          <w:tcPr>
            <w:tcW w:w="0" w:type="auto"/>
            <w:tcBorders>
              <w:top w:val="nil"/>
              <w:left w:val="nil"/>
              <w:bottom w:val="single" w:sz="4" w:space="0" w:color="auto"/>
              <w:right w:val="single" w:sz="4" w:space="0" w:color="auto"/>
            </w:tcBorders>
            <w:shd w:val="clear" w:color="auto" w:fill="auto"/>
            <w:noWrap/>
            <w:vAlign w:val="center"/>
            <w:hideMark/>
          </w:tcPr>
          <w:p w14:paraId="3AE50B3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46</w:t>
            </w:r>
          </w:p>
        </w:tc>
        <w:tc>
          <w:tcPr>
            <w:tcW w:w="0" w:type="auto"/>
            <w:tcBorders>
              <w:top w:val="nil"/>
              <w:left w:val="nil"/>
              <w:bottom w:val="single" w:sz="4" w:space="0" w:color="auto"/>
              <w:right w:val="single" w:sz="4" w:space="0" w:color="auto"/>
            </w:tcBorders>
            <w:shd w:val="clear" w:color="auto" w:fill="auto"/>
            <w:noWrap/>
            <w:vAlign w:val="center"/>
            <w:hideMark/>
          </w:tcPr>
          <w:p w14:paraId="7FEC7A6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w:t>
            </w:r>
          </w:p>
        </w:tc>
      </w:tr>
      <w:tr w:rsidR="00073BFC" w:rsidRPr="00105FFC" w14:paraId="331FD458"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453A8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0DE2FB0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14:paraId="57C5E96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14:paraId="5E98F44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2CE04766" w14:textId="77777777" w:rsidR="00073BFC" w:rsidRPr="00105FFC" w:rsidRDefault="00073BFC" w:rsidP="00073BFC">
            <w:pPr>
              <w:jc w:val="center"/>
              <w:rPr>
                <w:rFonts w:asciiTheme="minorHAnsi" w:hAnsiTheme="minorHAnsi"/>
                <w:color w:val="000000"/>
                <w:sz w:val="20"/>
                <w:szCs w:val="20"/>
              </w:rPr>
            </w:pPr>
          </w:p>
        </w:tc>
      </w:tr>
      <w:tr w:rsidR="00073BFC" w:rsidRPr="00105FFC" w14:paraId="3C905EF1"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207F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1F9859F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1,499</w:t>
            </w:r>
          </w:p>
        </w:tc>
        <w:tc>
          <w:tcPr>
            <w:tcW w:w="0" w:type="auto"/>
            <w:tcBorders>
              <w:top w:val="nil"/>
              <w:left w:val="nil"/>
              <w:bottom w:val="single" w:sz="4" w:space="0" w:color="auto"/>
              <w:right w:val="single" w:sz="4" w:space="0" w:color="auto"/>
            </w:tcBorders>
            <w:shd w:val="clear" w:color="auto" w:fill="auto"/>
            <w:noWrap/>
            <w:vAlign w:val="center"/>
            <w:hideMark/>
          </w:tcPr>
          <w:p w14:paraId="32BFF3E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1,260</w:t>
            </w:r>
          </w:p>
        </w:tc>
        <w:tc>
          <w:tcPr>
            <w:tcW w:w="0" w:type="auto"/>
            <w:tcBorders>
              <w:top w:val="nil"/>
              <w:left w:val="nil"/>
              <w:bottom w:val="single" w:sz="4" w:space="0" w:color="auto"/>
              <w:right w:val="single" w:sz="4" w:space="0" w:color="auto"/>
            </w:tcBorders>
            <w:shd w:val="clear" w:color="auto" w:fill="auto"/>
            <w:noWrap/>
            <w:vAlign w:val="center"/>
            <w:hideMark/>
          </w:tcPr>
          <w:p w14:paraId="08FDC8D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165</w:t>
            </w:r>
          </w:p>
        </w:tc>
        <w:tc>
          <w:tcPr>
            <w:tcW w:w="0" w:type="auto"/>
            <w:tcBorders>
              <w:top w:val="nil"/>
              <w:left w:val="nil"/>
              <w:bottom w:val="single" w:sz="4" w:space="0" w:color="auto"/>
              <w:right w:val="single" w:sz="4" w:space="0" w:color="auto"/>
            </w:tcBorders>
            <w:shd w:val="clear" w:color="auto" w:fill="auto"/>
            <w:noWrap/>
            <w:vAlign w:val="center"/>
            <w:hideMark/>
          </w:tcPr>
          <w:p w14:paraId="0B0E3EE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74</w:t>
            </w:r>
          </w:p>
        </w:tc>
      </w:tr>
      <w:tr w:rsidR="00073BFC" w:rsidRPr="00105FFC" w14:paraId="197150B1"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7056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01B7806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14:paraId="77C5176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42</w:t>
            </w:r>
          </w:p>
        </w:tc>
        <w:tc>
          <w:tcPr>
            <w:tcW w:w="0" w:type="auto"/>
            <w:tcBorders>
              <w:top w:val="nil"/>
              <w:left w:val="nil"/>
              <w:bottom w:val="single" w:sz="4" w:space="0" w:color="auto"/>
              <w:right w:val="single" w:sz="4" w:space="0" w:color="auto"/>
            </w:tcBorders>
            <w:shd w:val="clear" w:color="auto" w:fill="auto"/>
            <w:noWrap/>
            <w:vAlign w:val="center"/>
            <w:hideMark/>
          </w:tcPr>
          <w:p w14:paraId="5F1EADA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36F96A5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w:t>
            </w:r>
          </w:p>
        </w:tc>
      </w:tr>
      <w:tr w:rsidR="00073BFC" w:rsidRPr="00105FFC" w14:paraId="2918A5AC"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315BE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1F9FC9A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360</w:t>
            </w:r>
          </w:p>
        </w:tc>
        <w:tc>
          <w:tcPr>
            <w:tcW w:w="0" w:type="auto"/>
            <w:tcBorders>
              <w:top w:val="nil"/>
              <w:left w:val="nil"/>
              <w:bottom w:val="single" w:sz="4" w:space="0" w:color="auto"/>
              <w:right w:val="single" w:sz="4" w:space="0" w:color="auto"/>
            </w:tcBorders>
            <w:shd w:val="clear" w:color="auto" w:fill="auto"/>
            <w:noWrap/>
            <w:vAlign w:val="center"/>
            <w:hideMark/>
          </w:tcPr>
          <w:p w14:paraId="50087EA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324</w:t>
            </w:r>
          </w:p>
        </w:tc>
        <w:tc>
          <w:tcPr>
            <w:tcW w:w="0" w:type="auto"/>
            <w:tcBorders>
              <w:top w:val="nil"/>
              <w:left w:val="nil"/>
              <w:bottom w:val="single" w:sz="4" w:space="0" w:color="auto"/>
              <w:right w:val="single" w:sz="4" w:space="0" w:color="auto"/>
            </w:tcBorders>
            <w:shd w:val="clear" w:color="auto" w:fill="auto"/>
            <w:noWrap/>
            <w:vAlign w:val="center"/>
            <w:hideMark/>
          </w:tcPr>
          <w:p w14:paraId="70EFF58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center"/>
            <w:hideMark/>
          </w:tcPr>
          <w:p w14:paraId="40AC327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13</w:t>
            </w:r>
          </w:p>
        </w:tc>
      </w:tr>
      <w:tr w:rsidR="00073BFC" w:rsidRPr="00105FFC" w14:paraId="2C60D0EB"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9871E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4057850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181</w:t>
            </w:r>
          </w:p>
        </w:tc>
        <w:tc>
          <w:tcPr>
            <w:tcW w:w="0" w:type="auto"/>
            <w:tcBorders>
              <w:top w:val="nil"/>
              <w:left w:val="nil"/>
              <w:bottom w:val="single" w:sz="4" w:space="0" w:color="auto"/>
              <w:right w:val="single" w:sz="4" w:space="0" w:color="auto"/>
            </w:tcBorders>
            <w:shd w:val="clear" w:color="auto" w:fill="auto"/>
            <w:noWrap/>
            <w:vAlign w:val="center"/>
            <w:hideMark/>
          </w:tcPr>
          <w:p w14:paraId="78969DD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166</w:t>
            </w:r>
          </w:p>
        </w:tc>
        <w:tc>
          <w:tcPr>
            <w:tcW w:w="0" w:type="auto"/>
            <w:tcBorders>
              <w:top w:val="nil"/>
              <w:left w:val="nil"/>
              <w:bottom w:val="single" w:sz="4" w:space="0" w:color="auto"/>
              <w:right w:val="single" w:sz="4" w:space="0" w:color="auto"/>
            </w:tcBorders>
            <w:shd w:val="clear" w:color="auto" w:fill="auto"/>
            <w:noWrap/>
            <w:vAlign w:val="center"/>
            <w:hideMark/>
          </w:tcPr>
          <w:p w14:paraId="4532A54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42FAD8E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r>
      <w:tr w:rsidR="00073BFC" w:rsidRPr="00105FFC" w14:paraId="5E5CA255"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3B928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1D70FFA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1,415</w:t>
            </w:r>
          </w:p>
        </w:tc>
        <w:tc>
          <w:tcPr>
            <w:tcW w:w="0" w:type="auto"/>
            <w:tcBorders>
              <w:top w:val="nil"/>
              <w:left w:val="nil"/>
              <w:bottom w:val="single" w:sz="4" w:space="0" w:color="auto"/>
              <w:right w:val="single" w:sz="4" w:space="0" w:color="auto"/>
            </w:tcBorders>
            <w:shd w:val="clear" w:color="auto" w:fill="auto"/>
            <w:noWrap/>
            <w:vAlign w:val="center"/>
            <w:hideMark/>
          </w:tcPr>
          <w:p w14:paraId="130BEBB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1,190</w:t>
            </w:r>
          </w:p>
        </w:tc>
        <w:tc>
          <w:tcPr>
            <w:tcW w:w="0" w:type="auto"/>
            <w:tcBorders>
              <w:top w:val="nil"/>
              <w:left w:val="nil"/>
              <w:bottom w:val="single" w:sz="4" w:space="0" w:color="auto"/>
              <w:right w:val="single" w:sz="4" w:space="0" w:color="auto"/>
            </w:tcBorders>
            <w:shd w:val="clear" w:color="auto" w:fill="auto"/>
            <w:noWrap/>
            <w:vAlign w:val="center"/>
            <w:hideMark/>
          </w:tcPr>
          <w:p w14:paraId="4B5E29E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117</w:t>
            </w:r>
          </w:p>
        </w:tc>
        <w:tc>
          <w:tcPr>
            <w:tcW w:w="0" w:type="auto"/>
            <w:tcBorders>
              <w:top w:val="nil"/>
              <w:left w:val="nil"/>
              <w:bottom w:val="single" w:sz="4" w:space="0" w:color="auto"/>
              <w:right w:val="single" w:sz="4" w:space="0" w:color="auto"/>
            </w:tcBorders>
            <w:shd w:val="clear" w:color="auto" w:fill="auto"/>
            <w:noWrap/>
            <w:vAlign w:val="center"/>
            <w:hideMark/>
          </w:tcPr>
          <w:p w14:paraId="767AC17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108</w:t>
            </w:r>
          </w:p>
        </w:tc>
      </w:tr>
    </w:tbl>
    <w:p w14:paraId="22CC8866"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r w:rsidRPr="00105FFC">
        <w:rPr>
          <w:rFonts w:asciiTheme="minorHAnsi" w:eastAsiaTheme="minorHAnsi" w:hAnsiTheme="minorHAnsi" w:cs="Tahoma"/>
          <w:sz w:val="16"/>
          <w:szCs w:val="16"/>
        </w:rPr>
        <w:br w:type="page"/>
      </w:r>
    </w:p>
    <w:p w14:paraId="1B996BA7" w14:textId="77777777" w:rsidR="00073BFC" w:rsidRPr="00105FFC" w:rsidRDefault="001641BD" w:rsidP="00073BFC">
      <w:pPr>
        <w:rPr>
          <w:rFonts w:asciiTheme="minorHAnsi" w:eastAsiaTheme="minorHAnsi" w:hAnsiTheme="minorHAnsi" w:cstheme="minorBidi"/>
          <w:b/>
          <w:bCs/>
          <w:color w:val="4F81BD" w:themeColor="accent1"/>
          <w:sz w:val="18"/>
          <w:szCs w:val="18"/>
        </w:rPr>
      </w:pPr>
      <w:bookmarkStart w:id="383" w:name="_Toc458782973"/>
      <w:bookmarkStart w:id="384" w:name="_Toc459285084"/>
      <w:bookmarkStart w:id="385" w:name="_Toc459285275"/>
      <w:bookmarkStart w:id="386" w:name="_Toc459286716"/>
      <w:r w:rsidRPr="00105FFC">
        <w:rPr>
          <w:rFonts w:asciiTheme="minorHAnsi" w:eastAsiaTheme="minorHAnsi" w:hAnsiTheme="minorHAnsi" w:cstheme="minorBidi"/>
          <w:b/>
          <w:bCs/>
          <w:sz w:val="20"/>
          <w:szCs w:val="20"/>
        </w:rPr>
        <w:t xml:space="preserve">Figure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Figure \* ARABIC </w:instrText>
      </w:r>
      <w:r w:rsidR="00073BFC" w:rsidRPr="00105FFC">
        <w:rPr>
          <w:rFonts w:asciiTheme="minorHAnsi" w:eastAsiaTheme="minorHAnsi" w:hAnsiTheme="minorHAnsi" w:cstheme="minorBidi"/>
          <w:b/>
          <w:bCs/>
          <w:sz w:val="20"/>
          <w:szCs w:val="20"/>
        </w:rPr>
        <w:fldChar w:fldCharType="separate"/>
      </w:r>
      <w:r w:rsidR="000E1B8E">
        <w:rPr>
          <w:rFonts w:asciiTheme="minorHAnsi" w:eastAsiaTheme="minorHAnsi" w:hAnsiTheme="minorHAnsi" w:cstheme="minorBidi"/>
          <w:b/>
          <w:bCs/>
          <w:noProof/>
          <w:sz w:val="20"/>
          <w:szCs w:val="20"/>
        </w:rPr>
        <w:t>35</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
          <w:bCs/>
          <w:sz w:val="18"/>
          <w:szCs w:val="18"/>
        </w:rPr>
        <w:t xml:space="preserve"> </w:t>
      </w:r>
      <w:r w:rsidR="00073BFC" w:rsidRPr="00105FFC">
        <w:rPr>
          <w:rFonts w:asciiTheme="minorHAnsi" w:eastAsiaTheme="minorHAnsi" w:hAnsiTheme="minorHAnsi" w:cstheme="minorBidi"/>
          <w:bCs/>
          <w:sz w:val="20"/>
          <w:szCs w:val="20"/>
        </w:rPr>
        <w:t>Total Medi-Cal Participating Pre- and Post-Natal Obstetric Providers from SFY 2013-14 to 2014-15, by Geographic Region</w:t>
      </w:r>
      <w:bookmarkEnd w:id="383"/>
      <w:bookmarkEnd w:id="384"/>
      <w:bookmarkEnd w:id="385"/>
      <w:bookmarkEnd w:id="386"/>
    </w:p>
    <w:p w14:paraId="67C39ACA" w14:textId="77777777" w:rsidR="00073BFC" w:rsidRPr="00105FFC" w:rsidRDefault="00073BFC" w:rsidP="00073BFC">
      <w:pPr>
        <w:spacing w:line="276" w:lineRule="auto"/>
        <w:rPr>
          <w:rFonts w:asciiTheme="minorHAnsi" w:eastAsiaTheme="minorHAnsi" w:hAnsiTheme="minorHAnsi" w:cstheme="minorBidi"/>
          <w:sz w:val="22"/>
          <w:szCs w:val="22"/>
        </w:rPr>
      </w:pPr>
      <w:r w:rsidRPr="00105FFC">
        <w:rPr>
          <w:rFonts w:asciiTheme="minorHAnsi" w:eastAsiaTheme="minorHAnsi" w:hAnsiTheme="minorHAnsi" w:cstheme="minorBidi"/>
          <w:noProof/>
          <w:sz w:val="22"/>
          <w:szCs w:val="22"/>
        </w:rPr>
        <w:drawing>
          <wp:inline distT="0" distB="0" distL="0" distR="0" wp14:anchorId="3DCCE07F" wp14:editId="77CD451F">
            <wp:extent cx="5943600" cy="2743200"/>
            <wp:effectExtent l="0" t="0" r="0" b="0"/>
            <wp:docPr id="48" name="Chart 48" descr="STATEWIDE: 2013-14   4,475; 2014-15   4,670 &#10;&#10;Bay Area: 2013-14   1,092; 2014-15   1,132 &#10;&#10;Central Coast: 2013-14 275; 2014-15 288 &#10;&#10;Central Valley: 2013-14 573; 2014-15 598 &#10;&#10;Far North: 2013-14 30; 2014-15 29 &#10;&#10;Los Angeles: 2013-14   1,357; 2014-15   1,499 &#10;&#10;North Coast: 2013-14 54; 2014-15 52 &#10;&#10;Sacramento Valley: 2013-14 340; 2014-15 360 &#10;&#10;Sierra Range/Foothills: 2013-14 180; 2014-15 181 &#10;&#10;Southern California: 2013-14   1,312; 2014-15   1,415 &#10;" title="Total Medi-Cal Participating Pre- and Post-Natal Obstetric Providers from SFY 2013-14 to 2014-15, by Geographic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6162F44"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2C203585" w14:textId="77777777" w:rsidR="00932E5C" w:rsidRPr="00105FFC" w:rsidRDefault="00932E5C" w:rsidP="00073BFC">
      <w:pPr>
        <w:spacing w:line="276" w:lineRule="auto"/>
        <w:rPr>
          <w:rFonts w:asciiTheme="minorHAnsi" w:eastAsiaTheme="minorHAnsi" w:hAnsiTheme="minorHAnsi" w:cs="Tahoma"/>
          <w:sz w:val="16"/>
          <w:szCs w:val="16"/>
        </w:rPr>
      </w:pPr>
    </w:p>
    <w:p w14:paraId="6AB205C8" w14:textId="77777777" w:rsidR="00932E5C" w:rsidRPr="00105FFC" w:rsidRDefault="00932E5C" w:rsidP="002960F7">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Statewide, during both SFY 2013-14 and SFY 2014-15, Pre- and Post-Natal Obstetric providers that provided services to Medi-Cal beneficiaries were concentrated in the Hospital Inpatient (3,587 during SFY 2013-14 and 3,745 during SFY 2014-15), Hospital Outpatient (3,509 during SFY 2013-14 and 3,577 during SFY 2014-15), and Clinic (3,269 during SFY 2013-14 and 3,369 during SFY 2014-15) service settings. The geographic regions with the largest number of participating Pre- and Post-Natal Obstetric providers during both SFY 2013-14 and SFY 2014-15, regardless of service setting, were the Bay Area, Los Angeles, and Southern California </w:t>
      </w:r>
      <w:r w:rsidR="00E50DA6" w:rsidRPr="00105FFC">
        <w:rPr>
          <w:rFonts w:asciiTheme="minorHAnsi" w:eastAsiaTheme="minorHAnsi" w:hAnsiTheme="minorHAnsi" w:cstheme="minorBidi"/>
        </w:rPr>
        <w:t xml:space="preserve">(Tables </w:t>
      </w:r>
      <w:r w:rsidR="00581549" w:rsidRPr="00105FFC">
        <w:rPr>
          <w:rFonts w:asciiTheme="minorHAnsi" w:eastAsiaTheme="minorHAnsi" w:hAnsiTheme="minorHAnsi" w:cstheme="minorBidi"/>
        </w:rPr>
        <w:t>34</w:t>
      </w:r>
      <w:r w:rsidR="00E50DA6" w:rsidRPr="00105FFC">
        <w:rPr>
          <w:rFonts w:asciiTheme="minorHAnsi" w:eastAsiaTheme="minorHAnsi" w:hAnsiTheme="minorHAnsi" w:cstheme="minorBidi"/>
        </w:rPr>
        <w:t>-3</w:t>
      </w:r>
      <w:r w:rsidR="00581549" w:rsidRPr="00105FFC">
        <w:rPr>
          <w:rFonts w:asciiTheme="minorHAnsi" w:eastAsiaTheme="minorHAnsi" w:hAnsiTheme="minorHAnsi" w:cstheme="minorBidi"/>
        </w:rPr>
        <w:t>5</w:t>
      </w:r>
      <w:r w:rsidRPr="00105FFC">
        <w:rPr>
          <w:rFonts w:asciiTheme="minorHAnsi" w:eastAsiaTheme="minorHAnsi" w:hAnsiTheme="minorHAnsi" w:cstheme="minorBidi"/>
        </w:rPr>
        <w:t>).</w:t>
      </w:r>
      <w:r w:rsidR="00CE3049" w:rsidRPr="00105FFC">
        <w:rPr>
          <w:rFonts w:asciiTheme="minorHAnsi" w:eastAsiaTheme="minorHAnsi" w:hAnsiTheme="minorHAnsi" w:cstheme="minorBidi"/>
        </w:rPr>
        <w:t xml:space="preserve"> Please note that primary care providers classified as gynecology, obstetrics, and obstetrics-gynecology will also be included in the participation totals of pre- and post-natal obstetric providers.</w:t>
      </w:r>
      <w:r w:rsidRPr="00105FFC">
        <w:rPr>
          <w:rFonts w:asciiTheme="minorHAnsi" w:eastAsiaTheme="minorHAnsi" w:hAnsiTheme="minorHAnsi" w:cstheme="minorBidi"/>
        </w:rPr>
        <w:br w:type="page"/>
      </w:r>
    </w:p>
    <w:p w14:paraId="4A94BB06" w14:textId="77777777" w:rsidR="00932E5C" w:rsidRPr="00105FFC" w:rsidRDefault="00932E5C" w:rsidP="00932E5C">
      <w:pPr>
        <w:rPr>
          <w:rFonts w:asciiTheme="minorHAnsi" w:eastAsiaTheme="minorHAnsi" w:hAnsiTheme="minorHAnsi" w:cstheme="minorBidi"/>
          <w:b/>
          <w:bCs/>
          <w:sz w:val="20"/>
          <w:szCs w:val="20"/>
        </w:rPr>
      </w:pPr>
      <w:bookmarkStart w:id="387" w:name="_Toc458783109"/>
      <w:bookmarkStart w:id="388" w:name="_Toc459285179"/>
      <w:r w:rsidRPr="00105FFC">
        <w:rPr>
          <w:rFonts w:asciiTheme="minorHAnsi" w:eastAsiaTheme="minorHAnsi" w:hAnsiTheme="minorHAnsi" w:cstheme="minorBidi"/>
          <w:b/>
          <w:bCs/>
          <w:sz w:val="20"/>
          <w:szCs w:val="20"/>
        </w:rPr>
        <w:t xml:space="preserve">Table </w:t>
      </w:r>
      <w:r w:rsidRPr="00105FFC">
        <w:rPr>
          <w:rFonts w:asciiTheme="minorHAnsi" w:eastAsiaTheme="minorHAnsi" w:hAnsiTheme="minorHAnsi" w:cstheme="minorBidi"/>
          <w:b/>
          <w:bCs/>
          <w:sz w:val="20"/>
          <w:szCs w:val="20"/>
        </w:rPr>
        <w:fldChar w:fldCharType="begin"/>
      </w:r>
      <w:r w:rsidRPr="00105FFC">
        <w:rPr>
          <w:rFonts w:asciiTheme="minorHAnsi" w:eastAsiaTheme="minorHAnsi" w:hAnsiTheme="minorHAnsi" w:cstheme="minorBidi"/>
          <w:b/>
          <w:bCs/>
          <w:sz w:val="20"/>
          <w:szCs w:val="20"/>
        </w:rPr>
        <w:instrText xml:space="preserve"> SEQ Table \* ARABIC </w:instrText>
      </w:r>
      <w:r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34</w:t>
      </w:r>
      <w:r w:rsidRPr="00105FFC">
        <w:rPr>
          <w:rFonts w:asciiTheme="minorHAnsi" w:eastAsiaTheme="minorHAnsi" w:hAnsiTheme="minorHAnsi" w:cstheme="minorBidi"/>
          <w:b/>
          <w:bCs/>
          <w:sz w:val="20"/>
          <w:szCs w:val="20"/>
        </w:rPr>
        <w:fldChar w:fldCharType="end"/>
      </w:r>
      <w:r w:rsidRPr="00105FFC">
        <w:rPr>
          <w:rFonts w:asciiTheme="minorHAnsi" w:eastAsiaTheme="minorHAnsi" w:hAnsiTheme="minorHAnsi" w:cstheme="minorBidi"/>
          <w:b/>
          <w:bCs/>
          <w:sz w:val="20"/>
          <w:szCs w:val="20"/>
        </w:rPr>
        <w:t xml:space="preserve">: </w:t>
      </w:r>
      <w:r w:rsidRPr="00105FFC">
        <w:rPr>
          <w:rFonts w:asciiTheme="minorHAnsi" w:eastAsiaTheme="minorHAnsi" w:hAnsiTheme="minorHAnsi" w:cstheme="minorBidi"/>
          <w:bCs/>
          <w:sz w:val="20"/>
          <w:szCs w:val="20"/>
        </w:rPr>
        <w:t>Total Medi-Cal Participating Pre- and Post-Obstetric Providers in SFY 2013-14, by Service Setting and Geographic Region</w:t>
      </w:r>
      <w:bookmarkEnd w:id="387"/>
      <w:bookmarkEnd w:id="388"/>
    </w:p>
    <w:tbl>
      <w:tblPr>
        <w:tblW w:w="0" w:type="auto"/>
        <w:tblInd w:w="93" w:type="dxa"/>
        <w:tblLook w:val="04A0" w:firstRow="1" w:lastRow="0" w:firstColumn="1" w:lastColumn="0" w:noHBand="0" w:noVBand="1"/>
      </w:tblPr>
      <w:tblGrid>
        <w:gridCol w:w="2005"/>
        <w:gridCol w:w="2188"/>
        <w:gridCol w:w="1711"/>
        <w:gridCol w:w="1863"/>
        <w:gridCol w:w="741"/>
        <w:gridCol w:w="700"/>
      </w:tblGrid>
      <w:tr w:rsidR="00932E5C" w:rsidRPr="00105FFC" w14:paraId="5A5C9041" w14:textId="77777777" w:rsidTr="00774675">
        <w:trPr>
          <w:trHeight w:val="300"/>
        </w:trPr>
        <w:tc>
          <w:tcPr>
            <w:tcW w:w="0" w:type="auto"/>
            <w:gridSpan w:val="6"/>
            <w:tcBorders>
              <w:top w:val="nil"/>
              <w:left w:val="single" w:sz="4" w:space="0" w:color="auto"/>
              <w:bottom w:val="single" w:sz="4" w:space="0" w:color="auto"/>
              <w:right w:val="nil"/>
            </w:tcBorders>
            <w:shd w:val="clear" w:color="000000" w:fill="000000"/>
            <w:noWrap/>
            <w:vAlign w:val="center"/>
            <w:hideMark/>
          </w:tcPr>
          <w:p w14:paraId="46D7A833" w14:textId="77777777" w:rsidR="00932E5C" w:rsidRPr="00105FFC" w:rsidRDefault="00932E5C" w:rsidP="00774675">
            <w:pPr>
              <w:jc w:val="center"/>
              <w:rPr>
                <w:rFonts w:asciiTheme="minorHAnsi" w:hAnsiTheme="minorHAnsi"/>
                <w:b/>
                <w:bCs/>
                <w:color w:val="FFFFFF"/>
                <w:sz w:val="20"/>
                <w:szCs w:val="20"/>
              </w:rPr>
            </w:pPr>
            <w:r w:rsidRPr="00105FFC">
              <w:rPr>
                <w:rFonts w:asciiTheme="minorHAnsi" w:hAnsiTheme="minorHAnsi"/>
                <w:b/>
                <w:bCs/>
                <w:color w:val="FFFFFF"/>
                <w:sz w:val="20"/>
                <w:szCs w:val="20"/>
              </w:rPr>
              <w:t>Pre- and Post-Natal Obstetric Providers</w:t>
            </w:r>
          </w:p>
        </w:tc>
      </w:tr>
      <w:tr w:rsidR="00932E5C" w:rsidRPr="00105FFC" w14:paraId="42135F0B" w14:textId="77777777" w:rsidTr="0077467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C1704C0"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0A1E0C40"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Emergency Department</w:t>
            </w:r>
          </w:p>
        </w:tc>
        <w:tc>
          <w:tcPr>
            <w:tcW w:w="0" w:type="auto"/>
            <w:tcBorders>
              <w:top w:val="nil"/>
              <w:left w:val="nil"/>
              <w:bottom w:val="single" w:sz="4" w:space="0" w:color="auto"/>
              <w:right w:val="single" w:sz="4" w:space="0" w:color="auto"/>
            </w:tcBorders>
            <w:shd w:val="clear" w:color="000000" w:fill="F2F2F2"/>
            <w:noWrap/>
            <w:vAlign w:val="center"/>
            <w:hideMark/>
          </w:tcPr>
          <w:p w14:paraId="3DC8A634"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Inpatient</w:t>
            </w:r>
          </w:p>
        </w:tc>
        <w:tc>
          <w:tcPr>
            <w:tcW w:w="0" w:type="auto"/>
            <w:tcBorders>
              <w:top w:val="nil"/>
              <w:left w:val="nil"/>
              <w:bottom w:val="single" w:sz="4" w:space="0" w:color="auto"/>
              <w:right w:val="single" w:sz="4" w:space="0" w:color="auto"/>
            </w:tcBorders>
            <w:shd w:val="clear" w:color="000000" w:fill="F2F2F2"/>
            <w:noWrap/>
            <w:vAlign w:val="center"/>
            <w:hideMark/>
          </w:tcPr>
          <w:p w14:paraId="559CE025"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Outpatient</w:t>
            </w:r>
          </w:p>
        </w:tc>
        <w:tc>
          <w:tcPr>
            <w:tcW w:w="0" w:type="auto"/>
            <w:tcBorders>
              <w:top w:val="nil"/>
              <w:left w:val="nil"/>
              <w:bottom w:val="single" w:sz="4" w:space="0" w:color="auto"/>
              <w:right w:val="single" w:sz="4" w:space="0" w:color="auto"/>
            </w:tcBorders>
            <w:shd w:val="clear" w:color="000000" w:fill="F2F2F2"/>
            <w:noWrap/>
            <w:vAlign w:val="center"/>
            <w:hideMark/>
          </w:tcPr>
          <w:p w14:paraId="7E4FE1AD"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Clinics</w:t>
            </w:r>
          </w:p>
        </w:tc>
        <w:tc>
          <w:tcPr>
            <w:tcW w:w="0" w:type="auto"/>
            <w:tcBorders>
              <w:top w:val="nil"/>
              <w:left w:val="nil"/>
              <w:bottom w:val="single" w:sz="4" w:space="0" w:color="auto"/>
              <w:right w:val="single" w:sz="4" w:space="0" w:color="auto"/>
            </w:tcBorders>
            <w:shd w:val="clear" w:color="000000" w:fill="F2F2F2"/>
            <w:noWrap/>
            <w:vAlign w:val="center"/>
            <w:hideMark/>
          </w:tcPr>
          <w:p w14:paraId="59919BD0"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Other</w:t>
            </w:r>
          </w:p>
        </w:tc>
      </w:tr>
      <w:tr w:rsidR="00932E5C" w:rsidRPr="00105FFC" w14:paraId="74F458F4" w14:textId="77777777" w:rsidTr="00774675">
        <w:trPr>
          <w:trHeight w:val="300"/>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7C31F2B9"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23399939"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1,350</w:t>
            </w:r>
          </w:p>
        </w:tc>
        <w:tc>
          <w:tcPr>
            <w:tcW w:w="0" w:type="auto"/>
            <w:tcBorders>
              <w:top w:val="nil"/>
              <w:left w:val="nil"/>
              <w:bottom w:val="single" w:sz="4" w:space="0" w:color="auto"/>
              <w:right w:val="single" w:sz="4" w:space="0" w:color="auto"/>
            </w:tcBorders>
            <w:shd w:val="clear" w:color="000000" w:fill="EBF1DE"/>
            <w:noWrap/>
            <w:vAlign w:val="center"/>
            <w:hideMark/>
          </w:tcPr>
          <w:p w14:paraId="73B7D67A"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3,587</w:t>
            </w:r>
          </w:p>
        </w:tc>
        <w:tc>
          <w:tcPr>
            <w:tcW w:w="0" w:type="auto"/>
            <w:tcBorders>
              <w:top w:val="nil"/>
              <w:left w:val="nil"/>
              <w:bottom w:val="single" w:sz="4" w:space="0" w:color="auto"/>
              <w:right w:val="single" w:sz="4" w:space="0" w:color="auto"/>
            </w:tcBorders>
            <w:shd w:val="clear" w:color="000000" w:fill="EBF1DE"/>
            <w:noWrap/>
            <w:vAlign w:val="center"/>
            <w:hideMark/>
          </w:tcPr>
          <w:p w14:paraId="6EABFE0E"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3,509</w:t>
            </w:r>
          </w:p>
        </w:tc>
        <w:tc>
          <w:tcPr>
            <w:tcW w:w="0" w:type="auto"/>
            <w:tcBorders>
              <w:top w:val="nil"/>
              <w:left w:val="nil"/>
              <w:bottom w:val="single" w:sz="4" w:space="0" w:color="auto"/>
              <w:right w:val="single" w:sz="4" w:space="0" w:color="auto"/>
            </w:tcBorders>
            <w:shd w:val="clear" w:color="000000" w:fill="EBF1DE"/>
            <w:noWrap/>
            <w:vAlign w:val="center"/>
            <w:hideMark/>
          </w:tcPr>
          <w:p w14:paraId="573E431D"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3,269</w:t>
            </w:r>
          </w:p>
        </w:tc>
        <w:tc>
          <w:tcPr>
            <w:tcW w:w="0" w:type="auto"/>
            <w:tcBorders>
              <w:top w:val="nil"/>
              <w:left w:val="nil"/>
              <w:bottom w:val="single" w:sz="4" w:space="0" w:color="auto"/>
              <w:right w:val="single" w:sz="4" w:space="0" w:color="auto"/>
            </w:tcBorders>
            <w:shd w:val="clear" w:color="000000" w:fill="EBF1DE"/>
            <w:noWrap/>
            <w:vAlign w:val="center"/>
            <w:hideMark/>
          </w:tcPr>
          <w:p w14:paraId="0AA19C42"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722</w:t>
            </w:r>
          </w:p>
        </w:tc>
      </w:tr>
      <w:tr w:rsidR="00932E5C" w:rsidRPr="00105FFC" w14:paraId="0FC3A1D6"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585B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37E6DDA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216</w:t>
            </w:r>
          </w:p>
        </w:tc>
        <w:tc>
          <w:tcPr>
            <w:tcW w:w="0" w:type="auto"/>
            <w:tcBorders>
              <w:top w:val="nil"/>
              <w:left w:val="nil"/>
              <w:bottom w:val="single" w:sz="4" w:space="0" w:color="auto"/>
              <w:right w:val="single" w:sz="4" w:space="0" w:color="auto"/>
            </w:tcBorders>
            <w:shd w:val="clear" w:color="auto" w:fill="auto"/>
            <w:noWrap/>
            <w:vAlign w:val="center"/>
            <w:hideMark/>
          </w:tcPr>
          <w:p w14:paraId="2ED1F6EF"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744</w:t>
            </w:r>
          </w:p>
        </w:tc>
        <w:tc>
          <w:tcPr>
            <w:tcW w:w="0" w:type="auto"/>
            <w:tcBorders>
              <w:top w:val="nil"/>
              <w:left w:val="nil"/>
              <w:bottom w:val="single" w:sz="4" w:space="0" w:color="auto"/>
              <w:right w:val="single" w:sz="4" w:space="0" w:color="auto"/>
            </w:tcBorders>
            <w:shd w:val="clear" w:color="auto" w:fill="auto"/>
            <w:noWrap/>
            <w:vAlign w:val="center"/>
            <w:hideMark/>
          </w:tcPr>
          <w:p w14:paraId="47FAE93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850</w:t>
            </w:r>
          </w:p>
        </w:tc>
        <w:tc>
          <w:tcPr>
            <w:tcW w:w="0" w:type="auto"/>
            <w:tcBorders>
              <w:top w:val="nil"/>
              <w:left w:val="nil"/>
              <w:bottom w:val="single" w:sz="4" w:space="0" w:color="auto"/>
              <w:right w:val="single" w:sz="4" w:space="0" w:color="auto"/>
            </w:tcBorders>
            <w:shd w:val="clear" w:color="auto" w:fill="auto"/>
            <w:noWrap/>
            <w:vAlign w:val="center"/>
            <w:hideMark/>
          </w:tcPr>
          <w:p w14:paraId="7FD0E9B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721</w:t>
            </w:r>
          </w:p>
        </w:tc>
        <w:tc>
          <w:tcPr>
            <w:tcW w:w="0" w:type="auto"/>
            <w:tcBorders>
              <w:top w:val="nil"/>
              <w:left w:val="nil"/>
              <w:bottom w:val="single" w:sz="4" w:space="0" w:color="auto"/>
              <w:right w:val="single" w:sz="4" w:space="0" w:color="auto"/>
            </w:tcBorders>
            <w:shd w:val="clear" w:color="auto" w:fill="auto"/>
            <w:noWrap/>
            <w:vAlign w:val="center"/>
            <w:hideMark/>
          </w:tcPr>
          <w:p w14:paraId="0CA4224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109</w:t>
            </w:r>
          </w:p>
        </w:tc>
      </w:tr>
      <w:tr w:rsidR="00932E5C" w:rsidRPr="00105FFC" w14:paraId="5194DCFB"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24506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0F2C779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101</w:t>
            </w:r>
          </w:p>
        </w:tc>
        <w:tc>
          <w:tcPr>
            <w:tcW w:w="0" w:type="auto"/>
            <w:tcBorders>
              <w:top w:val="nil"/>
              <w:left w:val="nil"/>
              <w:bottom w:val="single" w:sz="4" w:space="0" w:color="auto"/>
              <w:right w:val="single" w:sz="4" w:space="0" w:color="auto"/>
            </w:tcBorders>
            <w:shd w:val="clear" w:color="auto" w:fill="auto"/>
            <w:noWrap/>
            <w:vAlign w:val="center"/>
            <w:hideMark/>
          </w:tcPr>
          <w:p w14:paraId="37F4102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225</w:t>
            </w:r>
          </w:p>
        </w:tc>
        <w:tc>
          <w:tcPr>
            <w:tcW w:w="0" w:type="auto"/>
            <w:tcBorders>
              <w:top w:val="nil"/>
              <w:left w:val="nil"/>
              <w:bottom w:val="single" w:sz="4" w:space="0" w:color="auto"/>
              <w:right w:val="single" w:sz="4" w:space="0" w:color="auto"/>
            </w:tcBorders>
            <w:shd w:val="clear" w:color="auto" w:fill="auto"/>
            <w:noWrap/>
            <w:vAlign w:val="center"/>
            <w:hideMark/>
          </w:tcPr>
          <w:p w14:paraId="291D7D0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211</w:t>
            </w:r>
          </w:p>
        </w:tc>
        <w:tc>
          <w:tcPr>
            <w:tcW w:w="0" w:type="auto"/>
            <w:tcBorders>
              <w:top w:val="nil"/>
              <w:left w:val="nil"/>
              <w:bottom w:val="single" w:sz="4" w:space="0" w:color="auto"/>
              <w:right w:val="single" w:sz="4" w:space="0" w:color="auto"/>
            </w:tcBorders>
            <w:shd w:val="clear" w:color="auto" w:fill="auto"/>
            <w:noWrap/>
            <w:vAlign w:val="center"/>
            <w:hideMark/>
          </w:tcPr>
          <w:p w14:paraId="6B51E728"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198</w:t>
            </w:r>
          </w:p>
        </w:tc>
        <w:tc>
          <w:tcPr>
            <w:tcW w:w="0" w:type="auto"/>
            <w:tcBorders>
              <w:top w:val="nil"/>
              <w:left w:val="nil"/>
              <w:bottom w:val="single" w:sz="4" w:space="0" w:color="auto"/>
              <w:right w:val="single" w:sz="4" w:space="0" w:color="auto"/>
            </w:tcBorders>
            <w:shd w:val="clear" w:color="auto" w:fill="auto"/>
            <w:noWrap/>
            <w:vAlign w:val="center"/>
            <w:hideMark/>
          </w:tcPr>
          <w:p w14:paraId="401DC82A"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43</w:t>
            </w:r>
          </w:p>
        </w:tc>
      </w:tr>
      <w:tr w:rsidR="00932E5C" w:rsidRPr="00105FFC" w14:paraId="2CEAEB28"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EE6E5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140BBB5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180</w:t>
            </w:r>
          </w:p>
        </w:tc>
        <w:tc>
          <w:tcPr>
            <w:tcW w:w="0" w:type="auto"/>
            <w:tcBorders>
              <w:top w:val="nil"/>
              <w:left w:val="nil"/>
              <w:bottom w:val="single" w:sz="4" w:space="0" w:color="auto"/>
              <w:right w:val="single" w:sz="4" w:space="0" w:color="auto"/>
            </w:tcBorders>
            <w:shd w:val="clear" w:color="auto" w:fill="auto"/>
            <w:noWrap/>
            <w:vAlign w:val="center"/>
            <w:hideMark/>
          </w:tcPr>
          <w:p w14:paraId="211E301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387</w:t>
            </w:r>
          </w:p>
        </w:tc>
        <w:tc>
          <w:tcPr>
            <w:tcW w:w="0" w:type="auto"/>
            <w:tcBorders>
              <w:top w:val="nil"/>
              <w:left w:val="nil"/>
              <w:bottom w:val="single" w:sz="4" w:space="0" w:color="auto"/>
              <w:right w:val="single" w:sz="4" w:space="0" w:color="auto"/>
            </w:tcBorders>
            <w:shd w:val="clear" w:color="auto" w:fill="auto"/>
            <w:noWrap/>
            <w:vAlign w:val="center"/>
            <w:hideMark/>
          </w:tcPr>
          <w:p w14:paraId="1E27295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412</w:t>
            </w:r>
          </w:p>
        </w:tc>
        <w:tc>
          <w:tcPr>
            <w:tcW w:w="0" w:type="auto"/>
            <w:tcBorders>
              <w:top w:val="nil"/>
              <w:left w:val="nil"/>
              <w:bottom w:val="single" w:sz="4" w:space="0" w:color="auto"/>
              <w:right w:val="single" w:sz="4" w:space="0" w:color="auto"/>
            </w:tcBorders>
            <w:shd w:val="clear" w:color="auto" w:fill="auto"/>
            <w:noWrap/>
            <w:vAlign w:val="center"/>
            <w:hideMark/>
          </w:tcPr>
          <w:p w14:paraId="5F69995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430</w:t>
            </w:r>
          </w:p>
        </w:tc>
        <w:tc>
          <w:tcPr>
            <w:tcW w:w="0" w:type="auto"/>
            <w:tcBorders>
              <w:top w:val="nil"/>
              <w:left w:val="nil"/>
              <w:bottom w:val="single" w:sz="4" w:space="0" w:color="auto"/>
              <w:right w:val="single" w:sz="4" w:space="0" w:color="auto"/>
            </w:tcBorders>
            <w:shd w:val="clear" w:color="auto" w:fill="auto"/>
            <w:noWrap/>
            <w:vAlign w:val="center"/>
            <w:hideMark/>
          </w:tcPr>
          <w:p w14:paraId="712B806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79</w:t>
            </w:r>
          </w:p>
        </w:tc>
      </w:tr>
      <w:tr w:rsidR="00932E5C" w:rsidRPr="00105FFC" w14:paraId="4D2188C5"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C264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4365A6A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2DB7DA6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14:paraId="01421A3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center"/>
            <w:hideMark/>
          </w:tcPr>
          <w:p w14:paraId="5FF4EC2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14:paraId="5213654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w:t>
            </w:r>
          </w:p>
        </w:tc>
      </w:tr>
      <w:tr w:rsidR="00932E5C" w:rsidRPr="00105FFC" w14:paraId="68B9790F"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88D2F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0E115E8A"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319</w:t>
            </w:r>
          </w:p>
        </w:tc>
        <w:tc>
          <w:tcPr>
            <w:tcW w:w="0" w:type="auto"/>
            <w:tcBorders>
              <w:top w:val="nil"/>
              <w:left w:val="nil"/>
              <w:bottom w:val="single" w:sz="4" w:space="0" w:color="auto"/>
              <w:right w:val="single" w:sz="4" w:space="0" w:color="auto"/>
            </w:tcBorders>
            <w:shd w:val="clear" w:color="auto" w:fill="auto"/>
            <w:noWrap/>
            <w:vAlign w:val="center"/>
            <w:hideMark/>
          </w:tcPr>
          <w:p w14:paraId="4B6498B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1,018</w:t>
            </w:r>
          </w:p>
        </w:tc>
        <w:tc>
          <w:tcPr>
            <w:tcW w:w="0" w:type="auto"/>
            <w:tcBorders>
              <w:top w:val="nil"/>
              <w:left w:val="nil"/>
              <w:bottom w:val="single" w:sz="4" w:space="0" w:color="auto"/>
              <w:right w:val="single" w:sz="4" w:space="0" w:color="auto"/>
            </w:tcBorders>
            <w:shd w:val="clear" w:color="auto" w:fill="auto"/>
            <w:noWrap/>
            <w:vAlign w:val="center"/>
            <w:hideMark/>
          </w:tcPr>
          <w:p w14:paraId="6D429FD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902</w:t>
            </w:r>
          </w:p>
        </w:tc>
        <w:tc>
          <w:tcPr>
            <w:tcW w:w="0" w:type="auto"/>
            <w:tcBorders>
              <w:top w:val="nil"/>
              <w:left w:val="nil"/>
              <w:bottom w:val="single" w:sz="4" w:space="0" w:color="auto"/>
              <w:right w:val="single" w:sz="4" w:space="0" w:color="auto"/>
            </w:tcBorders>
            <w:shd w:val="clear" w:color="auto" w:fill="auto"/>
            <w:noWrap/>
            <w:vAlign w:val="center"/>
            <w:hideMark/>
          </w:tcPr>
          <w:p w14:paraId="2FFB816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895</w:t>
            </w:r>
          </w:p>
        </w:tc>
        <w:tc>
          <w:tcPr>
            <w:tcW w:w="0" w:type="auto"/>
            <w:tcBorders>
              <w:top w:val="nil"/>
              <w:left w:val="nil"/>
              <w:bottom w:val="single" w:sz="4" w:space="0" w:color="auto"/>
              <w:right w:val="single" w:sz="4" w:space="0" w:color="auto"/>
            </w:tcBorders>
            <w:shd w:val="clear" w:color="auto" w:fill="auto"/>
            <w:noWrap/>
            <w:vAlign w:val="center"/>
            <w:hideMark/>
          </w:tcPr>
          <w:p w14:paraId="5EA12FF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280</w:t>
            </w:r>
          </w:p>
        </w:tc>
      </w:tr>
      <w:tr w:rsidR="00932E5C" w:rsidRPr="00105FFC" w14:paraId="52C39308"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6610FD"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1CA679E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399F4B0A"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14:paraId="2F0E9A5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49</w:t>
            </w:r>
          </w:p>
        </w:tc>
        <w:tc>
          <w:tcPr>
            <w:tcW w:w="0" w:type="auto"/>
            <w:tcBorders>
              <w:top w:val="nil"/>
              <w:left w:val="nil"/>
              <w:bottom w:val="single" w:sz="4" w:space="0" w:color="auto"/>
              <w:right w:val="single" w:sz="4" w:space="0" w:color="auto"/>
            </w:tcBorders>
            <w:shd w:val="clear" w:color="auto" w:fill="auto"/>
            <w:noWrap/>
            <w:vAlign w:val="center"/>
            <w:hideMark/>
          </w:tcPr>
          <w:p w14:paraId="5E44086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14:paraId="7302F02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w:t>
            </w:r>
          </w:p>
        </w:tc>
      </w:tr>
      <w:tr w:rsidR="00932E5C" w:rsidRPr="00105FFC" w14:paraId="5A4B20C6"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EC80C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1315618F"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100</w:t>
            </w:r>
          </w:p>
        </w:tc>
        <w:tc>
          <w:tcPr>
            <w:tcW w:w="0" w:type="auto"/>
            <w:tcBorders>
              <w:top w:val="nil"/>
              <w:left w:val="nil"/>
              <w:bottom w:val="single" w:sz="4" w:space="0" w:color="auto"/>
              <w:right w:val="single" w:sz="4" w:space="0" w:color="auto"/>
            </w:tcBorders>
            <w:shd w:val="clear" w:color="auto" w:fill="auto"/>
            <w:noWrap/>
            <w:vAlign w:val="center"/>
            <w:hideMark/>
          </w:tcPr>
          <w:p w14:paraId="364C69D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236</w:t>
            </w:r>
          </w:p>
        </w:tc>
        <w:tc>
          <w:tcPr>
            <w:tcW w:w="0" w:type="auto"/>
            <w:tcBorders>
              <w:top w:val="nil"/>
              <w:left w:val="nil"/>
              <w:bottom w:val="single" w:sz="4" w:space="0" w:color="auto"/>
              <w:right w:val="single" w:sz="4" w:space="0" w:color="auto"/>
            </w:tcBorders>
            <w:shd w:val="clear" w:color="auto" w:fill="auto"/>
            <w:noWrap/>
            <w:vAlign w:val="center"/>
            <w:hideMark/>
          </w:tcPr>
          <w:p w14:paraId="2C84399D"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275</w:t>
            </w:r>
          </w:p>
        </w:tc>
        <w:tc>
          <w:tcPr>
            <w:tcW w:w="0" w:type="auto"/>
            <w:tcBorders>
              <w:top w:val="nil"/>
              <w:left w:val="nil"/>
              <w:bottom w:val="single" w:sz="4" w:space="0" w:color="auto"/>
              <w:right w:val="single" w:sz="4" w:space="0" w:color="auto"/>
            </w:tcBorders>
            <w:shd w:val="clear" w:color="auto" w:fill="auto"/>
            <w:noWrap/>
            <w:vAlign w:val="center"/>
            <w:hideMark/>
          </w:tcPr>
          <w:p w14:paraId="67A308D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211</w:t>
            </w:r>
          </w:p>
        </w:tc>
        <w:tc>
          <w:tcPr>
            <w:tcW w:w="0" w:type="auto"/>
            <w:tcBorders>
              <w:top w:val="nil"/>
              <w:left w:val="nil"/>
              <w:bottom w:val="single" w:sz="4" w:space="0" w:color="auto"/>
              <w:right w:val="single" w:sz="4" w:space="0" w:color="auto"/>
            </w:tcBorders>
            <w:shd w:val="clear" w:color="auto" w:fill="auto"/>
            <w:noWrap/>
            <w:vAlign w:val="center"/>
            <w:hideMark/>
          </w:tcPr>
          <w:p w14:paraId="7496DA8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33</w:t>
            </w:r>
          </w:p>
        </w:tc>
      </w:tr>
      <w:tr w:rsidR="00932E5C" w:rsidRPr="00105FFC" w14:paraId="720CC87C"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3525C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04F6C83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14:paraId="0A6CA58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118</w:t>
            </w:r>
          </w:p>
        </w:tc>
        <w:tc>
          <w:tcPr>
            <w:tcW w:w="0" w:type="auto"/>
            <w:tcBorders>
              <w:top w:val="nil"/>
              <w:left w:val="nil"/>
              <w:bottom w:val="single" w:sz="4" w:space="0" w:color="auto"/>
              <w:right w:val="single" w:sz="4" w:space="0" w:color="auto"/>
            </w:tcBorders>
            <w:shd w:val="clear" w:color="auto" w:fill="auto"/>
            <w:noWrap/>
            <w:vAlign w:val="center"/>
            <w:hideMark/>
          </w:tcPr>
          <w:p w14:paraId="0517E07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146</w:t>
            </w:r>
          </w:p>
        </w:tc>
        <w:tc>
          <w:tcPr>
            <w:tcW w:w="0" w:type="auto"/>
            <w:tcBorders>
              <w:top w:val="nil"/>
              <w:left w:val="nil"/>
              <w:bottom w:val="single" w:sz="4" w:space="0" w:color="auto"/>
              <w:right w:val="single" w:sz="4" w:space="0" w:color="auto"/>
            </w:tcBorders>
            <w:shd w:val="clear" w:color="auto" w:fill="auto"/>
            <w:noWrap/>
            <w:vAlign w:val="center"/>
            <w:hideMark/>
          </w:tcPr>
          <w:p w14:paraId="000A678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84</w:t>
            </w:r>
          </w:p>
        </w:tc>
        <w:tc>
          <w:tcPr>
            <w:tcW w:w="0" w:type="auto"/>
            <w:tcBorders>
              <w:top w:val="nil"/>
              <w:left w:val="nil"/>
              <w:bottom w:val="single" w:sz="4" w:space="0" w:color="auto"/>
              <w:right w:val="single" w:sz="4" w:space="0" w:color="auto"/>
            </w:tcBorders>
            <w:shd w:val="clear" w:color="auto" w:fill="auto"/>
            <w:noWrap/>
            <w:vAlign w:val="center"/>
            <w:hideMark/>
          </w:tcPr>
          <w:p w14:paraId="2A32986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13</w:t>
            </w:r>
          </w:p>
        </w:tc>
      </w:tr>
      <w:tr w:rsidR="00932E5C" w:rsidRPr="00105FFC" w14:paraId="1E1D6E35"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41F3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54DDE5E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398</w:t>
            </w:r>
          </w:p>
        </w:tc>
        <w:tc>
          <w:tcPr>
            <w:tcW w:w="0" w:type="auto"/>
            <w:tcBorders>
              <w:top w:val="nil"/>
              <w:left w:val="nil"/>
              <w:bottom w:val="single" w:sz="4" w:space="0" w:color="auto"/>
              <w:right w:val="single" w:sz="4" w:space="0" w:color="auto"/>
            </w:tcBorders>
            <w:shd w:val="clear" w:color="auto" w:fill="auto"/>
            <w:noWrap/>
            <w:vAlign w:val="center"/>
            <w:hideMark/>
          </w:tcPr>
          <w:p w14:paraId="5FCAC5C8"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1,068</w:t>
            </w:r>
          </w:p>
        </w:tc>
        <w:tc>
          <w:tcPr>
            <w:tcW w:w="0" w:type="auto"/>
            <w:tcBorders>
              <w:top w:val="nil"/>
              <w:left w:val="nil"/>
              <w:bottom w:val="single" w:sz="4" w:space="0" w:color="auto"/>
              <w:right w:val="single" w:sz="4" w:space="0" w:color="auto"/>
            </w:tcBorders>
            <w:shd w:val="clear" w:color="auto" w:fill="auto"/>
            <w:noWrap/>
            <w:vAlign w:val="center"/>
            <w:hideMark/>
          </w:tcPr>
          <w:p w14:paraId="0112803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971</w:t>
            </w:r>
          </w:p>
        </w:tc>
        <w:tc>
          <w:tcPr>
            <w:tcW w:w="0" w:type="auto"/>
            <w:tcBorders>
              <w:top w:val="nil"/>
              <w:left w:val="nil"/>
              <w:bottom w:val="single" w:sz="4" w:space="0" w:color="auto"/>
              <w:right w:val="single" w:sz="4" w:space="0" w:color="auto"/>
            </w:tcBorders>
            <w:shd w:val="clear" w:color="auto" w:fill="auto"/>
            <w:noWrap/>
            <w:vAlign w:val="center"/>
            <w:hideMark/>
          </w:tcPr>
          <w:p w14:paraId="3DCCBF4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857</w:t>
            </w:r>
          </w:p>
        </w:tc>
        <w:tc>
          <w:tcPr>
            <w:tcW w:w="0" w:type="auto"/>
            <w:tcBorders>
              <w:top w:val="nil"/>
              <w:left w:val="nil"/>
              <w:bottom w:val="single" w:sz="4" w:space="0" w:color="auto"/>
              <w:right w:val="single" w:sz="4" w:space="0" w:color="auto"/>
            </w:tcBorders>
            <w:shd w:val="clear" w:color="auto" w:fill="auto"/>
            <w:noWrap/>
            <w:vAlign w:val="center"/>
            <w:hideMark/>
          </w:tcPr>
          <w:p w14:paraId="72D2DAB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193</w:t>
            </w:r>
          </w:p>
        </w:tc>
      </w:tr>
    </w:tbl>
    <w:p w14:paraId="6A19A4EB" w14:textId="77777777" w:rsidR="00932E5C" w:rsidRPr="00105FFC" w:rsidRDefault="00932E5C" w:rsidP="00932E5C">
      <w:pPr>
        <w:spacing w:after="120"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74D8B804" w14:textId="77777777" w:rsidR="00932E5C" w:rsidRPr="00105FFC" w:rsidRDefault="00932E5C" w:rsidP="00932E5C">
      <w:pPr>
        <w:spacing w:after="120" w:line="276" w:lineRule="auto"/>
        <w:rPr>
          <w:rFonts w:asciiTheme="minorHAnsi" w:eastAsiaTheme="minorHAnsi" w:hAnsiTheme="minorHAnsi" w:cs="Tahoma"/>
          <w:sz w:val="16"/>
          <w:szCs w:val="16"/>
        </w:rPr>
      </w:pPr>
    </w:p>
    <w:p w14:paraId="391859D4" w14:textId="77777777" w:rsidR="00932E5C" w:rsidRPr="00105FFC" w:rsidRDefault="00932E5C" w:rsidP="00932E5C">
      <w:pPr>
        <w:rPr>
          <w:rFonts w:asciiTheme="minorHAnsi" w:eastAsiaTheme="minorHAnsi" w:hAnsiTheme="minorHAnsi" w:cstheme="minorBidi"/>
          <w:bCs/>
          <w:sz w:val="20"/>
          <w:szCs w:val="20"/>
        </w:rPr>
      </w:pPr>
      <w:bookmarkStart w:id="389" w:name="_Toc458783110"/>
      <w:bookmarkStart w:id="390" w:name="_Toc459285180"/>
      <w:r w:rsidRPr="00105FFC">
        <w:rPr>
          <w:rFonts w:asciiTheme="minorHAnsi" w:eastAsiaTheme="minorHAnsi" w:hAnsiTheme="minorHAnsi" w:cstheme="minorBidi"/>
          <w:b/>
          <w:bCs/>
          <w:sz w:val="20"/>
          <w:szCs w:val="20"/>
        </w:rPr>
        <w:t xml:space="preserve">Table </w:t>
      </w:r>
      <w:r w:rsidRPr="00105FFC">
        <w:rPr>
          <w:rFonts w:asciiTheme="minorHAnsi" w:eastAsiaTheme="minorHAnsi" w:hAnsiTheme="minorHAnsi" w:cstheme="minorBidi"/>
          <w:b/>
          <w:bCs/>
          <w:sz w:val="20"/>
          <w:szCs w:val="20"/>
        </w:rPr>
        <w:fldChar w:fldCharType="begin"/>
      </w:r>
      <w:r w:rsidRPr="00105FFC">
        <w:rPr>
          <w:rFonts w:asciiTheme="minorHAnsi" w:eastAsiaTheme="minorHAnsi" w:hAnsiTheme="minorHAnsi" w:cstheme="minorBidi"/>
          <w:b/>
          <w:bCs/>
          <w:sz w:val="20"/>
          <w:szCs w:val="20"/>
        </w:rPr>
        <w:instrText xml:space="preserve"> SEQ Table \* ARABIC </w:instrText>
      </w:r>
      <w:r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35</w:t>
      </w:r>
      <w:r w:rsidRPr="00105FFC">
        <w:rPr>
          <w:rFonts w:asciiTheme="minorHAnsi" w:eastAsiaTheme="minorHAnsi" w:hAnsiTheme="minorHAnsi" w:cstheme="minorBidi"/>
          <w:b/>
          <w:bCs/>
          <w:sz w:val="20"/>
          <w:szCs w:val="20"/>
        </w:rPr>
        <w:fldChar w:fldCharType="end"/>
      </w:r>
      <w:r w:rsidRPr="00105FFC">
        <w:rPr>
          <w:rFonts w:asciiTheme="minorHAnsi" w:eastAsiaTheme="minorHAnsi" w:hAnsiTheme="minorHAnsi" w:cstheme="minorBidi"/>
          <w:b/>
          <w:bCs/>
          <w:sz w:val="20"/>
          <w:szCs w:val="20"/>
        </w:rPr>
        <w:t xml:space="preserve">: </w:t>
      </w:r>
      <w:r w:rsidRPr="00105FFC">
        <w:rPr>
          <w:rFonts w:asciiTheme="minorHAnsi" w:eastAsiaTheme="minorHAnsi" w:hAnsiTheme="minorHAnsi" w:cstheme="minorBidi"/>
          <w:bCs/>
          <w:sz w:val="20"/>
          <w:szCs w:val="20"/>
        </w:rPr>
        <w:t>Total Medi-Cal Participating Pre- and Post-Obstetric Providers in SFY 2014-15, by Service Setting and Geographic Region</w:t>
      </w:r>
      <w:bookmarkEnd w:id="389"/>
      <w:bookmarkEnd w:id="390"/>
    </w:p>
    <w:tbl>
      <w:tblPr>
        <w:tblW w:w="0" w:type="auto"/>
        <w:tblInd w:w="93" w:type="dxa"/>
        <w:tblLook w:val="04A0" w:firstRow="1" w:lastRow="0" w:firstColumn="1" w:lastColumn="0" w:noHBand="0" w:noVBand="1"/>
      </w:tblPr>
      <w:tblGrid>
        <w:gridCol w:w="2005"/>
        <w:gridCol w:w="2188"/>
        <w:gridCol w:w="1711"/>
        <w:gridCol w:w="1863"/>
        <w:gridCol w:w="741"/>
        <w:gridCol w:w="700"/>
      </w:tblGrid>
      <w:tr w:rsidR="00932E5C" w:rsidRPr="00105FFC" w14:paraId="4ED2286B" w14:textId="77777777" w:rsidTr="00774675">
        <w:trPr>
          <w:trHeight w:val="300"/>
        </w:trPr>
        <w:tc>
          <w:tcPr>
            <w:tcW w:w="0" w:type="auto"/>
            <w:gridSpan w:val="6"/>
            <w:tcBorders>
              <w:top w:val="nil"/>
              <w:left w:val="single" w:sz="4" w:space="0" w:color="auto"/>
              <w:bottom w:val="single" w:sz="4" w:space="0" w:color="auto"/>
              <w:right w:val="nil"/>
            </w:tcBorders>
            <w:shd w:val="clear" w:color="000000" w:fill="000000"/>
            <w:noWrap/>
            <w:vAlign w:val="center"/>
            <w:hideMark/>
          </w:tcPr>
          <w:p w14:paraId="763AF4E7" w14:textId="77777777" w:rsidR="00932E5C" w:rsidRPr="00105FFC" w:rsidRDefault="00932E5C" w:rsidP="00774675">
            <w:pPr>
              <w:jc w:val="center"/>
              <w:rPr>
                <w:rFonts w:asciiTheme="minorHAnsi" w:hAnsiTheme="minorHAnsi"/>
                <w:b/>
                <w:bCs/>
                <w:color w:val="FFFFFF"/>
                <w:sz w:val="20"/>
                <w:szCs w:val="20"/>
              </w:rPr>
            </w:pPr>
            <w:r w:rsidRPr="00105FFC">
              <w:rPr>
                <w:rFonts w:asciiTheme="minorHAnsi" w:hAnsiTheme="minorHAnsi"/>
                <w:b/>
                <w:bCs/>
                <w:color w:val="FFFFFF"/>
                <w:sz w:val="20"/>
                <w:szCs w:val="20"/>
              </w:rPr>
              <w:t>Pre- and Post-Natal Obstetric Providers</w:t>
            </w:r>
          </w:p>
        </w:tc>
      </w:tr>
      <w:tr w:rsidR="00932E5C" w:rsidRPr="00105FFC" w14:paraId="355B08EF" w14:textId="77777777" w:rsidTr="0077467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F657D4A"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238479B8"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Emergency Department</w:t>
            </w:r>
          </w:p>
        </w:tc>
        <w:tc>
          <w:tcPr>
            <w:tcW w:w="0" w:type="auto"/>
            <w:tcBorders>
              <w:top w:val="nil"/>
              <w:left w:val="nil"/>
              <w:bottom w:val="single" w:sz="4" w:space="0" w:color="auto"/>
              <w:right w:val="single" w:sz="4" w:space="0" w:color="auto"/>
            </w:tcBorders>
            <w:shd w:val="clear" w:color="000000" w:fill="F2F2F2"/>
            <w:noWrap/>
            <w:vAlign w:val="center"/>
            <w:hideMark/>
          </w:tcPr>
          <w:p w14:paraId="2C3E48CF"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Inpatient</w:t>
            </w:r>
          </w:p>
        </w:tc>
        <w:tc>
          <w:tcPr>
            <w:tcW w:w="0" w:type="auto"/>
            <w:tcBorders>
              <w:top w:val="nil"/>
              <w:left w:val="nil"/>
              <w:bottom w:val="single" w:sz="4" w:space="0" w:color="auto"/>
              <w:right w:val="single" w:sz="4" w:space="0" w:color="auto"/>
            </w:tcBorders>
            <w:shd w:val="clear" w:color="000000" w:fill="F2F2F2"/>
            <w:noWrap/>
            <w:vAlign w:val="center"/>
            <w:hideMark/>
          </w:tcPr>
          <w:p w14:paraId="6C7BF32E"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Outpatient</w:t>
            </w:r>
          </w:p>
        </w:tc>
        <w:tc>
          <w:tcPr>
            <w:tcW w:w="0" w:type="auto"/>
            <w:tcBorders>
              <w:top w:val="nil"/>
              <w:left w:val="nil"/>
              <w:bottom w:val="single" w:sz="4" w:space="0" w:color="auto"/>
              <w:right w:val="single" w:sz="4" w:space="0" w:color="auto"/>
            </w:tcBorders>
            <w:shd w:val="clear" w:color="000000" w:fill="F2F2F2"/>
            <w:noWrap/>
            <w:vAlign w:val="center"/>
            <w:hideMark/>
          </w:tcPr>
          <w:p w14:paraId="6A2D1E93"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Clinics</w:t>
            </w:r>
          </w:p>
        </w:tc>
        <w:tc>
          <w:tcPr>
            <w:tcW w:w="0" w:type="auto"/>
            <w:tcBorders>
              <w:top w:val="nil"/>
              <w:left w:val="nil"/>
              <w:bottom w:val="single" w:sz="4" w:space="0" w:color="auto"/>
              <w:right w:val="single" w:sz="4" w:space="0" w:color="auto"/>
            </w:tcBorders>
            <w:shd w:val="clear" w:color="000000" w:fill="F2F2F2"/>
            <w:noWrap/>
            <w:vAlign w:val="center"/>
            <w:hideMark/>
          </w:tcPr>
          <w:p w14:paraId="5FFAD8C6"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Other</w:t>
            </w:r>
          </w:p>
        </w:tc>
      </w:tr>
      <w:tr w:rsidR="00932E5C" w:rsidRPr="00105FFC" w14:paraId="66F25E21" w14:textId="77777777" w:rsidTr="00774675">
        <w:trPr>
          <w:trHeight w:val="300"/>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00728CF9"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4596DF42"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1,362</w:t>
            </w:r>
          </w:p>
        </w:tc>
        <w:tc>
          <w:tcPr>
            <w:tcW w:w="0" w:type="auto"/>
            <w:tcBorders>
              <w:top w:val="nil"/>
              <w:left w:val="nil"/>
              <w:bottom w:val="single" w:sz="4" w:space="0" w:color="auto"/>
              <w:right w:val="single" w:sz="4" w:space="0" w:color="auto"/>
            </w:tcBorders>
            <w:shd w:val="clear" w:color="000000" w:fill="EBF1DE"/>
            <w:noWrap/>
            <w:vAlign w:val="center"/>
            <w:hideMark/>
          </w:tcPr>
          <w:p w14:paraId="47FFC6A9"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3,745</w:t>
            </w:r>
          </w:p>
        </w:tc>
        <w:tc>
          <w:tcPr>
            <w:tcW w:w="0" w:type="auto"/>
            <w:tcBorders>
              <w:top w:val="nil"/>
              <w:left w:val="nil"/>
              <w:bottom w:val="single" w:sz="4" w:space="0" w:color="auto"/>
              <w:right w:val="single" w:sz="4" w:space="0" w:color="auto"/>
            </w:tcBorders>
            <w:shd w:val="clear" w:color="000000" w:fill="EBF1DE"/>
            <w:noWrap/>
            <w:vAlign w:val="center"/>
            <w:hideMark/>
          </w:tcPr>
          <w:p w14:paraId="3A7524FA"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3,577</w:t>
            </w:r>
          </w:p>
        </w:tc>
        <w:tc>
          <w:tcPr>
            <w:tcW w:w="0" w:type="auto"/>
            <w:tcBorders>
              <w:top w:val="nil"/>
              <w:left w:val="nil"/>
              <w:bottom w:val="single" w:sz="4" w:space="0" w:color="auto"/>
              <w:right w:val="single" w:sz="4" w:space="0" w:color="auto"/>
            </w:tcBorders>
            <w:shd w:val="clear" w:color="000000" w:fill="EBF1DE"/>
            <w:noWrap/>
            <w:vAlign w:val="center"/>
            <w:hideMark/>
          </w:tcPr>
          <w:p w14:paraId="3B184DA8"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3,369</w:t>
            </w:r>
          </w:p>
        </w:tc>
        <w:tc>
          <w:tcPr>
            <w:tcW w:w="0" w:type="auto"/>
            <w:tcBorders>
              <w:top w:val="nil"/>
              <w:left w:val="nil"/>
              <w:bottom w:val="single" w:sz="4" w:space="0" w:color="auto"/>
              <w:right w:val="single" w:sz="4" w:space="0" w:color="auto"/>
            </w:tcBorders>
            <w:shd w:val="clear" w:color="000000" w:fill="EBF1DE"/>
            <w:noWrap/>
            <w:vAlign w:val="center"/>
            <w:hideMark/>
          </w:tcPr>
          <w:p w14:paraId="2E6800C5" w14:textId="77777777" w:rsidR="00932E5C" w:rsidRPr="00105FFC" w:rsidRDefault="00932E5C" w:rsidP="00774675">
            <w:pPr>
              <w:jc w:val="center"/>
              <w:rPr>
                <w:rFonts w:asciiTheme="minorHAnsi" w:hAnsiTheme="minorHAnsi"/>
                <w:b/>
                <w:bCs/>
                <w:color w:val="000000"/>
                <w:sz w:val="20"/>
                <w:szCs w:val="20"/>
              </w:rPr>
            </w:pPr>
            <w:r w:rsidRPr="00105FFC">
              <w:rPr>
                <w:rFonts w:asciiTheme="minorHAnsi" w:hAnsiTheme="minorHAnsi"/>
                <w:b/>
                <w:bCs/>
                <w:color w:val="000000"/>
                <w:sz w:val="20"/>
                <w:szCs w:val="20"/>
              </w:rPr>
              <w:t>883</w:t>
            </w:r>
          </w:p>
        </w:tc>
      </w:tr>
      <w:tr w:rsidR="00932E5C" w:rsidRPr="00105FFC" w14:paraId="68CB5756"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120CA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7E7C356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250</w:t>
            </w:r>
          </w:p>
        </w:tc>
        <w:tc>
          <w:tcPr>
            <w:tcW w:w="0" w:type="auto"/>
            <w:tcBorders>
              <w:top w:val="nil"/>
              <w:left w:val="nil"/>
              <w:bottom w:val="single" w:sz="4" w:space="0" w:color="auto"/>
              <w:right w:val="single" w:sz="4" w:space="0" w:color="auto"/>
            </w:tcBorders>
            <w:shd w:val="clear" w:color="auto" w:fill="auto"/>
            <w:noWrap/>
            <w:vAlign w:val="center"/>
            <w:hideMark/>
          </w:tcPr>
          <w:p w14:paraId="7E19052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783</w:t>
            </w:r>
          </w:p>
        </w:tc>
        <w:tc>
          <w:tcPr>
            <w:tcW w:w="0" w:type="auto"/>
            <w:tcBorders>
              <w:top w:val="nil"/>
              <w:left w:val="nil"/>
              <w:bottom w:val="single" w:sz="4" w:space="0" w:color="auto"/>
              <w:right w:val="single" w:sz="4" w:space="0" w:color="auto"/>
            </w:tcBorders>
            <w:shd w:val="clear" w:color="auto" w:fill="auto"/>
            <w:noWrap/>
            <w:vAlign w:val="center"/>
            <w:hideMark/>
          </w:tcPr>
          <w:p w14:paraId="20E8BD6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835</w:t>
            </w:r>
          </w:p>
        </w:tc>
        <w:tc>
          <w:tcPr>
            <w:tcW w:w="0" w:type="auto"/>
            <w:tcBorders>
              <w:top w:val="nil"/>
              <w:left w:val="nil"/>
              <w:bottom w:val="single" w:sz="4" w:space="0" w:color="auto"/>
              <w:right w:val="single" w:sz="4" w:space="0" w:color="auto"/>
            </w:tcBorders>
            <w:shd w:val="clear" w:color="auto" w:fill="auto"/>
            <w:noWrap/>
            <w:vAlign w:val="center"/>
            <w:hideMark/>
          </w:tcPr>
          <w:p w14:paraId="1BB716D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731</w:t>
            </w:r>
          </w:p>
        </w:tc>
        <w:tc>
          <w:tcPr>
            <w:tcW w:w="0" w:type="auto"/>
            <w:tcBorders>
              <w:top w:val="nil"/>
              <w:left w:val="nil"/>
              <w:bottom w:val="single" w:sz="4" w:space="0" w:color="auto"/>
              <w:right w:val="single" w:sz="4" w:space="0" w:color="auto"/>
            </w:tcBorders>
            <w:shd w:val="clear" w:color="auto" w:fill="auto"/>
            <w:noWrap/>
            <w:vAlign w:val="center"/>
            <w:hideMark/>
          </w:tcPr>
          <w:p w14:paraId="59F3608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105</w:t>
            </w:r>
          </w:p>
        </w:tc>
      </w:tr>
      <w:tr w:rsidR="00932E5C" w:rsidRPr="00105FFC" w14:paraId="7D9D96E6"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E269D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180330A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97</w:t>
            </w:r>
          </w:p>
        </w:tc>
        <w:tc>
          <w:tcPr>
            <w:tcW w:w="0" w:type="auto"/>
            <w:tcBorders>
              <w:top w:val="nil"/>
              <w:left w:val="nil"/>
              <w:bottom w:val="single" w:sz="4" w:space="0" w:color="auto"/>
              <w:right w:val="single" w:sz="4" w:space="0" w:color="auto"/>
            </w:tcBorders>
            <w:shd w:val="clear" w:color="auto" w:fill="auto"/>
            <w:noWrap/>
            <w:vAlign w:val="center"/>
            <w:hideMark/>
          </w:tcPr>
          <w:p w14:paraId="4D6E3E73"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236</w:t>
            </w:r>
          </w:p>
        </w:tc>
        <w:tc>
          <w:tcPr>
            <w:tcW w:w="0" w:type="auto"/>
            <w:tcBorders>
              <w:top w:val="nil"/>
              <w:left w:val="nil"/>
              <w:bottom w:val="single" w:sz="4" w:space="0" w:color="auto"/>
              <w:right w:val="single" w:sz="4" w:space="0" w:color="auto"/>
            </w:tcBorders>
            <w:shd w:val="clear" w:color="auto" w:fill="auto"/>
            <w:noWrap/>
            <w:vAlign w:val="center"/>
            <w:hideMark/>
          </w:tcPr>
          <w:p w14:paraId="195E9C1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216</w:t>
            </w:r>
          </w:p>
        </w:tc>
        <w:tc>
          <w:tcPr>
            <w:tcW w:w="0" w:type="auto"/>
            <w:tcBorders>
              <w:top w:val="nil"/>
              <w:left w:val="nil"/>
              <w:bottom w:val="single" w:sz="4" w:space="0" w:color="auto"/>
              <w:right w:val="single" w:sz="4" w:space="0" w:color="auto"/>
            </w:tcBorders>
            <w:shd w:val="clear" w:color="auto" w:fill="auto"/>
            <w:noWrap/>
            <w:vAlign w:val="center"/>
            <w:hideMark/>
          </w:tcPr>
          <w:p w14:paraId="5D960D4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201</w:t>
            </w:r>
          </w:p>
        </w:tc>
        <w:tc>
          <w:tcPr>
            <w:tcW w:w="0" w:type="auto"/>
            <w:tcBorders>
              <w:top w:val="nil"/>
              <w:left w:val="nil"/>
              <w:bottom w:val="single" w:sz="4" w:space="0" w:color="auto"/>
              <w:right w:val="single" w:sz="4" w:space="0" w:color="auto"/>
            </w:tcBorders>
            <w:shd w:val="clear" w:color="auto" w:fill="auto"/>
            <w:noWrap/>
            <w:vAlign w:val="center"/>
            <w:hideMark/>
          </w:tcPr>
          <w:p w14:paraId="6088DD4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43</w:t>
            </w:r>
          </w:p>
        </w:tc>
      </w:tr>
      <w:tr w:rsidR="00932E5C" w:rsidRPr="00105FFC" w14:paraId="1D983154"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B2F8E8"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6A039FCA"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169</w:t>
            </w:r>
          </w:p>
        </w:tc>
        <w:tc>
          <w:tcPr>
            <w:tcW w:w="0" w:type="auto"/>
            <w:tcBorders>
              <w:top w:val="nil"/>
              <w:left w:val="nil"/>
              <w:bottom w:val="single" w:sz="4" w:space="0" w:color="auto"/>
              <w:right w:val="single" w:sz="4" w:space="0" w:color="auto"/>
            </w:tcBorders>
            <w:shd w:val="clear" w:color="auto" w:fill="auto"/>
            <w:noWrap/>
            <w:vAlign w:val="center"/>
            <w:hideMark/>
          </w:tcPr>
          <w:p w14:paraId="2815FB7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408</w:t>
            </w:r>
          </w:p>
        </w:tc>
        <w:tc>
          <w:tcPr>
            <w:tcW w:w="0" w:type="auto"/>
            <w:tcBorders>
              <w:top w:val="nil"/>
              <w:left w:val="nil"/>
              <w:bottom w:val="single" w:sz="4" w:space="0" w:color="auto"/>
              <w:right w:val="single" w:sz="4" w:space="0" w:color="auto"/>
            </w:tcBorders>
            <w:shd w:val="clear" w:color="auto" w:fill="auto"/>
            <w:noWrap/>
            <w:vAlign w:val="center"/>
            <w:hideMark/>
          </w:tcPr>
          <w:p w14:paraId="6E5D2AC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419</w:t>
            </w:r>
          </w:p>
        </w:tc>
        <w:tc>
          <w:tcPr>
            <w:tcW w:w="0" w:type="auto"/>
            <w:tcBorders>
              <w:top w:val="nil"/>
              <w:left w:val="nil"/>
              <w:bottom w:val="single" w:sz="4" w:space="0" w:color="auto"/>
              <w:right w:val="single" w:sz="4" w:space="0" w:color="auto"/>
            </w:tcBorders>
            <w:shd w:val="clear" w:color="auto" w:fill="auto"/>
            <w:noWrap/>
            <w:vAlign w:val="center"/>
            <w:hideMark/>
          </w:tcPr>
          <w:p w14:paraId="073FA5C9"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441</w:t>
            </w:r>
          </w:p>
        </w:tc>
        <w:tc>
          <w:tcPr>
            <w:tcW w:w="0" w:type="auto"/>
            <w:tcBorders>
              <w:top w:val="nil"/>
              <w:left w:val="nil"/>
              <w:bottom w:val="single" w:sz="4" w:space="0" w:color="auto"/>
              <w:right w:val="single" w:sz="4" w:space="0" w:color="auto"/>
            </w:tcBorders>
            <w:shd w:val="clear" w:color="auto" w:fill="auto"/>
            <w:noWrap/>
            <w:vAlign w:val="center"/>
            <w:hideMark/>
          </w:tcPr>
          <w:p w14:paraId="2FC7C33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76</w:t>
            </w:r>
          </w:p>
        </w:tc>
      </w:tr>
      <w:tr w:rsidR="00932E5C" w:rsidRPr="00105FFC" w14:paraId="5AE01C09"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A9270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5E4B044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7EEFA4E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4A9629F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center"/>
            <w:hideMark/>
          </w:tcPr>
          <w:p w14:paraId="7DD44F2D"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54EE73DF"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w:t>
            </w:r>
          </w:p>
        </w:tc>
      </w:tr>
      <w:tr w:rsidR="00932E5C" w:rsidRPr="00105FFC" w14:paraId="0C79BD93"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05FE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3D8D256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331</w:t>
            </w:r>
          </w:p>
        </w:tc>
        <w:tc>
          <w:tcPr>
            <w:tcW w:w="0" w:type="auto"/>
            <w:tcBorders>
              <w:top w:val="nil"/>
              <w:left w:val="nil"/>
              <w:bottom w:val="single" w:sz="4" w:space="0" w:color="auto"/>
              <w:right w:val="single" w:sz="4" w:space="0" w:color="auto"/>
            </w:tcBorders>
            <w:shd w:val="clear" w:color="auto" w:fill="auto"/>
            <w:noWrap/>
            <w:vAlign w:val="center"/>
            <w:hideMark/>
          </w:tcPr>
          <w:p w14:paraId="6AE172A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1,065</w:t>
            </w:r>
          </w:p>
        </w:tc>
        <w:tc>
          <w:tcPr>
            <w:tcW w:w="0" w:type="auto"/>
            <w:tcBorders>
              <w:top w:val="nil"/>
              <w:left w:val="nil"/>
              <w:bottom w:val="single" w:sz="4" w:space="0" w:color="auto"/>
              <w:right w:val="single" w:sz="4" w:space="0" w:color="auto"/>
            </w:tcBorders>
            <w:shd w:val="clear" w:color="auto" w:fill="auto"/>
            <w:noWrap/>
            <w:vAlign w:val="center"/>
            <w:hideMark/>
          </w:tcPr>
          <w:p w14:paraId="65F8696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924</w:t>
            </w:r>
          </w:p>
        </w:tc>
        <w:tc>
          <w:tcPr>
            <w:tcW w:w="0" w:type="auto"/>
            <w:tcBorders>
              <w:top w:val="nil"/>
              <w:left w:val="nil"/>
              <w:bottom w:val="single" w:sz="4" w:space="0" w:color="auto"/>
              <w:right w:val="single" w:sz="4" w:space="0" w:color="auto"/>
            </w:tcBorders>
            <w:shd w:val="clear" w:color="auto" w:fill="auto"/>
            <w:noWrap/>
            <w:vAlign w:val="center"/>
            <w:hideMark/>
          </w:tcPr>
          <w:p w14:paraId="05EF79B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943</w:t>
            </w:r>
          </w:p>
        </w:tc>
        <w:tc>
          <w:tcPr>
            <w:tcW w:w="0" w:type="auto"/>
            <w:tcBorders>
              <w:top w:val="nil"/>
              <w:left w:val="nil"/>
              <w:bottom w:val="single" w:sz="4" w:space="0" w:color="auto"/>
              <w:right w:val="single" w:sz="4" w:space="0" w:color="auto"/>
            </w:tcBorders>
            <w:shd w:val="clear" w:color="auto" w:fill="auto"/>
            <w:noWrap/>
            <w:vAlign w:val="center"/>
            <w:hideMark/>
          </w:tcPr>
          <w:p w14:paraId="4F1C51C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396</w:t>
            </w:r>
          </w:p>
        </w:tc>
      </w:tr>
      <w:tr w:rsidR="00932E5C" w:rsidRPr="00105FFC" w14:paraId="43E24B2A"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A5D1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4C80EC2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08F1717D"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14:paraId="319B748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14:paraId="33D2D1D0"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33</w:t>
            </w:r>
          </w:p>
        </w:tc>
        <w:tc>
          <w:tcPr>
            <w:tcW w:w="0" w:type="auto"/>
            <w:tcBorders>
              <w:top w:val="nil"/>
              <w:left w:val="nil"/>
              <w:bottom w:val="single" w:sz="4" w:space="0" w:color="auto"/>
              <w:right w:val="single" w:sz="4" w:space="0" w:color="auto"/>
            </w:tcBorders>
            <w:shd w:val="clear" w:color="auto" w:fill="auto"/>
            <w:noWrap/>
            <w:vAlign w:val="center"/>
            <w:hideMark/>
          </w:tcPr>
          <w:p w14:paraId="39C7DFD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6</w:t>
            </w:r>
          </w:p>
        </w:tc>
      </w:tr>
      <w:tr w:rsidR="00932E5C" w:rsidRPr="00105FFC" w14:paraId="7AB134FD"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6A55D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196CBD5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99</w:t>
            </w:r>
          </w:p>
        </w:tc>
        <w:tc>
          <w:tcPr>
            <w:tcW w:w="0" w:type="auto"/>
            <w:tcBorders>
              <w:top w:val="nil"/>
              <w:left w:val="nil"/>
              <w:bottom w:val="single" w:sz="4" w:space="0" w:color="auto"/>
              <w:right w:val="single" w:sz="4" w:space="0" w:color="auto"/>
            </w:tcBorders>
            <w:shd w:val="clear" w:color="auto" w:fill="auto"/>
            <w:noWrap/>
            <w:vAlign w:val="center"/>
            <w:hideMark/>
          </w:tcPr>
          <w:p w14:paraId="7BA8024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245</w:t>
            </w:r>
          </w:p>
        </w:tc>
        <w:tc>
          <w:tcPr>
            <w:tcW w:w="0" w:type="auto"/>
            <w:tcBorders>
              <w:top w:val="nil"/>
              <w:left w:val="nil"/>
              <w:bottom w:val="single" w:sz="4" w:space="0" w:color="auto"/>
              <w:right w:val="single" w:sz="4" w:space="0" w:color="auto"/>
            </w:tcBorders>
            <w:shd w:val="clear" w:color="auto" w:fill="auto"/>
            <w:noWrap/>
            <w:vAlign w:val="center"/>
            <w:hideMark/>
          </w:tcPr>
          <w:p w14:paraId="776C318F"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284</w:t>
            </w:r>
          </w:p>
        </w:tc>
        <w:tc>
          <w:tcPr>
            <w:tcW w:w="0" w:type="auto"/>
            <w:tcBorders>
              <w:top w:val="nil"/>
              <w:left w:val="nil"/>
              <w:bottom w:val="single" w:sz="4" w:space="0" w:color="auto"/>
              <w:right w:val="single" w:sz="4" w:space="0" w:color="auto"/>
            </w:tcBorders>
            <w:shd w:val="clear" w:color="auto" w:fill="auto"/>
            <w:noWrap/>
            <w:vAlign w:val="center"/>
            <w:hideMark/>
          </w:tcPr>
          <w:p w14:paraId="0CB63E27"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198</w:t>
            </w:r>
          </w:p>
        </w:tc>
        <w:tc>
          <w:tcPr>
            <w:tcW w:w="0" w:type="auto"/>
            <w:tcBorders>
              <w:top w:val="nil"/>
              <w:left w:val="nil"/>
              <w:bottom w:val="single" w:sz="4" w:space="0" w:color="auto"/>
              <w:right w:val="single" w:sz="4" w:space="0" w:color="auto"/>
            </w:tcBorders>
            <w:shd w:val="clear" w:color="auto" w:fill="auto"/>
            <w:noWrap/>
            <w:vAlign w:val="center"/>
            <w:hideMark/>
          </w:tcPr>
          <w:p w14:paraId="467B13B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52</w:t>
            </w:r>
          </w:p>
        </w:tc>
      </w:tr>
      <w:tr w:rsidR="00932E5C" w:rsidRPr="00105FFC" w14:paraId="322DA203"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4ACD5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7FB54192"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14:paraId="67A187AE"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120</w:t>
            </w:r>
          </w:p>
        </w:tc>
        <w:tc>
          <w:tcPr>
            <w:tcW w:w="0" w:type="auto"/>
            <w:tcBorders>
              <w:top w:val="nil"/>
              <w:left w:val="nil"/>
              <w:bottom w:val="single" w:sz="4" w:space="0" w:color="auto"/>
              <w:right w:val="single" w:sz="4" w:space="0" w:color="auto"/>
            </w:tcBorders>
            <w:shd w:val="clear" w:color="auto" w:fill="auto"/>
            <w:noWrap/>
            <w:vAlign w:val="center"/>
            <w:hideMark/>
          </w:tcPr>
          <w:p w14:paraId="3ADF11FA"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139</w:t>
            </w:r>
          </w:p>
        </w:tc>
        <w:tc>
          <w:tcPr>
            <w:tcW w:w="0" w:type="auto"/>
            <w:tcBorders>
              <w:top w:val="nil"/>
              <w:left w:val="nil"/>
              <w:bottom w:val="single" w:sz="4" w:space="0" w:color="auto"/>
              <w:right w:val="single" w:sz="4" w:space="0" w:color="auto"/>
            </w:tcBorders>
            <w:shd w:val="clear" w:color="auto" w:fill="auto"/>
            <w:noWrap/>
            <w:vAlign w:val="center"/>
            <w:hideMark/>
          </w:tcPr>
          <w:p w14:paraId="1AC16FA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83</w:t>
            </w:r>
          </w:p>
        </w:tc>
        <w:tc>
          <w:tcPr>
            <w:tcW w:w="0" w:type="auto"/>
            <w:tcBorders>
              <w:top w:val="nil"/>
              <w:left w:val="nil"/>
              <w:bottom w:val="single" w:sz="4" w:space="0" w:color="auto"/>
              <w:right w:val="single" w:sz="4" w:space="0" w:color="auto"/>
            </w:tcBorders>
            <w:shd w:val="clear" w:color="auto" w:fill="auto"/>
            <w:noWrap/>
            <w:vAlign w:val="center"/>
            <w:hideMark/>
          </w:tcPr>
          <w:p w14:paraId="09E50641"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12</w:t>
            </w:r>
          </w:p>
        </w:tc>
      </w:tr>
      <w:tr w:rsidR="00932E5C" w:rsidRPr="00105FFC" w14:paraId="35A9AB4B" w14:textId="77777777" w:rsidTr="007746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AD21FC"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5BFD92AB"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426</w:t>
            </w:r>
          </w:p>
        </w:tc>
        <w:tc>
          <w:tcPr>
            <w:tcW w:w="0" w:type="auto"/>
            <w:tcBorders>
              <w:top w:val="nil"/>
              <w:left w:val="nil"/>
              <w:bottom w:val="single" w:sz="4" w:space="0" w:color="auto"/>
              <w:right w:val="single" w:sz="4" w:space="0" w:color="auto"/>
            </w:tcBorders>
            <w:shd w:val="clear" w:color="auto" w:fill="auto"/>
            <w:noWrap/>
            <w:vAlign w:val="center"/>
            <w:hideMark/>
          </w:tcPr>
          <w:p w14:paraId="29F086F5"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1,147</w:t>
            </w:r>
          </w:p>
        </w:tc>
        <w:tc>
          <w:tcPr>
            <w:tcW w:w="0" w:type="auto"/>
            <w:tcBorders>
              <w:top w:val="nil"/>
              <w:left w:val="nil"/>
              <w:bottom w:val="single" w:sz="4" w:space="0" w:color="auto"/>
              <w:right w:val="single" w:sz="4" w:space="0" w:color="auto"/>
            </w:tcBorders>
            <w:shd w:val="clear" w:color="auto" w:fill="auto"/>
            <w:noWrap/>
            <w:vAlign w:val="center"/>
            <w:hideMark/>
          </w:tcPr>
          <w:p w14:paraId="0B7640DF"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1,026</w:t>
            </w:r>
          </w:p>
        </w:tc>
        <w:tc>
          <w:tcPr>
            <w:tcW w:w="0" w:type="auto"/>
            <w:tcBorders>
              <w:top w:val="nil"/>
              <w:left w:val="nil"/>
              <w:bottom w:val="single" w:sz="4" w:space="0" w:color="auto"/>
              <w:right w:val="single" w:sz="4" w:space="0" w:color="auto"/>
            </w:tcBorders>
            <w:shd w:val="clear" w:color="auto" w:fill="auto"/>
            <w:noWrap/>
            <w:vAlign w:val="center"/>
            <w:hideMark/>
          </w:tcPr>
          <w:p w14:paraId="52A352A6"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5EA68784" w14:textId="77777777" w:rsidR="00932E5C" w:rsidRPr="00105FFC" w:rsidRDefault="00932E5C" w:rsidP="00774675">
            <w:pPr>
              <w:jc w:val="center"/>
              <w:rPr>
                <w:rFonts w:asciiTheme="minorHAnsi" w:hAnsiTheme="minorHAnsi"/>
                <w:color w:val="000000"/>
                <w:sz w:val="20"/>
                <w:szCs w:val="20"/>
              </w:rPr>
            </w:pPr>
            <w:r w:rsidRPr="00105FFC">
              <w:rPr>
                <w:rFonts w:asciiTheme="minorHAnsi" w:hAnsiTheme="minorHAnsi"/>
                <w:color w:val="000000"/>
                <w:sz w:val="20"/>
                <w:szCs w:val="20"/>
              </w:rPr>
              <w:t>247</w:t>
            </w:r>
          </w:p>
        </w:tc>
      </w:tr>
    </w:tbl>
    <w:p w14:paraId="491D3C01" w14:textId="77777777" w:rsidR="00932E5C" w:rsidRPr="00105FFC" w:rsidRDefault="00932E5C" w:rsidP="00932E5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0193D174" w14:textId="77777777" w:rsidR="00932E5C" w:rsidRPr="00105FFC" w:rsidRDefault="00932E5C" w:rsidP="00932E5C">
      <w:pPr>
        <w:spacing w:line="276" w:lineRule="auto"/>
        <w:rPr>
          <w:rFonts w:asciiTheme="minorHAnsi" w:eastAsiaTheme="minorHAnsi" w:hAnsiTheme="minorHAnsi" w:cs="Tahoma"/>
          <w:sz w:val="16"/>
          <w:szCs w:val="16"/>
        </w:rPr>
      </w:pPr>
      <w:r w:rsidRPr="00105FFC">
        <w:rPr>
          <w:rFonts w:asciiTheme="minorHAnsi" w:eastAsiaTheme="minorHAnsi" w:hAnsiTheme="minorHAnsi" w:cs="Tahoma"/>
          <w:sz w:val="16"/>
          <w:szCs w:val="16"/>
        </w:rPr>
        <w:br w:type="page"/>
      </w:r>
    </w:p>
    <w:p w14:paraId="1ED6EF83" w14:textId="77777777" w:rsidR="00073BFC" w:rsidRPr="00105FFC" w:rsidRDefault="00073BFC" w:rsidP="00802F4A">
      <w:pPr>
        <w:pStyle w:val="Heading4"/>
        <w:spacing w:before="0" w:after="120" w:line="276" w:lineRule="auto"/>
      </w:pPr>
      <w:r w:rsidRPr="00105FFC">
        <w:t>Home Health Providers</w:t>
      </w:r>
    </w:p>
    <w:p w14:paraId="36AF3A0D" w14:textId="77777777" w:rsidR="00073BFC" w:rsidRPr="00105FFC" w:rsidRDefault="00073BFC" w:rsidP="002960F7">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Statewide during SFY 2013-14, there were 331 Home Health providers that provided services to Medi-Cal beneficiaries, compared to 330 during SFY 2014-15. The geographic region with the largest number of participating Home Health providers was Los Angeles, with 108 providers during SFY 2013-14 and 109 during SFY 2014-15. The geographic regions with the next-largest number of participating Home Health providers were Southern California, with 76 participating providers during SFY 2013-14 and 78 during SFY 2014-15; and the Bay Area, with 45 participating providers during both SFY 2013-14 and SFY 2014-15 (Tables </w:t>
      </w:r>
      <w:r w:rsidR="00581549" w:rsidRPr="00105FFC">
        <w:rPr>
          <w:rFonts w:asciiTheme="minorHAnsi" w:eastAsiaTheme="minorHAnsi" w:hAnsiTheme="minorHAnsi" w:cstheme="minorBidi"/>
        </w:rPr>
        <w:t>36-37</w:t>
      </w:r>
      <w:r w:rsidRPr="00105FFC">
        <w:rPr>
          <w:rFonts w:asciiTheme="minorHAnsi" w:eastAsiaTheme="minorHAnsi" w:hAnsiTheme="minorHAnsi" w:cstheme="minorBidi"/>
        </w:rPr>
        <w:t xml:space="preserve">; Figure </w:t>
      </w:r>
      <w:r w:rsidR="00E50DA6" w:rsidRPr="00105FFC">
        <w:rPr>
          <w:rFonts w:asciiTheme="minorHAnsi" w:eastAsiaTheme="minorHAnsi" w:hAnsiTheme="minorHAnsi" w:cstheme="minorBidi"/>
        </w:rPr>
        <w:t>3</w:t>
      </w:r>
      <w:r w:rsidR="000468AD" w:rsidRPr="00105FFC">
        <w:rPr>
          <w:rFonts w:asciiTheme="minorHAnsi" w:eastAsiaTheme="minorHAnsi" w:hAnsiTheme="minorHAnsi" w:cstheme="minorBidi"/>
        </w:rPr>
        <w:t>6</w:t>
      </w:r>
      <w:r w:rsidRPr="00105FFC">
        <w:rPr>
          <w:rFonts w:asciiTheme="minorHAnsi" w:eastAsiaTheme="minorHAnsi" w:hAnsiTheme="minorHAnsi" w:cstheme="minorBidi"/>
        </w:rPr>
        <w:t>).</w:t>
      </w:r>
    </w:p>
    <w:p w14:paraId="7B52D24F" w14:textId="77777777" w:rsidR="002960F7" w:rsidRPr="00105FFC" w:rsidRDefault="002960F7" w:rsidP="002960F7">
      <w:pPr>
        <w:spacing w:line="276" w:lineRule="auto"/>
        <w:rPr>
          <w:rFonts w:asciiTheme="minorHAnsi" w:eastAsiaTheme="minorHAnsi" w:hAnsiTheme="minorHAnsi" w:cstheme="minorBidi"/>
        </w:rPr>
      </w:pPr>
    </w:p>
    <w:p w14:paraId="335B1118" w14:textId="77777777" w:rsidR="00073BFC" w:rsidRPr="00105FFC" w:rsidRDefault="001641BD" w:rsidP="00073BFC">
      <w:pPr>
        <w:rPr>
          <w:rFonts w:asciiTheme="minorHAnsi" w:eastAsiaTheme="minorHAnsi" w:hAnsiTheme="minorHAnsi" w:cstheme="minorBidi"/>
          <w:bCs/>
          <w:sz w:val="20"/>
          <w:szCs w:val="20"/>
        </w:rPr>
      </w:pPr>
      <w:bookmarkStart w:id="391" w:name="_Toc458783111"/>
      <w:bookmarkStart w:id="392" w:name="_Toc459285181"/>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36</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Total Medi-Cal Participating Home Health Providers in SFY 2013-14, by Geographic Region</w:t>
      </w:r>
      <w:bookmarkEnd w:id="391"/>
      <w:bookmarkEnd w:id="392"/>
    </w:p>
    <w:tbl>
      <w:tblPr>
        <w:tblW w:w="0" w:type="auto"/>
        <w:tblInd w:w="93" w:type="dxa"/>
        <w:tblLook w:val="04A0" w:firstRow="1" w:lastRow="0" w:firstColumn="1" w:lastColumn="0" w:noHBand="0" w:noVBand="1"/>
      </w:tblPr>
      <w:tblGrid>
        <w:gridCol w:w="2005"/>
        <w:gridCol w:w="1473"/>
      </w:tblGrid>
      <w:tr w:rsidR="00073BFC" w:rsidRPr="00105FFC" w14:paraId="1AFBA651" w14:textId="77777777" w:rsidTr="000D6C4B">
        <w:trPr>
          <w:trHeight w:val="255"/>
        </w:trPr>
        <w:tc>
          <w:tcPr>
            <w:tcW w:w="0" w:type="auto"/>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47AB8AE1" w14:textId="77777777" w:rsidR="00073BFC" w:rsidRPr="00105FFC" w:rsidRDefault="00073BFC" w:rsidP="00073BFC">
            <w:pPr>
              <w:jc w:val="center"/>
              <w:rPr>
                <w:rFonts w:asciiTheme="minorHAnsi" w:hAnsiTheme="minorHAnsi"/>
                <w:b/>
                <w:bCs/>
                <w:color w:val="FFFFFF"/>
                <w:sz w:val="20"/>
                <w:szCs w:val="20"/>
              </w:rPr>
            </w:pPr>
            <w:r w:rsidRPr="00105FFC">
              <w:rPr>
                <w:rFonts w:asciiTheme="minorHAnsi" w:hAnsiTheme="minorHAnsi"/>
                <w:b/>
                <w:bCs/>
                <w:color w:val="FFFFFF"/>
                <w:sz w:val="20"/>
                <w:szCs w:val="20"/>
              </w:rPr>
              <w:t>Home Health Providers</w:t>
            </w:r>
          </w:p>
        </w:tc>
      </w:tr>
      <w:tr w:rsidR="00073BFC" w:rsidRPr="00105FFC" w14:paraId="2C9BE99A"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3283D54"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79C5996D"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Providers</w:t>
            </w:r>
          </w:p>
        </w:tc>
      </w:tr>
      <w:tr w:rsidR="00073BFC" w:rsidRPr="00105FFC" w14:paraId="61216066"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745D8E49"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44288273"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331</w:t>
            </w:r>
          </w:p>
        </w:tc>
      </w:tr>
      <w:tr w:rsidR="00073BFC" w:rsidRPr="00105FFC" w14:paraId="2C07671B"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C151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2B425D7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45</w:t>
            </w:r>
          </w:p>
        </w:tc>
      </w:tr>
      <w:tr w:rsidR="00073BFC" w:rsidRPr="00105FFC" w14:paraId="30025146"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B535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54893D5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w:t>
            </w:r>
          </w:p>
        </w:tc>
      </w:tr>
      <w:tr w:rsidR="00073BFC" w:rsidRPr="00105FFC" w14:paraId="1344EF52"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F4C62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4062398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35</w:t>
            </w:r>
          </w:p>
        </w:tc>
      </w:tr>
      <w:tr w:rsidR="00073BFC" w:rsidRPr="00105FFC" w14:paraId="24FADD8C"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9DCE0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7EF5564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r>
      <w:tr w:rsidR="00073BFC" w:rsidRPr="00105FFC" w14:paraId="36EA46A8"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1206E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19A0550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108</w:t>
            </w:r>
          </w:p>
        </w:tc>
      </w:tr>
      <w:tr w:rsidR="00073BFC" w:rsidRPr="00105FFC" w14:paraId="202B742A"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A56A7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68F1D2A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w:t>
            </w:r>
          </w:p>
        </w:tc>
      </w:tr>
      <w:tr w:rsidR="00073BFC" w:rsidRPr="00105FFC" w14:paraId="7B689775"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142FC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2779817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29</w:t>
            </w:r>
          </w:p>
        </w:tc>
      </w:tr>
      <w:tr w:rsidR="00073BFC" w:rsidRPr="00105FFC" w14:paraId="2CD16697"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74C8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3F90B08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w:t>
            </w:r>
          </w:p>
        </w:tc>
      </w:tr>
      <w:tr w:rsidR="00073BFC" w:rsidRPr="00105FFC" w14:paraId="6D116C7E"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97B2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1BD59DB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76</w:t>
            </w:r>
          </w:p>
        </w:tc>
      </w:tr>
    </w:tbl>
    <w:p w14:paraId="507C223F" w14:textId="77777777" w:rsidR="00073BFC" w:rsidRPr="00105FFC" w:rsidRDefault="00073BFC" w:rsidP="002960F7">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453AAA1F" w14:textId="77777777" w:rsidR="002960F7" w:rsidRPr="00105FFC" w:rsidRDefault="002960F7" w:rsidP="002960F7">
      <w:pPr>
        <w:spacing w:line="276" w:lineRule="auto"/>
        <w:rPr>
          <w:rFonts w:asciiTheme="minorHAnsi" w:eastAsiaTheme="minorHAnsi" w:hAnsiTheme="minorHAnsi" w:cs="Arial"/>
          <w:sz w:val="22"/>
        </w:rPr>
      </w:pPr>
    </w:p>
    <w:p w14:paraId="769D3BED" w14:textId="77777777" w:rsidR="00073BFC" w:rsidRPr="00105FFC" w:rsidRDefault="001641BD" w:rsidP="00073BFC">
      <w:pPr>
        <w:rPr>
          <w:rFonts w:asciiTheme="minorHAnsi" w:eastAsiaTheme="minorHAnsi" w:hAnsiTheme="minorHAnsi" w:cstheme="minorBidi"/>
          <w:bCs/>
          <w:sz w:val="20"/>
          <w:szCs w:val="20"/>
        </w:rPr>
      </w:pPr>
      <w:bookmarkStart w:id="393" w:name="_Toc458783112"/>
      <w:bookmarkStart w:id="394" w:name="_Toc459285182"/>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37</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Total Medi-Cal Participating Home Health Providers in SFY 2014-15, by Geographic Region</w:t>
      </w:r>
      <w:bookmarkEnd w:id="393"/>
      <w:bookmarkEnd w:id="394"/>
    </w:p>
    <w:tbl>
      <w:tblPr>
        <w:tblW w:w="0" w:type="auto"/>
        <w:tblInd w:w="93" w:type="dxa"/>
        <w:tblLook w:val="04A0" w:firstRow="1" w:lastRow="0" w:firstColumn="1" w:lastColumn="0" w:noHBand="0" w:noVBand="1"/>
      </w:tblPr>
      <w:tblGrid>
        <w:gridCol w:w="2005"/>
        <w:gridCol w:w="1473"/>
      </w:tblGrid>
      <w:tr w:rsidR="00073BFC" w:rsidRPr="00105FFC" w14:paraId="6BC851E8" w14:textId="77777777" w:rsidTr="000D6C4B">
        <w:trPr>
          <w:trHeight w:val="255"/>
        </w:trPr>
        <w:tc>
          <w:tcPr>
            <w:tcW w:w="0" w:type="auto"/>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0910FD0B" w14:textId="77777777" w:rsidR="00073BFC" w:rsidRPr="00105FFC" w:rsidRDefault="00073BFC" w:rsidP="00073BFC">
            <w:pPr>
              <w:jc w:val="center"/>
              <w:rPr>
                <w:rFonts w:asciiTheme="minorHAnsi" w:hAnsiTheme="minorHAnsi"/>
                <w:b/>
                <w:bCs/>
                <w:color w:val="FFFFFF"/>
                <w:sz w:val="20"/>
                <w:szCs w:val="20"/>
              </w:rPr>
            </w:pPr>
            <w:r w:rsidRPr="00105FFC">
              <w:rPr>
                <w:rFonts w:asciiTheme="minorHAnsi" w:hAnsiTheme="minorHAnsi"/>
                <w:b/>
                <w:bCs/>
                <w:color w:val="FFFFFF"/>
                <w:sz w:val="20"/>
                <w:szCs w:val="20"/>
              </w:rPr>
              <w:t>Home Health Providers</w:t>
            </w:r>
          </w:p>
        </w:tc>
      </w:tr>
      <w:tr w:rsidR="00073BFC" w:rsidRPr="00105FFC" w14:paraId="022899D0"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EFB12FC"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0114485C"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Total Providers</w:t>
            </w:r>
          </w:p>
        </w:tc>
      </w:tr>
      <w:tr w:rsidR="00073BFC" w:rsidRPr="00105FFC" w14:paraId="6CF8EB43" w14:textId="77777777" w:rsidTr="000D6C4B">
        <w:trPr>
          <w:trHeight w:val="255"/>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6AA1705E"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4E60A724"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330</w:t>
            </w:r>
          </w:p>
        </w:tc>
      </w:tr>
      <w:tr w:rsidR="00073BFC" w:rsidRPr="00105FFC" w14:paraId="79D808D6"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66BB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083F276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45</w:t>
            </w:r>
          </w:p>
        </w:tc>
      </w:tr>
      <w:tr w:rsidR="00073BFC" w:rsidRPr="00105FFC" w14:paraId="00C032ED"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7F93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4B7FCBF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16</w:t>
            </w:r>
          </w:p>
        </w:tc>
      </w:tr>
      <w:tr w:rsidR="00073BFC" w:rsidRPr="00105FFC" w14:paraId="0E46A805"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6E550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6BC20BA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35</w:t>
            </w:r>
          </w:p>
        </w:tc>
      </w:tr>
      <w:tr w:rsidR="00073BFC" w:rsidRPr="00105FFC" w14:paraId="6C4AF1A1"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A875E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24BFC73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r>
      <w:tr w:rsidR="00073BFC" w:rsidRPr="00105FFC" w14:paraId="6A185C2C"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24AD7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241F915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109</w:t>
            </w:r>
          </w:p>
        </w:tc>
      </w:tr>
      <w:tr w:rsidR="00073BFC" w:rsidRPr="00105FFC" w14:paraId="3EF9F526"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4F77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44E5CD1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w:t>
            </w:r>
          </w:p>
        </w:tc>
      </w:tr>
      <w:tr w:rsidR="00073BFC" w:rsidRPr="00105FFC" w14:paraId="521BA759"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3E8E1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78DD052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27</w:t>
            </w:r>
          </w:p>
        </w:tc>
      </w:tr>
      <w:tr w:rsidR="00073BFC" w:rsidRPr="00105FFC" w14:paraId="414A4CFB"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EFD6A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510B806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12</w:t>
            </w:r>
          </w:p>
        </w:tc>
      </w:tr>
      <w:tr w:rsidR="00073BFC" w:rsidRPr="00105FFC" w14:paraId="614E7E5A" w14:textId="77777777" w:rsidTr="000D6C4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78174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4C22777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78</w:t>
            </w:r>
          </w:p>
        </w:tc>
      </w:tr>
    </w:tbl>
    <w:p w14:paraId="1B522647"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399334A1"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sz w:val="16"/>
          <w:szCs w:val="16"/>
        </w:rPr>
        <w:br w:type="page"/>
      </w:r>
    </w:p>
    <w:p w14:paraId="5F56DF3A" w14:textId="77777777" w:rsidR="00073BFC" w:rsidRPr="00105FFC" w:rsidRDefault="001641BD" w:rsidP="00073BFC">
      <w:pPr>
        <w:rPr>
          <w:rFonts w:asciiTheme="minorHAnsi" w:eastAsiaTheme="minorHAnsi" w:hAnsiTheme="minorHAnsi" w:cstheme="minorBidi"/>
          <w:bCs/>
          <w:sz w:val="20"/>
          <w:szCs w:val="20"/>
        </w:rPr>
      </w:pPr>
      <w:bookmarkStart w:id="395" w:name="_Toc458782974"/>
      <w:bookmarkStart w:id="396" w:name="_Toc459285085"/>
      <w:bookmarkStart w:id="397" w:name="_Toc459285276"/>
      <w:bookmarkStart w:id="398" w:name="_Toc459286717"/>
      <w:r w:rsidRPr="00105FFC">
        <w:rPr>
          <w:rFonts w:asciiTheme="minorHAnsi" w:eastAsiaTheme="minorHAnsi" w:hAnsiTheme="minorHAnsi" w:cstheme="minorBidi"/>
          <w:b/>
          <w:bCs/>
          <w:sz w:val="20"/>
          <w:szCs w:val="20"/>
        </w:rPr>
        <w:t xml:space="preserve">Figure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Figure \* ARABIC </w:instrText>
      </w:r>
      <w:r w:rsidR="00073BFC" w:rsidRPr="00105FFC">
        <w:rPr>
          <w:rFonts w:asciiTheme="minorHAnsi" w:eastAsiaTheme="minorHAnsi" w:hAnsiTheme="minorHAnsi" w:cstheme="minorBidi"/>
          <w:b/>
          <w:bCs/>
          <w:sz w:val="20"/>
          <w:szCs w:val="20"/>
        </w:rPr>
        <w:fldChar w:fldCharType="separate"/>
      </w:r>
      <w:r w:rsidR="000E1B8E">
        <w:rPr>
          <w:rFonts w:asciiTheme="minorHAnsi" w:eastAsiaTheme="minorHAnsi" w:hAnsiTheme="minorHAnsi" w:cstheme="minorBidi"/>
          <w:b/>
          <w:bCs/>
          <w:noProof/>
          <w:sz w:val="20"/>
          <w:szCs w:val="20"/>
        </w:rPr>
        <w:t>36</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
          <w:bCs/>
          <w:sz w:val="18"/>
          <w:szCs w:val="18"/>
        </w:rPr>
        <w:t xml:space="preserve"> </w:t>
      </w:r>
      <w:r w:rsidR="00073BFC" w:rsidRPr="00105FFC">
        <w:rPr>
          <w:rFonts w:asciiTheme="minorHAnsi" w:eastAsiaTheme="minorHAnsi" w:hAnsiTheme="minorHAnsi" w:cstheme="minorBidi"/>
          <w:bCs/>
          <w:sz w:val="20"/>
          <w:szCs w:val="20"/>
        </w:rPr>
        <w:t>Total Medi-Cal Participating Home Health Providers from SFY 2013-14 to 2014-15, by Geographic Region</w:t>
      </w:r>
      <w:bookmarkEnd w:id="395"/>
      <w:bookmarkEnd w:id="396"/>
      <w:bookmarkEnd w:id="397"/>
      <w:bookmarkEnd w:id="398"/>
    </w:p>
    <w:p w14:paraId="22BE8CA3" w14:textId="77777777" w:rsidR="00073BFC" w:rsidRPr="00105FFC" w:rsidRDefault="00073BFC" w:rsidP="00073BFC">
      <w:pPr>
        <w:spacing w:line="276" w:lineRule="auto"/>
        <w:rPr>
          <w:rFonts w:asciiTheme="minorHAnsi" w:eastAsiaTheme="minorHAnsi" w:hAnsiTheme="minorHAnsi" w:cstheme="minorBidi"/>
          <w:sz w:val="22"/>
          <w:szCs w:val="22"/>
        </w:rPr>
      </w:pPr>
      <w:r w:rsidRPr="00105FFC">
        <w:rPr>
          <w:rFonts w:asciiTheme="minorHAnsi" w:eastAsiaTheme="minorHAnsi" w:hAnsiTheme="minorHAnsi" w:cstheme="minorBidi"/>
          <w:noProof/>
          <w:sz w:val="22"/>
          <w:szCs w:val="22"/>
        </w:rPr>
        <w:drawing>
          <wp:inline distT="0" distB="0" distL="0" distR="0" wp14:anchorId="18E1A010" wp14:editId="22C64B93">
            <wp:extent cx="5943600" cy="2743200"/>
            <wp:effectExtent l="0" t="0" r="0" b="0"/>
            <wp:docPr id="49" name="Chart 49" descr="STATEWIDE: 2013-14 331; 2014-15 330 &#10;&#10;Bay Area: 2013-14 45; 2014-15 45 &#10;&#10;Central Coast: 2013-14 14; 2014-15 16 &#10;&#10;Central Valley: 2013-14 35; 2014-15 35 &#10;&#10;Far North: 2013-14   4; 2014-15   4 &#10;&#10;Los Angeles: 2013-14 108; 2014-15 109 &#10;&#10;North Coast: 2013-14   6; 2014-15   5 &#10;&#10;Sacramento Valley: 2013-14 29; 2014-15 27 &#10;&#10;Sierra Range/Foothills: 2013-14 14; 2014-15 12 &#10;&#10;Southern California: 2013-14 76; 2014-15 78&#10;" title="Total Medi-Cal Participating Home Health Providers from SFY 2013-14 to 2014-15, by Geographic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3261785"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6760F5AC" w14:textId="77777777" w:rsidR="00073BFC" w:rsidRPr="00105FFC" w:rsidRDefault="00073BFC" w:rsidP="00073BFC">
      <w:pPr>
        <w:keepNext/>
        <w:keepLines/>
        <w:spacing w:line="276" w:lineRule="auto"/>
        <w:outlineLvl w:val="1"/>
        <w:rPr>
          <w:rFonts w:asciiTheme="minorHAnsi" w:eastAsiaTheme="majorEastAsia" w:hAnsiTheme="minorHAnsi" w:cstheme="majorBidi"/>
          <w:b/>
          <w:bCs/>
          <w:color w:val="4F81BD" w:themeColor="accent1"/>
          <w:sz w:val="26"/>
          <w:szCs w:val="26"/>
        </w:rPr>
      </w:pPr>
    </w:p>
    <w:p w14:paraId="0DBDB5B6" w14:textId="77777777" w:rsidR="00073BFC" w:rsidRPr="00105FFC" w:rsidRDefault="00073BFC" w:rsidP="002960F7">
      <w:pPr>
        <w:spacing w:line="276" w:lineRule="auto"/>
        <w:rPr>
          <w:rFonts w:asciiTheme="minorHAnsi" w:eastAsiaTheme="minorHAnsi" w:hAnsiTheme="minorHAnsi" w:cstheme="minorBidi"/>
        </w:rPr>
      </w:pPr>
      <w:r w:rsidRPr="00105FFC">
        <w:rPr>
          <w:rFonts w:asciiTheme="minorHAnsi" w:eastAsiaTheme="minorHAnsi" w:hAnsiTheme="minorHAnsi" w:cstheme="minorBidi"/>
        </w:rPr>
        <w:t>Statewide</w:t>
      </w:r>
      <w:r w:rsidR="00932E5C" w:rsidRPr="00105FFC">
        <w:rPr>
          <w:rFonts w:asciiTheme="minorHAnsi" w:eastAsiaTheme="minorHAnsi" w:hAnsiTheme="minorHAnsi" w:cstheme="minorBidi"/>
        </w:rPr>
        <w:t>,</w:t>
      </w:r>
      <w:r w:rsidRPr="00105FFC">
        <w:rPr>
          <w:rFonts w:asciiTheme="minorHAnsi" w:eastAsiaTheme="minorHAnsi" w:hAnsiTheme="minorHAnsi" w:cstheme="minorBidi"/>
        </w:rPr>
        <w:t xml:space="preserve"> during both SFY 2013-14 and SFY 2014-15, Home Health providers that provided services to Medi-Cal beneficiaries were heavily concentrated in the Other (330 during both SFY 2013-14 and SFY 2014-15) service setting. The geographic regions with the largest number of participating Home Health providers in the Other service setting, during both SFY 2013-14 and SFY 2014-15, were the Bay Area, Los Angeles, and Southern California (Tables </w:t>
      </w:r>
      <w:r w:rsidR="00E50DA6" w:rsidRPr="00105FFC">
        <w:rPr>
          <w:rFonts w:asciiTheme="minorHAnsi" w:eastAsiaTheme="minorHAnsi" w:hAnsiTheme="minorHAnsi" w:cstheme="minorBidi"/>
        </w:rPr>
        <w:t>3</w:t>
      </w:r>
      <w:r w:rsidR="00581549" w:rsidRPr="00105FFC">
        <w:rPr>
          <w:rFonts w:asciiTheme="minorHAnsi" w:eastAsiaTheme="minorHAnsi" w:hAnsiTheme="minorHAnsi" w:cstheme="minorBidi"/>
        </w:rPr>
        <w:t>8</w:t>
      </w:r>
      <w:r w:rsidR="00E50DA6" w:rsidRPr="00105FFC">
        <w:rPr>
          <w:rFonts w:asciiTheme="minorHAnsi" w:eastAsiaTheme="minorHAnsi" w:hAnsiTheme="minorHAnsi" w:cstheme="minorBidi"/>
        </w:rPr>
        <w:t>-3</w:t>
      </w:r>
      <w:r w:rsidR="00581549" w:rsidRPr="00105FFC">
        <w:rPr>
          <w:rFonts w:asciiTheme="minorHAnsi" w:eastAsiaTheme="minorHAnsi" w:hAnsiTheme="minorHAnsi" w:cstheme="minorBidi"/>
        </w:rPr>
        <w:t>9</w:t>
      </w:r>
      <w:r w:rsidRPr="00105FFC">
        <w:rPr>
          <w:rFonts w:asciiTheme="minorHAnsi" w:eastAsiaTheme="minorHAnsi" w:hAnsiTheme="minorHAnsi" w:cstheme="minorBidi"/>
        </w:rPr>
        <w:t>).</w:t>
      </w:r>
    </w:p>
    <w:p w14:paraId="41F0B2A7" w14:textId="77777777" w:rsidR="002960F7" w:rsidRPr="00105FFC" w:rsidRDefault="002960F7" w:rsidP="002960F7">
      <w:pPr>
        <w:spacing w:line="276" w:lineRule="auto"/>
        <w:rPr>
          <w:rFonts w:asciiTheme="minorHAnsi" w:eastAsiaTheme="minorHAnsi" w:hAnsiTheme="minorHAnsi" w:cstheme="minorBidi"/>
        </w:rPr>
      </w:pPr>
    </w:p>
    <w:p w14:paraId="4A027899" w14:textId="77777777" w:rsidR="00073BFC" w:rsidRPr="00105FFC" w:rsidRDefault="001641BD" w:rsidP="00073BFC">
      <w:pPr>
        <w:rPr>
          <w:rFonts w:asciiTheme="minorHAnsi" w:eastAsiaTheme="minorHAnsi" w:hAnsiTheme="minorHAnsi" w:cstheme="minorBidi"/>
          <w:b/>
          <w:bCs/>
          <w:sz w:val="20"/>
          <w:szCs w:val="20"/>
        </w:rPr>
      </w:pPr>
      <w:bookmarkStart w:id="399" w:name="_Toc458783113"/>
      <w:bookmarkStart w:id="400" w:name="_Toc459285183"/>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38</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 xml:space="preserve">: </w:t>
      </w:r>
      <w:r w:rsidR="00073BFC" w:rsidRPr="00105FFC">
        <w:rPr>
          <w:rFonts w:asciiTheme="minorHAnsi" w:eastAsiaTheme="minorHAnsi" w:hAnsiTheme="minorHAnsi" w:cstheme="minorBidi"/>
          <w:bCs/>
          <w:sz w:val="20"/>
          <w:szCs w:val="20"/>
        </w:rPr>
        <w:t>Total Medi-Cal Participating Home Health Providers in SFY 2013-14, by Service Setting and Geographic Region</w:t>
      </w:r>
      <w:bookmarkEnd w:id="399"/>
      <w:bookmarkEnd w:id="400"/>
    </w:p>
    <w:tbl>
      <w:tblPr>
        <w:tblW w:w="0" w:type="auto"/>
        <w:tblInd w:w="93" w:type="dxa"/>
        <w:tblLook w:val="04A0" w:firstRow="1" w:lastRow="0" w:firstColumn="1" w:lastColumn="0" w:noHBand="0" w:noVBand="1"/>
      </w:tblPr>
      <w:tblGrid>
        <w:gridCol w:w="2005"/>
        <w:gridCol w:w="1711"/>
        <w:gridCol w:w="1863"/>
        <w:gridCol w:w="741"/>
        <w:gridCol w:w="700"/>
      </w:tblGrid>
      <w:tr w:rsidR="00854001" w:rsidRPr="00105FFC" w14:paraId="3F566B13" w14:textId="77777777" w:rsidTr="008677A6">
        <w:trPr>
          <w:trHeight w:val="300"/>
        </w:trPr>
        <w:tc>
          <w:tcPr>
            <w:tcW w:w="0" w:type="auto"/>
            <w:gridSpan w:val="5"/>
            <w:tcBorders>
              <w:top w:val="nil"/>
              <w:left w:val="single" w:sz="4" w:space="0" w:color="auto"/>
              <w:bottom w:val="single" w:sz="4" w:space="0" w:color="auto"/>
              <w:right w:val="nil"/>
            </w:tcBorders>
            <w:shd w:val="clear" w:color="000000" w:fill="000000"/>
            <w:noWrap/>
            <w:vAlign w:val="center"/>
            <w:hideMark/>
          </w:tcPr>
          <w:p w14:paraId="5BD96DCE" w14:textId="77777777" w:rsidR="00854001" w:rsidRPr="00105FFC" w:rsidRDefault="00854001" w:rsidP="008677A6">
            <w:pPr>
              <w:jc w:val="center"/>
              <w:rPr>
                <w:rFonts w:asciiTheme="minorHAnsi" w:hAnsiTheme="minorHAnsi"/>
                <w:b/>
                <w:bCs/>
                <w:color w:val="FFFFFF"/>
                <w:sz w:val="20"/>
                <w:szCs w:val="20"/>
              </w:rPr>
            </w:pPr>
            <w:r w:rsidRPr="00105FFC">
              <w:rPr>
                <w:rFonts w:asciiTheme="minorHAnsi" w:hAnsiTheme="minorHAnsi"/>
                <w:b/>
                <w:bCs/>
                <w:color w:val="FFFFFF"/>
                <w:sz w:val="20"/>
                <w:szCs w:val="20"/>
              </w:rPr>
              <w:t>Home Health Providers</w:t>
            </w:r>
          </w:p>
        </w:tc>
      </w:tr>
      <w:tr w:rsidR="00854001" w:rsidRPr="00105FFC" w14:paraId="44F90680" w14:textId="77777777" w:rsidTr="000D6C4B">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1569FAD"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23389FA5"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Inpatient</w:t>
            </w:r>
          </w:p>
        </w:tc>
        <w:tc>
          <w:tcPr>
            <w:tcW w:w="0" w:type="auto"/>
            <w:tcBorders>
              <w:top w:val="nil"/>
              <w:left w:val="nil"/>
              <w:bottom w:val="single" w:sz="4" w:space="0" w:color="auto"/>
              <w:right w:val="single" w:sz="4" w:space="0" w:color="auto"/>
            </w:tcBorders>
            <w:shd w:val="clear" w:color="000000" w:fill="F2F2F2"/>
            <w:noWrap/>
            <w:vAlign w:val="center"/>
            <w:hideMark/>
          </w:tcPr>
          <w:p w14:paraId="4E5130B7"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Outpatient</w:t>
            </w:r>
          </w:p>
        </w:tc>
        <w:tc>
          <w:tcPr>
            <w:tcW w:w="0" w:type="auto"/>
            <w:tcBorders>
              <w:top w:val="nil"/>
              <w:left w:val="nil"/>
              <w:bottom w:val="single" w:sz="4" w:space="0" w:color="auto"/>
              <w:right w:val="single" w:sz="4" w:space="0" w:color="auto"/>
            </w:tcBorders>
            <w:shd w:val="clear" w:color="000000" w:fill="F2F2F2"/>
            <w:noWrap/>
            <w:vAlign w:val="center"/>
            <w:hideMark/>
          </w:tcPr>
          <w:p w14:paraId="1BC6CA07"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Clinics</w:t>
            </w:r>
          </w:p>
        </w:tc>
        <w:tc>
          <w:tcPr>
            <w:tcW w:w="0" w:type="auto"/>
            <w:tcBorders>
              <w:top w:val="nil"/>
              <w:left w:val="nil"/>
              <w:bottom w:val="single" w:sz="4" w:space="0" w:color="auto"/>
              <w:right w:val="single" w:sz="4" w:space="0" w:color="auto"/>
            </w:tcBorders>
            <w:shd w:val="clear" w:color="000000" w:fill="F2F2F2"/>
            <w:noWrap/>
            <w:vAlign w:val="center"/>
            <w:hideMark/>
          </w:tcPr>
          <w:p w14:paraId="34413773"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Other</w:t>
            </w:r>
          </w:p>
        </w:tc>
      </w:tr>
      <w:tr w:rsidR="00854001" w:rsidRPr="00105FFC" w14:paraId="67CAB2D2" w14:textId="77777777" w:rsidTr="000D6C4B">
        <w:trPr>
          <w:trHeight w:val="300"/>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207B4088"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336767B1"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6</w:t>
            </w:r>
          </w:p>
        </w:tc>
        <w:tc>
          <w:tcPr>
            <w:tcW w:w="0" w:type="auto"/>
            <w:tcBorders>
              <w:top w:val="nil"/>
              <w:left w:val="nil"/>
              <w:bottom w:val="single" w:sz="4" w:space="0" w:color="auto"/>
              <w:right w:val="single" w:sz="4" w:space="0" w:color="auto"/>
            </w:tcBorders>
            <w:shd w:val="clear" w:color="000000" w:fill="EBF1DE"/>
            <w:noWrap/>
            <w:vAlign w:val="center"/>
            <w:hideMark/>
          </w:tcPr>
          <w:p w14:paraId="2101B351"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2</w:t>
            </w:r>
          </w:p>
        </w:tc>
        <w:tc>
          <w:tcPr>
            <w:tcW w:w="0" w:type="auto"/>
            <w:tcBorders>
              <w:top w:val="nil"/>
              <w:left w:val="nil"/>
              <w:bottom w:val="single" w:sz="4" w:space="0" w:color="auto"/>
              <w:right w:val="single" w:sz="4" w:space="0" w:color="auto"/>
            </w:tcBorders>
            <w:shd w:val="clear" w:color="000000" w:fill="EBF1DE"/>
            <w:noWrap/>
            <w:vAlign w:val="center"/>
            <w:hideMark/>
          </w:tcPr>
          <w:p w14:paraId="5948DEE0"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2</w:t>
            </w:r>
          </w:p>
        </w:tc>
        <w:tc>
          <w:tcPr>
            <w:tcW w:w="0" w:type="auto"/>
            <w:tcBorders>
              <w:top w:val="nil"/>
              <w:left w:val="nil"/>
              <w:bottom w:val="single" w:sz="4" w:space="0" w:color="auto"/>
              <w:right w:val="single" w:sz="4" w:space="0" w:color="auto"/>
            </w:tcBorders>
            <w:shd w:val="clear" w:color="000000" w:fill="EBF1DE"/>
            <w:noWrap/>
            <w:vAlign w:val="center"/>
            <w:hideMark/>
          </w:tcPr>
          <w:p w14:paraId="5B9B16E8"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330</w:t>
            </w:r>
          </w:p>
        </w:tc>
      </w:tr>
      <w:tr w:rsidR="00854001" w:rsidRPr="00105FFC" w14:paraId="6B1FE612"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3B1BBF"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04A45917"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FFA6DA5"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54D25D0"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BB0725A"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45</w:t>
            </w:r>
          </w:p>
        </w:tc>
      </w:tr>
      <w:tr w:rsidR="00854001" w:rsidRPr="00105FFC" w14:paraId="07C60A61"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A38A6"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05EC18BE"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D7DDBBB"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063834D"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4B1102B"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13</w:t>
            </w:r>
          </w:p>
        </w:tc>
      </w:tr>
      <w:tr w:rsidR="00854001" w:rsidRPr="00105FFC" w14:paraId="1251536E"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88ED06"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46F9EB73"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CCA86AC"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09D63E8"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10E72A8"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35</w:t>
            </w:r>
          </w:p>
        </w:tc>
      </w:tr>
      <w:tr w:rsidR="00854001" w:rsidRPr="00105FFC" w14:paraId="2E27375C"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FA4B02"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211C7C15"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CD10672"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9F134EE"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5886F6C"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r>
      <w:tr w:rsidR="00854001" w:rsidRPr="00105FFC" w14:paraId="0CA48A4B"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8395F2"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201C305E"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74785C9D"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885E467"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3981683"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108</w:t>
            </w:r>
          </w:p>
        </w:tc>
      </w:tr>
      <w:tr w:rsidR="00854001" w:rsidRPr="00105FFC" w14:paraId="75EF26BD"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5A0589"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5B932BA4"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7FE085F"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793FD87"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371F5C9"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6</w:t>
            </w:r>
          </w:p>
        </w:tc>
      </w:tr>
      <w:tr w:rsidR="00854001" w:rsidRPr="00105FFC" w14:paraId="12BF78A3"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AE1146"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1AD9AAEF"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B7F5A15"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FAFA780"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0B9CB78"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29</w:t>
            </w:r>
          </w:p>
        </w:tc>
      </w:tr>
      <w:tr w:rsidR="00854001" w:rsidRPr="00105FFC" w14:paraId="5BBB3DC8"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83C7FA"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189B9598"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3C69E8B"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5BD086D" w14:textId="77777777" w:rsidR="00854001" w:rsidRPr="00105FFC" w:rsidRDefault="00854001" w:rsidP="00073BFC">
            <w:pPr>
              <w:jc w:val="center"/>
              <w:rPr>
                <w:rFonts w:asciiTheme="minorHAnsi" w:hAnsiTheme="minorHAns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0FF8ED7B"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14</w:t>
            </w:r>
          </w:p>
        </w:tc>
      </w:tr>
      <w:tr w:rsidR="00854001" w:rsidRPr="00105FFC" w14:paraId="7D5064A7"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3E010A"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1ABABF3E"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9476280"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29A8C17"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DFCFBB0"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76</w:t>
            </w:r>
          </w:p>
        </w:tc>
      </w:tr>
    </w:tbl>
    <w:p w14:paraId="10325315" w14:textId="77777777" w:rsidR="00073BFC" w:rsidRPr="00105FFC" w:rsidRDefault="00073BFC" w:rsidP="00073BFC">
      <w:pPr>
        <w:spacing w:after="120"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75A9FC35" w14:textId="77777777" w:rsidR="002960F7" w:rsidRPr="00105FFC" w:rsidRDefault="002960F7" w:rsidP="00073BFC">
      <w:pPr>
        <w:spacing w:after="120" w:line="276" w:lineRule="auto"/>
        <w:rPr>
          <w:rFonts w:asciiTheme="minorHAnsi" w:eastAsiaTheme="minorHAnsi" w:hAnsiTheme="minorHAnsi" w:cs="Tahoma"/>
          <w:sz w:val="16"/>
          <w:szCs w:val="16"/>
        </w:rPr>
      </w:pPr>
    </w:p>
    <w:p w14:paraId="153D6435" w14:textId="77777777" w:rsidR="00073BFC" w:rsidRPr="00105FFC" w:rsidRDefault="001641BD" w:rsidP="00073BFC">
      <w:pPr>
        <w:rPr>
          <w:rFonts w:asciiTheme="minorHAnsi" w:eastAsiaTheme="minorHAnsi" w:hAnsiTheme="minorHAnsi" w:cstheme="minorBidi"/>
          <w:b/>
          <w:bCs/>
          <w:sz w:val="20"/>
          <w:szCs w:val="20"/>
        </w:rPr>
      </w:pPr>
      <w:bookmarkStart w:id="401" w:name="_Toc458783114"/>
      <w:bookmarkStart w:id="402" w:name="_Toc459285184"/>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39</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 xml:space="preserve">: </w:t>
      </w:r>
      <w:r w:rsidR="00073BFC" w:rsidRPr="00105FFC">
        <w:rPr>
          <w:rFonts w:asciiTheme="minorHAnsi" w:eastAsiaTheme="minorHAnsi" w:hAnsiTheme="minorHAnsi" w:cstheme="minorBidi"/>
          <w:bCs/>
          <w:sz w:val="20"/>
          <w:szCs w:val="20"/>
        </w:rPr>
        <w:t>Total Medi-Cal Participating Home Health Providers in SFY 2014-15, by Service Setting and Geographic Region</w:t>
      </w:r>
      <w:bookmarkEnd w:id="401"/>
      <w:bookmarkEnd w:id="402"/>
    </w:p>
    <w:tbl>
      <w:tblPr>
        <w:tblW w:w="0" w:type="auto"/>
        <w:tblInd w:w="93" w:type="dxa"/>
        <w:tblLook w:val="04A0" w:firstRow="1" w:lastRow="0" w:firstColumn="1" w:lastColumn="0" w:noHBand="0" w:noVBand="1"/>
      </w:tblPr>
      <w:tblGrid>
        <w:gridCol w:w="2005"/>
        <w:gridCol w:w="1711"/>
        <w:gridCol w:w="1863"/>
        <w:gridCol w:w="741"/>
        <w:gridCol w:w="700"/>
      </w:tblGrid>
      <w:tr w:rsidR="00854001" w:rsidRPr="00105FFC" w14:paraId="215AC954" w14:textId="77777777" w:rsidTr="008677A6">
        <w:trPr>
          <w:trHeight w:val="300"/>
        </w:trPr>
        <w:tc>
          <w:tcPr>
            <w:tcW w:w="0" w:type="auto"/>
            <w:gridSpan w:val="5"/>
            <w:tcBorders>
              <w:top w:val="nil"/>
              <w:left w:val="single" w:sz="4" w:space="0" w:color="auto"/>
              <w:bottom w:val="single" w:sz="4" w:space="0" w:color="auto"/>
              <w:right w:val="nil"/>
            </w:tcBorders>
            <w:shd w:val="clear" w:color="000000" w:fill="000000"/>
            <w:noWrap/>
            <w:vAlign w:val="center"/>
            <w:hideMark/>
          </w:tcPr>
          <w:p w14:paraId="6F3A0EE8" w14:textId="77777777" w:rsidR="00854001" w:rsidRPr="00105FFC" w:rsidRDefault="00854001" w:rsidP="008677A6">
            <w:pPr>
              <w:jc w:val="center"/>
              <w:rPr>
                <w:rFonts w:asciiTheme="minorHAnsi" w:hAnsiTheme="minorHAnsi"/>
                <w:b/>
                <w:bCs/>
                <w:color w:val="FFFFFF"/>
                <w:sz w:val="20"/>
                <w:szCs w:val="20"/>
              </w:rPr>
            </w:pPr>
            <w:r w:rsidRPr="00105FFC">
              <w:rPr>
                <w:rFonts w:asciiTheme="minorHAnsi" w:hAnsiTheme="minorHAnsi"/>
                <w:b/>
                <w:bCs/>
                <w:color w:val="FFFFFF"/>
                <w:sz w:val="20"/>
                <w:szCs w:val="20"/>
              </w:rPr>
              <w:t>Home Health Providers</w:t>
            </w:r>
          </w:p>
        </w:tc>
      </w:tr>
      <w:tr w:rsidR="00854001" w:rsidRPr="00105FFC" w14:paraId="08DFC0CD" w14:textId="77777777" w:rsidTr="000D6C4B">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2EA567C"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Geographic Region</w:t>
            </w:r>
          </w:p>
        </w:tc>
        <w:tc>
          <w:tcPr>
            <w:tcW w:w="0" w:type="auto"/>
            <w:tcBorders>
              <w:top w:val="nil"/>
              <w:left w:val="nil"/>
              <w:bottom w:val="single" w:sz="4" w:space="0" w:color="auto"/>
              <w:right w:val="single" w:sz="4" w:space="0" w:color="auto"/>
            </w:tcBorders>
            <w:shd w:val="clear" w:color="000000" w:fill="F2F2F2"/>
            <w:noWrap/>
            <w:vAlign w:val="center"/>
            <w:hideMark/>
          </w:tcPr>
          <w:p w14:paraId="6304AB03"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Hospital Inpatient</w:t>
            </w:r>
          </w:p>
        </w:tc>
        <w:tc>
          <w:tcPr>
            <w:tcW w:w="0" w:type="auto"/>
            <w:tcBorders>
              <w:top w:val="nil"/>
              <w:left w:val="nil"/>
              <w:bottom w:val="single" w:sz="4" w:space="0" w:color="auto"/>
              <w:right w:val="single" w:sz="4" w:space="0" w:color="auto"/>
            </w:tcBorders>
            <w:shd w:val="clear" w:color="000000" w:fill="F2F2F2"/>
            <w:noWrap/>
            <w:vAlign w:val="center"/>
            <w:hideMark/>
          </w:tcPr>
          <w:p w14:paraId="4521755F" w14:textId="77777777" w:rsidR="00854001" w:rsidRPr="00105FFC" w:rsidRDefault="00854001" w:rsidP="00073BFC">
            <w:pPr>
              <w:rPr>
                <w:rFonts w:asciiTheme="minorHAnsi" w:hAnsiTheme="minorHAnsi"/>
                <w:b/>
                <w:bCs/>
                <w:color w:val="000000"/>
                <w:sz w:val="20"/>
                <w:szCs w:val="20"/>
              </w:rPr>
            </w:pPr>
            <w:r w:rsidRPr="00105FFC">
              <w:rPr>
                <w:rFonts w:asciiTheme="minorHAnsi" w:hAnsiTheme="minorHAnsi"/>
                <w:b/>
                <w:bCs/>
                <w:color w:val="000000"/>
                <w:sz w:val="20"/>
                <w:szCs w:val="20"/>
              </w:rPr>
              <w:t>Hospital Outpatient</w:t>
            </w:r>
          </w:p>
        </w:tc>
        <w:tc>
          <w:tcPr>
            <w:tcW w:w="0" w:type="auto"/>
            <w:tcBorders>
              <w:top w:val="nil"/>
              <w:left w:val="nil"/>
              <w:bottom w:val="single" w:sz="4" w:space="0" w:color="auto"/>
              <w:right w:val="single" w:sz="4" w:space="0" w:color="auto"/>
            </w:tcBorders>
            <w:shd w:val="clear" w:color="000000" w:fill="F2F2F2"/>
            <w:noWrap/>
            <w:vAlign w:val="center"/>
            <w:hideMark/>
          </w:tcPr>
          <w:p w14:paraId="2FA08AD7"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Clinics</w:t>
            </w:r>
          </w:p>
        </w:tc>
        <w:tc>
          <w:tcPr>
            <w:tcW w:w="0" w:type="auto"/>
            <w:tcBorders>
              <w:top w:val="nil"/>
              <w:left w:val="nil"/>
              <w:bottom w:val="single" w:sz="4" w:space="0" w:color="auto"/>
              <w:right w:val="single" w:sz="4" w:space="0" w:color="auto"/>
            </w:tcBorders>
            <w:shd w:val="clear" w:color="000000" w:fill="F2F2F2"/>
            <w:noWrap/>
            <w:vAlign w:val="center"/>
            <w:hideMark/>
          </w:tcPr>
          <w:p w14:paraId="3CFB1EF7"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Other</w:t>
            </w:r>
          </w:p>
        </w:tc>
      </w:tr>
      <w:tr w:rsidR="00854001" w:rsidRPr="00105FFC" w14:paraId="016DFBCB" w14:textId="77777777" w:rsidTr="000D6C4B">
        <w:trPr>
          <w:trHeight w:val="300"/>
        </w:trPr>
        <w:tc>
          <w:tcPr>
            <w:tcW w:w="0" w:type="auto"/>
            <w:tcBorders>
              <w:top w:val="nil"/>
              <w:left w:val="single" w:sz="4" w:space="0" w:color="auto"/>
              <w:bottom w:val="single" w:sz="4" w:space="0" w:color="auto"/>
              <w:right w:val="single" w:sz="4" w:space="0" w:color="auto"/>
            </w:tcBorders>
            <w:shd w:val="clear" w:color="000000" w:fill="EBF1DE"/>
            <w:noWrap/>
            <w:vAlign w:val="center"/>
            <w:hideMark/>
          </w:tcPr>
          <w:p w14:paraId="0AF42E80"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STATEWIDE</w:t>
            </w:r>
          </w:p>
        </w:tc>
        <w:tc>
          <w:tcPr>
            <w:tcW w:w="0" w:type="auto"/>
            <w:tcBorders>
              <w:top w:val="nil"/>
              <w:left w:val="nil"/>
              <w:bottom w:val="single" w:sz="4" w:space="0" w:color="auto"/>
              <w:right w:val="single" w:sz="4" w:space="0" w:color="auto"/>
            </w:tcBorders>
            <w:shd w:val="clear" w:color="000000" w:fill="EBF1DE"/>
            <w:noWrap/>
            <w:vAlign w:val="center"/>
            <w:hideMark/>
          </w:tcPr>
          <w:p w14:paraId="54A8968D"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6</w:t>
            </w:r>
          </w:p>
        </w:tc>
        <w:tc>
          <w:tcPr>
            <w:tcW w:w="0" w:type="auto"/>
            <w:tcBorders>
              <w:top w:val="nil"/>
              <w:left w:val="nil"/>
              <w:bottom w:val="single" w:sz="4" w:space="0" w:color="auto"/>
              <w:right w:val="single" w:sz="4" w:space="0" w:color="auto"/>
            </w:tcBorders>
            <w:shd w:val="clear" w:color="000000" w:fill="EBF1DE"/>
            <w:noWrap/>
            <w:vAlign w:val="center"/>
            <w:hideMark/>
          </w:tcPr>
          <w:p w14:paraId="62A485F3"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w:t>
            </w:r>
          </w:p>
        </w:tc>
        <w:tc>
          <w:tcPr>
            <w:tcW w:w="0" w:type="auto"/>
            <w:tcBorders>
              <w:top w:val="nil"/>
              <w:left w:val="nil"/>
              <w:bottom w:val="single" w:sz="4" w:space="0" w:color="auto"/>
              <w:right w:val="single" w:sz="4" w:space="0" w:color="auto"/>
            </w:tcBorders>
            <w:shd w:val="clear" w:color="000000" w:fill="EBF1DE"/>
            <w:noWrap/>
            <w:vAlign w:val="center"/>
            <w:hideMark/>
          </w:tcPr>
          <w:p w14:paraId="5CB3963D"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2</w:t>
            </w:r>
          </w:p>
        </w:tc>
        <w:tc>
          <w:tcPr>
            <w:tcW w:w="0" w:type="auto"/>
            <w:tcBorders>
              <w:top w:val="nil"/>
              <w:left w:val="nil"/>
              <w:bottom w:val="single" w:sz="4" w:space="0" w:color="auto"/>
              <w:right w:val="single" w:sz="4" w:space="0" w:color="auto"/>
            </w:tcBorders>
            <w:shd w:val="clear" w:color="000000" w:fill="EBF1DE"/>
            <w:noWrap/>
            <w:vAlign w:val="center"/>
            <w:hideMark/>
          </w:tcPr>
          <w:p w14:paraId="70978FA1" w14:textId="77777777" w:rsidR="00854001" w:rsidRPr="00105FFC" w:rsidRDefault="00854001"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330</w:t>
            </w:r>
          </w:p>
        </w:tc>
      </w:tr>
      <w:tr w:rsidR="00854001" w:rsidRPr="00105FFC" w14:paraId="11DAFC61"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1483A"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Bay Area</w:t>
            </w:r>
          </w:p>
        </w:tc>
        <w:tc>
          <w:tcPr>
            <w:tcW w:w="0" w:type="auto"/>
            <w:tcBorders>
              <w:top w:val="nil"/>
              <w:left w:val="nil"/>
              <w:bottom w:val="single" w:sz="4" w:space="0" w:color="auto"/>
              <w:right w:val="single" w:sz="4" w:space="0" w:color="auto"/>
            </w:tcBorders>
            <w:shd w:val="clear" w:color="auto" w:fill="auto"/>
            <w:noWrap/>
            <w:vAlign w:val="center"/>
            <w:hideMark/>
          </w:tcPr>
          <w:p w14:paraId="761CBCB9"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78100EA"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B0CE6A7"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8F95FBE"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45</w:t>
            </w:r>
          </w:p>
        </w:tc>
      </w:tr>
      <w:tr w:rsidR="00854001" w:rsidRPr="00105FFC" w14:paraId="57D68D33"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10CE90"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Central Coast</w:t>
            </w:r>
          </w:p>
        </w:tc>
        <w:tc>
          <w:tcPr>
            <w:tcW w:w="0" w:type="auto"/>
            <w:tcBorders>
              <w:top w:val="nil"/>
              <w:left w:val="nil"/>
              <w:bottom w:val="single" w:sz="4" w:space="0" w:color="auto"/>
              <w:right w:val="single" w:sz="4" w:space="0" w:color="auto"/>
            </w:tcBorders>
            <w:shd w:val="clear" w:color="auto" w:fill="auto"/>
            <w:noWrap/>
            <w:vAlign w:val="center"/>
            <w:hideMark/>
          </w:tcPr>
          <w:p w14:paraId="34D11C11"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52E8307"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4658EFD"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72B6BE1"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16</w:t>
            </w:r>
          </w:p>
        </w:tc>
      </w:tr>
      <w:tr w:rsidR="00854001" w:rsidRPr="00105FFC" w14:paraId="597D449B"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F3BE1C"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Central Valley</w:t>
            </w:r>
          </w:p>
        </w:tc>
        <w:tc>
          <w:tcPr>
            <w:tcW w:w="0" w:type="auto"/>
            <w:tcBorders>
              <w:top w:val="nil"/>
              <w:left w:val="nil"/>
              <w:bottom w:val="single" w:sz="4" w:space="0" w:color="auto"/>
              <w:right w:val="single" w:sz="4" w:space="0" w:color="auto"/>
            </w:tcBorders>
            <w:shd w:val="clear" w:color="auto" w:fill="auto"/>
            <w:noWrap/>
            <w:vAlign w:val="center"/>
            <w:hideMark/>
          </w:tcPr>
          <w:p w14:paraId="0DD1172F"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297325D7"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17F72AF"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15F8BA6"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35</w:t>
            </w:r>
          </w:p>
        </w:tc>
      </w:tr>
      <w:tr w:rsidR="00854001" w:rsidRPr="00105FFC" w14:paraId="631B847D"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BDDE54"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Far North</w:t>
            </w:r>
          </w:p>
        </w:tc>
        <w:tc>
          <w:tcPr>
            <w:tcW w:w="0" w:type="auto"/>
            <w:tcBorders>
              <w:top w:val="nil"/>
              <w:left w:val="nil"/>
              <w:bottom w:val="single" w:sz="4" w:space="0" w:color="auto"/>
              <w:right w:val="single" w:sz="4" w:space="0" w:color="auto"/>
            </w:tcBorders>
            <w:shd w:val="clear" w:color="auto" w:fill="auto"/>
            <w:noWrap/>
            <w:vAlign w:val="center"/>
            <w:hideMark/>
          </w:tcPr>
          <w:p w14:paraId="50070532"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85F3059"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6CE905D"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D8504F2"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4</w:t>
            </w:r>
          </w:p>
        </w:tc>
      </w:tr>
      <w:tr w:rsidR="00854001" w:rsidRPr="00105FFC" w14:paraId="2BDD38C2"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B6A1AD"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Los Angeles</w:t>
            </w:r>
          </w:p>
        </w:tc>
        <w:tc>
          <w:tcPr>
            <w:tcW w:w="0" w:type="auto"/>
            <w:tcBorders>
              <w:top w:val="nil"/>
              <w:left w:val="nil"/>
              <w:bottom w:val="single" w:sz="4" w:space="0" w:color="auto"/>
              <w:right w:val="single" w:sz="4" w:space="0" w:color="auto"/>
            </w:tcBorders>
            <w:shd w:val="clear" w:color="auto" w:fill="auto"/>
            <w:noWrap/>
            <w:vAlign w:val="center"/>
            <w:hideMark/>
          </w:tcPr>
          <w:p w14:paraId="466543C3"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35E5687B"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CE60BF4"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0655E3D"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109</w:t>
            </w:r>
          </w:p>
        </w:tc>
      </w:tr>
      <w:tr w:rsidR="00854001" w:rsidRPr="00105FFC" w14:paraId="031F7709"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D721D9"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North Coast</w:t>
            </w:r>
          </w:p>
        </w:tc>
        <w:tc>
          <w:tcPr>
            <w:tcW w:w="0" w:type="auto"/>
            <w:tcBorders>
              <w:top w:val="nil"/>
              <w:left w:val="nil"/>
              <w:bottom w:val="single" w:sz="4" w:space="0" w:color="auto"/>
              <w:right w:val="single" w:sz="4" w:space="0" w:color="auto"/>
            </w:tcBorders>
            <w:shd w:val="clear" w:color="auto" w:fill="auto"/>
            <w:noWrap/>
            <w:vAlign w:val="center"/>
            <w:hideMark/>
          </w:tcPr>
          <w:p w14:paraId="383A6497"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331B7C4"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563BBEA"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E2CAE17"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5</w:t>
            </w:r>
          </w:p>
        </w:tc>
      </w:tr>
      <w:tr w:rsidR="00854001" w:rsidRPr="00105FFC" w14:paraId="3DA68A25"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63D1A"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Sacramento Valley</w:t>
            </w:r>
          </w:p>
        </w:tc>
        <w:tc>
          <w:tcPr>
            <w:tcW w:w="0" w:type="auto"/>
            <w:tcBorders>
              <w:top w:val="nil"/>
              <w:left w:val="nil"/>
              <w:bottom w:val="single" w:sz="4" w:space="0" w:color="auto"/>
              <w:right w:val="single" w:sz="4" w:space="0" w:color="auto"/>
            </w:tcBorders>
            <w:shd w:val="clear" w:color="auto" w:fill="auto"/>
            <w:noWrap/>
            <w:vAlign w:val="center"/>
            <w:hideMark/>
          </w:tcPr>
          <w:p w14:paraId="7B030E6C"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F4D3F5E"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184D5FD"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0120069"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27</w:t>
            </w:r>
          </w:p>
        </w:tc>
      </w:tr>
      <w:tr w:rsidR="00854001" w:rsidRPr="00105FFC" w14:paraId="2C9EA93C"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0E8AA7"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Sierra Range/Foothills</w:t>
            </w:r>
          </w:p>
        </w:tc>
        <w:tc>
          <w:tcPr>
            <w:tcW w:w="0" w:type="auto"/>
            <w:tcBorders>
              <w:top w:val="nil"/>
              <w:left w:val="nil"/>
              <w:bottom w:val="single" w:sz="4" w:space="0" w:color="auto"/>
              <w:right w:val="single" w:sz="4" w:space="0" w:color="auto"/>
            </w:tcBorders>
            <w:shd w:val="clear" w:color="auto" w:fill="auto"/>
            <w:noWrap/>
            <w:vAlign w:val="center"/>
            <w:hideMark/>
          </w:tcPr>
          <w:p w14:paraId="7DEA0101"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535897D"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1E83948"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4EA53D4"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12</w:t>
            </w:r>
          </w:p>
        </w:tc>
      </w:tr>
      <w:tr w:rsidR="00854001" w:rsidRPr="00105FFC" w14:paraId="0A73636A" w14:textId="77777777" w:rsidTr="000D6C4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F25A2"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Southern California</w:t>
            </w:r>
          </w:p>
        </w:tc>
        <w:tc>
          <w:tcPr>
            <w:tcW w:w="0" w:type="auto"/>
            <w:tcBorders>
              <w:top w:val="nil"/>
              <w:left w:val="nil"/>
              <w:bottom w:val="single" w:sz="4" w:space="0" w:color="auto"/>
              <w:right w:val="single" w:sz="4" w:space="0" w:color="auto"/>
            </w:tcBorders>
            <w:shd w:val="clear" w:color="auto" w:fill="auto"/>
            <w:noWrap/>
            <w:vAlign w:val="center"/>
            <w:hideMark/>
          </w:tcPr>
          <w:p w14:paraId="6EE39296"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B7B836C"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C6D94AF"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2EDDE3B" w14:textId="77777777" w:rsidR="00854001" w:rsidRPr="00105FFC" w:rsidRDefault="00854001" w:rsidP="00073BFC">
            <w:pPr>
              <w:jc w:val="center"/>
              <w:rPr>
                <w:rFonts w:asciiTheme="minorHAnsi" w:hAnsiTheme="minorHAnsi"/>
                <w:color w:val="000000"/>
                <w:sz w:val="20"/>
                <w:szCs w:val="20"/>
              </w:rPr>
            </w:pPr>
            <w:r w:rsidRPr="00105FFC">
              <w:rPr>
                <w:rFonts w:asciiTheme="minorHAnsi" w:hAnsiTheme="minorHAnsi"/>
                <w:color w:val="000000"/>
                <w:sz w:val="20"/>
                <w:szCs w:val="20"/>
              </w:rPr>
              <w:t>78</w:t>
            </w:r>
          </w:p>
        </w:tc>
      </w:tr>
    </w:tbl>
    <w:p w14:paraId="07B99528" w14:textId="77777777" w:rsidR="00073BFC" w:rsidRPr="00105FFC" w:rsidRDefault="00073BFC" w:rsidP="00073BFC">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and provider tables.</w:t>
      </w:r>
    </w:p>
    <w:p w14:paraId="759BC31F" w14:textId="77777777" w:rsidR="00B25D7D" w:rsidRPr="00105FFC" w:rsidRDefault="00B25D7D" w:rsidP="00073BFC">
      <w:pPr>
        <w:spacing w:line="276" w:lineRule="auto"/>
        <w:rPr>
          <w:rFonts w:asciiTheme="minorHAnsi" w:eastAsiaTheme="minorHAnsi" w:hAnsiTheme="minorHAnsi" w:cs="Arial"/>
          <w:sz w:val="22"/>
        </w:rPr>
      </w:pPr>
    </w:p>
    <w:p w14:paraId="739960D0" w14:textId="77777777" w:rsidR="00B25D7D" w:rsidRPr="00105FFC" w:rsidRDefault="00B25D7D" w:rsidP="00B25D7D">
      <w:pPr>
        <w:pStyle w:val="Heading3"/>
        <w:spacing w:before="0"/>
        <w:rPr>
          <w:rFonts w:eastAsiaTheme="minorHAnsi"/>
        </w:rPr>
      </w:pPr>
      <w:bookmarkStart w:id="403" w:name="_Toc459287764"/>
      <w:r w:rsidRPr="00105FFC">
        <w:rPr>
          <w:rFonts w:eastAsiaTheme="minorHAnsi"/>
        </w:rPr>
        <w:t>Conclusions</w:t>
      </w:r>
      <w:bookmarkEnd w:id="403"/>
    </w:p>
    <w:p w14:paraId="5E2402C6" w14:textId="77777777" w:rsidR="00B25D7D" w:rsidRPr="00105FFC" w:rsidRDefault="00B25D7D" w:rsidP="00073BFC">
      <w:pPr>
        <w:spacing w:line="276" w:lineRule="auto"/>
        <w:rPr>
          <w:rFonts w:asciiTheme="minorHAnsi" w:eastAsiaTheme="minorHAnsi" w:hAnsiTheme="minorHAnsi" w:cs="Arial"/>
          <w:sz w:val="22"/>
        </w:rPr>
      </w:pPr>
    </w:p>
    <w:p w14:paraId="268B3F79" w14:textId="77777777" w:rsidR="00B25D7D" w:rsidRPr="00105FFC" w:rsidRDefault="00B25D7D" w:rsidP="00B25D7D">
      <w:pPr>
        <w:pStyle w:val="ListParagraph"/>
        <w:numPr>
          <w:ilvl w:val="0"/>
          <w:numId w:val="33"/>
        </w:numPr>
        <w:spacing w:after="160" w:line="276" w:lineRule="auto"/>
        <w:contextualSpacing/>
        <w:rPr>
          <w:rFonts w:asciiTheme="minorHAnsi" w:hAnsiTheme="minorHAnsi"/>
        </w:rPr>
      </w:pPr>
      <w:r w:rsidRPr="00105FFC">
        <w:rPr>
          <w:rFonts w:asciiTheme="minorHAnsi" w:hAnsiTheme="minorHAnsi"/>
        </w:rPr>
        <w:t xml:space="preserve">The statewide number of participating Primary Care Physicians, physician Specialists, Behavioral Health Providers, Pre-and Post-Natal Obstetric providers, all increased between SFY 2013-14 and 2014-15. Participation of Home Health Providers remained consistent between the two study periods. </w:t>
      </w:r>
    </w:p>
    <w:p w14:paraId="470EBAC1" w14:textId="77777777" w:rsidR="00B25D7D" w:rsidRPr="00105FFC" w:rsidRDefault="00B25D7D" w:rsidP="00B25D7D">
      <w:pPr>
        <w:pStyle w:val="ListParagraph"/>
        <w:numPr>
          <w:ilvl w:val="0"/>
          <w:numId w:val="33"/>
        </w:numPr>
        <w:spacing w:before="240" w:after="160" w:line="276" w:lineRule="auto"/>
        <w:contextualSpacing/>
        <w:rPr>
          <w:rFonts w:asciiTheme="minorHAnsi" w:hAnsiTheme="minorHAnsi"/>
        </w:rPr>
      </w:pPr>
      <w:r w:rsidRPr="00105FFC">
        <w:rPr>
          <w:rFonts w:asciiTheme="minorHAnsi" w:hAnsiTheme="minorHAnsi"/>
        </w:rPr>
        <w:t>The statewide beneficiary to Primary Care Physician ratio was 21.8 in SFY 2014-15, and the highest ratio was in the Central Valley at 31.3 beneficiaries per provider.</w:t>
      </w:r>
    </w:p>
    <w:p w14:paraId="1B1F67FD" w14:textId="77777777" w:rsidR="00B25D7D" w:rsidRPr="00105FFC" w:rsidRDefault="00B25D7D" w:rsidP="00B25D7D">
      <w:pPr>
        <w:pStyle w:val="ListParagraph"/>
        <w:numPr>
          <w:ilvl w:val="0"/>
          <w:numId w:val="33"/>
        </w:numPr>
        <w:spacing w:before="240" w:after="160" w:line="276" w:lineRule="auto"/>
        <w:contextualSpacing/>
        <w:rPr>
          <w:rFonts w:asciiTheme="minorHAnsi" w:hAnsiTheme="minorHAnsi"/>
        </w:rPr>
      </w:pPr>
      <w:r w:rsidRPr="00105FFC">
        <w:rPr>
          <w:rFonts w:asciiTheme="minorHAnsi" w:hAnsiTheme="minorHAnsi"/>
        </w:rPr>
        <w:t xml:space="preserve">Primary Care Physician provided services almost equally among hospital inpatient, outpatient, and clinic service settings; however, clinics had the most services by Primary Care Providers. </w:t>
      </w:r>
    </w:p>
    <w:p w14:paraId="1EE521A4" w14:textId="77777777" w:rsidR="00B25D7D" w:rsidRPr="00105FFC" w:rsidRDefault="00B25D7D" w:rsidP="00B25D7D">
      <w:pPr>
        <w:pStyle w:val="ListParagraph"/>
        <w:numPr>
          <w:ilvl w:val="0"/>
          <w:numId w:val="33"/>
        </w:numPr>
        <w:spacing w:after="160" w:line="276" w:lineRule="auto"/>
        <w:contextualSpacing/>
        <w:rPr>
          <w:rFonts w:asciiTheme="minorHAnsi" w:hAnsiTheme="minorHAnsi"/>
        </w:rPr>
      </w:pPr>
      <w:r w:rsidRPr="00105FFC">
        <w:rPr>
          <w:rFonts w:asciiTheme="minorHAnsi" w:hAnsiTheme="minorHAnsi"/>
        </w:rPr>
        <w:t xml:space="preserve">Less than 1% of the individuals enrolled in FFS for 11 months in SFY 2014-15 resided outside of a Primary Care Physician service (more than 10 miles in distance or 30 minutes in travel time). </w:t>
      </w:r>
    </w:p>
    <w:p w14:paraId="5748440E" w14:textId="77777777" w:rsidR="00B25D7D" w:rsidRPr="00105FFC" w:rsidRDefault="00B25D7D" w:rsidP="00B25D7D">
      <w:pPr>
        <w:pStyle w:val="ListParagraph"/>
        <w:numPr>
          <w:ilvl w:val="0"/>
          <w:numId w:val="33"/>
        </w:numPr>
        <w:spacing w:after="160" w:line="276" w:lineRule="auto"/>
        <w:contextualSpacing/>
        <w:rPr>
          <w:rFonts w:asciiTheme="minorHAnsi" w:hAnsiTheme="minorHAnsi"/>
        </w:rPr>
      </w:pPr>
      <w:r w:rsidRPr="00105FFC">
        <w:rPr>
          <w:rFonts w:asciiTheme="minorHAnsi" w:hAnsiTheme="minorHAnsi"/>
        </w:rPr>
        <w:t xml:space="preserve">The longest average driving time (46.8 minutes) and distance (37.5 miles) </w:t>
      </w:r>
      <w:r w:rsidR="00A57516" w:rsidRPr="00105FFC">
        <w:rPr>
          <w:rFonts w:asciiTheme="minorHAnsi" w:hAnsiTheme="minorHAnsi"/>
        </w:rPr>
        <w:t>to a Primary Care Physician in SFY 2</w:t>
      </w:r>
      <w:r w:rsidRPr="00105FFC">
        <w:rPr>
          <w:rFonts w:asciiTheme="minorHAnsi" w:hAnsiTheme="minorHAnsi"/>
        </w:rPr>
        <w:t>014-15 were in the rural regions of the Far North and North Coast.</w:t>
      </w:r>
    </w:p>
    <w:p w14:paraId="0A679EC3" w14:textId="77777777" w:rsidR="00B25D7D" w:rsidRPr="00105FFC" w:rsidRDefault="00B25D7D" w:rsidP="00B25D7D">
      <w:pPr>
        <w:pStyle w:val="ListParagraph"/>
        <w:numPr>
          <w:ilvl w:val="0"/>
          <w:numId w:val="33"/>
        </w:numPr>
        <w:spacing w:after="160" w:line="276" w:lineRule="auto"/>
        <w:contextualSpacing/>
        <w:rPr>
          <w:rFonts w:asciiTheme="minorHAnsi" w:hAnsiTheme="minorHAnsi"/>
          <w:b/>
        </w:rPr>
      </w:pPr>
      <w:r w:rsidRPr="00105FFC">
        <w:rPr>
          <w:rFonts w:asciiTheme="minorHAnsi" w:hAnsiTheme="minorHAnsi"/>
        </w:rPr>
        <w:t>For the 98.6% of individuals in FFS within a Primary Care Physician service area</w:t>
      </w:r>
      <w:r w:rsidR="00A57516" w:rsidRPr="00105FFC">
        <w:rPr>
          <w:rFonts w:asciiTheme="minorHAnsi" w:hAnsiTheme="minorHAnsi"/>
        </w:rPr>
        <w:t xml:space="preserve"> during SFY 2014-15</w:t>
      </w:r>
      <w:r w:rsidRPr="00105FFC">
        <w:rPr>
          <w:rFonts w:asciiTheme="minorHAnsi" w:hAnsiTheme="minorHAnsi"/>
        </w:rPr>
        <w:t xml:space="preserve">, the average drive time was </w:t>
      </w:r>
      <w:r w:rsidR="00A57516" w:rsidRPr="00105FFC">
        <w:rPr>
          <w:rFonts w:asciiTheme="minorHAnsi" w:hAnsiTheme="minorHAnsi"/>
        </w:rPr>
        <w:t xml:space="preserve">3.6 minutes </w:t>
      </w:r>
      <w:r w:rsidRPr="00105FFC">
        <w:rPr>
          <w:rFonts w:asciiTheme="minorHAnsi" w:hAnsiTheme="minorHAnsi"/>
        </w:rPr>
        <w:t>and the average distance was</w:t>
      </w:r>
      <w:r w:rsidR="00A57516" w:rsidRPr="00105FFC">
        <w:rPr>
          <w:rFonts w:asciiTheme="minorHAnsi" w:hAnsiTheme="minorHAnsi"/>
        </w:rPr>
        <w:t xml:space="preserve"> 1.4 miles.</w:t>
      </w:r>
      <w:r w:rsidRPr="00105FFC">
        <w:rPr>
          <w:rFonts w:asciiTheme="minorHAnsi" w:hAnsiTheme="minorHAnsi"/>
        </w:rPr>
        <w:t xml:space="preserve"> </w:t>
      </w:r>
    </w:p>
    <w:p w14:paraId="444251DE" w14:textId="77777777" w:rsidR="00073BFC" w:rsidRPr="00105FFC" w:rsidRDefault="00073BFC" w:rsidP="00073BFC">
      <w:pPr>
        <w:spacing w:line="276" w:lineRule="auto"/>
        <w:rPr>
          <w:rFonts w:asciiTheme="minorHAnsi" w:eastAsiaTheme="minorHAnsi" w:hAnsiTheme="minorHAnsi" w:cs="Arial"/>
          <w:sz w:val="22"/>
        </w:rPr>
      </w:pPr>
      <w:r w:rsidRPr="00105FFC">
        <w:rPr>
          <w:rFonts w:asciiTheme="minorHAnsi" w:eastAsiaTheme="minorHAnsi" w:hAnsiTheme="minorHAnsi" w:cs="Arial"/>
          <w:sz w:val="22"/>
        </w:rPr>
        <w:br w:type="page"/>
      </w:r>
    </w:p>
    <w:p w14:paraId="3F4B7FE0" w14:textId="77777777" w:rsidR="00661687" w:rsidRPr="00105FFC" w:rsidRDefault="00984063" w:rsidP="00E2434F">
      <w:pPr>
        <w:pStyle w:val="Heading2"/>
        <w:spacing w:before="0"/>
        <w:rPr>
          <w:rFonts w:asciiTheme="minorHAnsi" w:hAnsiTheme="minorHAnsi"/>
          <w:color w:val="auto"/>
        </w:rPr>
      </w:pPr>
      <w:bookmarkStart w:id="404" w:name="_Measure:_Service_Utilization"/>
      <w:bookmarkStart w:id="405" w:name="_Toc459287765"/>
      <w:bookmarkEnd w:id="404"/>
      <w:r w:rsidRPr="00105FFC">
        <w:rPr>
          <w:rFonts w:asciiTheme="minorHAnsi" w:hAnsiTheme="minorHAnsi"/>
          <w:color w:val="auto"/>
        </w:rPr>
        <w:t>Domain</w:t>
      </w:r>
      <w:r w:rsidR="00661687" w:rsidRPr="00105FFC">
        <w:rPr>
          <w:rFonts w:asciiTheme="minorHAnsi" w:hAnsiTheme="minorHAnsi"/>
          <w:color w:val="auto"/>
        </w:rPr>
        <w:t xml:space="preserve">: </w:t>
      </w:r>
      <w:r w:rsidRPr="00105FFC">
        <w:rPr>
          <w:rFonts w:asciiTheme="minorHAnsi" w:hAnsiTheme="minorHAnsi"/>
          <w:color w:val="auto"/>
        </w:rPr>
        <w:t>Realized Access</w:t>
      </w:r>
      <w:bookmarkEnd w:id="405"/>
    </w:p>
    <w:p w14:paraId="4E758020" w14:textId="77777777" w:rsidR="00E2434F" w:rsidRPr="00105FFC" w:rsidRDefault="00E2434F" w:rsidP="00E2434F">
      <w:pPr>
        <w:rPr>
          <w:rFonts w:asciiTheme="minorHAnsi" w:eastAsiaTheme="majorEastAsia" w:hAnsiTheme="minorHAnsi"/>
        </w:rPr>
      </w:pPr>
    </w:p>
    <w:p w14:paraId="0CC13DF8" w14:textId="77777777" w:rsidR="00661687" w:rsidRPr="00105FFC" w:rsidRDefault="00661687" w:rsidP="00661687">
      <w:pPr>
        <w:pStyle w:val="Heading3"/>
        <w:spacing w:before="0" w:after="120" w:line="276" w:lineRule="auto"/>
      </w:pPr>
      <w:bookmarkStart w:id="406" w:name="_Toc459287766"/>
      <w:r w:rsidRPr="00105FFC">
        <w:t>Introduction</w:t>
      </w:r>
      <w:bookmarkEnd w:id="406"/>
    </w:p>
    <w:p w14:paraId="6C730D9C" w14:textId="77777777" w:rsidR="00EA4ED3" w:rsidRPr="004A785B" w:rsidRDefault="00EA4ED3" w:rsidP="00EA4ED3">
      <w:pPr>
        <w:spacing w:after="200" w:line="276" w:lineRule="auto"/>
        <w:rPr>
          <w:rFonts w:asciiTheme="minorHAnsi" w:eastAsiaTheme="minorHAnsi" w:hAnsiTheme="minorHAnsi" w:cstheme="minorBidi"/>
        </w:rPr>
      </w:pPr>
      <w:r w:rsidRPr="004A785B">
        <w:rPr>
          <w:rFonts w:asciiTheme="minorHAnsi" w:eastAsiaTheme="minorHAnsi" w:hAnsiTheme="minorHAnsi" w:cstheme="minorBidi"/>
        </w:rPr>
        <w:t>Realized access focuses on analyzing changes in health care utilization. In order to establish control limits for utilization, the baseline study period selected was SFYs 2012-13, 2013-14 and 2014-15. Service Utilization events reflect only services rendered to beneficiaries in Medi-Cal’s FFS delivery system who were certified eligible for Medi-Cal (meaning that they met eligibility requirements and were enrolled in the program) for at least 11 months in either SFY 2012-13, 2013-14 or 2014-15</w:t>
      </w:r>
      <w:r w:rsidRPr="004A785B">
        <w:rPr>
          <w:rStyle w:val="FootnoteReference"/>
          <w:rFonts w:asciiTheme="minorHAnsi" w:eastAsiaTheme="minorHAnsi" w:hAnsiTheme="minorHAnsi" w:cstheme="minorBidi"/>
        </w:rPr>
        <w:footnoteReference w:id="17"/>
      </w:r>
      <w:r w:rsidRPr="004A785B">
        <w:rPr>
          <w:rFonts w:asciiTheme="minorHAnsi" w:eastAsiaTheme="minorHAnsi" w:hAnsiTheme="minorHAnsi" w:cstheme="minorBidi"/>
        </w:rPr>
        <w:t>. The analysis of changes in service category utilization were evaluated by geographic region, age group, gender, aid category, and race/ethnicity.</w:t>
      </w:r>
    </w:p>
    <w:p w14:paraId="26C7613B" w14:textId="77777777" w:rsidR="00EA4ED3" w:rsidRPr="004A785B" w:rsidRDefault="00EA4ED3" w:rsidP="00EA4ED3">
      <w:pPr>
        <w:spacing w:after="200" w:line="276" w:lineRule="auto"/>
        <w:rPr>
          <w:rFonts w:asciiTheme="minorHAnsi" w:eastAsiaTheme="minorHAnsi" w:hAnsiTheme="minorHAnsi" w:cstheme="minorBidi"/>
        </w:rPr>
      </w:pPr>
      <w:r w:rsidRPr="004A785B">
        <w:rPr>
          <w:rFonts w:asciiTheme="minorHAnsi" w:eastAsiaTheme="minorHAnsi" w:hAnsiTheme="minorHAnsi" w:cstheme="minorBidi"/>
        </w:rPr>
        <w:t>The five service categories evaluated include:</w:t>
      </w:r>
    </w:p>
    <w:p w14:paraId="49E9DF83" w14:textId="77777777" w:rsidR="00EA4ED3" w:rsidRPr="004A785B" w:rsidRDefault="00EA4ED3" w:rsidP="00EA4ED3">
      <w:pPr>
        <w:pStyle w:val="ListParagraph"/>
        <w:numPr>
          <w:ilvl w:val="0"/>
          <w:numId w:val="41"/>
        </w:numPr>
        <w:spacing w:after="200" w:line="276" w:lineRule="auto"/>
        <w:rPr>
          <w:rFonts w:asciiTheme="minorHAnsi" w:eastAsiaTheme="minorHAnsi" w:hAnsiTheme="minorHAnsi" w:cstheme="minorBidi"/>
        </w:rPr>
      </w:pPr>
      <w:r w:rsidRPr="004A785B">
        <w:rPr>
          <w:rFonts w:asciiTheme="minorHAnsi" w:eastAsiaTheme="minorHAnsi" w:hAnsiTheme="minorHAnsi" w:cstheme="minorBidi"/>
        </w:rPr>
        <w:t>Primary Care</w:t>
      </w:r>
    </w:p>
    <w:p w14:paraId="2C307E95" w14:textId="77777777" w:rsidR="00EA4ED3" w:rsidRPr="004A785B" w:rsidRDefault="00EA4ED3" w:rsidP="00EA4ED3">
      <w:pPr>
        <w:pStyle w:val="ListParagraph"/>
        <w:numPr>
          <w:ilvl w:val="0"/>
          <w:numId w:val="41"/>
        </w:numPr>
        <w:spacing w:after="200" w:line="276" w:lineRule="auto"/>
        <w:rPr>
          <w:rFonts w:asciiTheme="minorHAnsi" w:eastAsiaTheme="minorHAnsi" w:hAnsiTheme="minorHAnsi" w:cstheme="minorBidi"/>
        </w:rPr>
      </w:pPr>
      <w:r w:rsidRPr="004A785B">
        <w:rPr>
          <w:rFonts w:asciiTheme="minorHAnsi" w:eastAsiaTheme="minorHAnsi" w:hAnsiTheme="minorHAnsi" w:cstheme="minorBidi"/>
        </w:rPr>
        <w:t>Specialist</w:t>
      </w:r>
    </w:p>
    <w:p w14:paraId="5B74D35F" w14:textId="77777777" w:rsidR="00EA4ED3" w:rsidRPr="004A785B" w:rsidRDefault="00EA4ED3" w:rsidP="00EA4ED3">
      <w:pPr>
        <w:pStyle w:val="ListParagraph"/>
        <w:numPr>
          <w:ilvl w:val="0"/>
          <w:numId w:val="41"/>
        </w:numPr>
        <w:spacing w:after="200" w:line="276" w:lineRule="auto"/>
        <w:rPr>
          <w:rFonts w:asciiTheme="minorHAnsi" w:eastAsiaTheme="minorHAnsi" w:hAnsiTheme="minorHAnsi" w:cstheme="minorBidi"/>
        </w:rPr>
      </w:pPr>
      <w:r w:rsidRPr="004A785B">
        <w:rPr>
          <w:rFonts w:asciiTheme="minorHAnsi" w:eastAsiaTheme="minorHAnsi" w:hAnsiTheme="minorHAnsi" w:cstheme="minorBidi"/>
        </w:rPr>
        <w:t>Behavioral Health</w:t>
      </w:r>
    </w:p>
    <w:p w14:paraId="2BDDDB06" w14:textId="77777777" w:rsidR="00EA4ED3" w:rsidRPr="004A785B" w:rsidRDefault="00EA4ED3" w:rsidP="00EA4ED3">
      <w:pPr>
        <w:pStyle w:val="ListParagraph"/>
        <w:numPr>
          <w:ilvl w:val="0"/>
          <w:numId w:val="41"/>
        </w:numPr>
        <w:spacing w:after="200" w:line="276" w:lineRule="auto"/>
        <w:rPr>
          <w:rFonts w:asciiTheme="minorHAnsi" w:eastAsiaTheme="minorHAnsi" w:hAnsiTheme="minorHAnsi" w:cstheme="minorBidi"/>
        </w:rPr>
      </w:pPr>
      <w:r w:rsidRPr="004A785B">
        <w:rPr>
          <w:rFonts w:asciiTheme="minorHAnsi" w:eastAsiaTheme="minorHAnsi" w:hAnsiTheme="minorHAnsi" w:cstheme="minorBidi"/>
        </w:rPr>
        <w:t>Home Health</w:t>
      </w:r>
    </w:p>
    <w:p w14:paraId="79284427" w14:textId="77777777" w:rsidR="00EA4ED3" w:rsidRPr="004A785B" w:rsidRDefault="00EA4ED3" w:rsidP="00EA4ED3">
      <w:pPr>
        <w:pStyle w:val="ListParagraph"/>
        <w:numPr>
          <w:ilvl w:val="0"/>
          <w:numId w:val="41"/>
        </w:numPr>
        <w:spacing w:line="276" w:lineRule="auto"/>
        <w:rPr>
          <w:rFonts w:asciiTheme="minorHAnsi" w:eastAsiaTheme="minorHAnsi" w:hAnsiTheme="minorHAnsi" w:cstheme="minorBidi"/>
        </w:rPr>
      </w:pPr>
      <w:r w:rsidRPr="004A785B">
        <w:rPr>
          <w:rFonts w:asciiTheme="minorHAnsi" w:eastAsiaTheme="minorHAnsi" w:hAnsiTheme="minorHAnsi" w:cstheme="minorBidi"/>
        </w:rPr>
        <w:t>Pre- and Post-Natal Obstetric</w:t>
      </w:r>
      <w:r w:rsidRPr="004A785B">
        <w:rPr>
          <w:rStyle w:val="FootnoteReference"/>
          <w:rFonts w:asciiTheme="minorHAnsi" w:eastAsiaTheme="minorHAnsi" w:hAnsiTheme="minorHAnsi" w:cstheme="minorBidi"/>
        </w:rPr>
        <w:footnoteReference w:id="18"/>
      </w:r>
    </w:p>
    <w:p w14:paraId="50AA4EBA" w14:textId="77777777" w:rsidR="00174B40" w:rsidRPr="00105FFC" w:rsidRDefault="00174B40" w:rsidP="00174B40">
      <w:pPr>
        <w:pStyle w:val="ListParagraph"/>
        <w:spacing w:line="276" w:lineRule="auto"/>
        <w:rPr>
          <w:rFonts w:asciiTheme="minorHAnsi" w:eastAsiaTheme="minorHAnsi" w:hAnsiTheme="minorHAnsi" w:cstheme="minorBidi"/>
        </w:rPr>
      </w:pPr>
    </w:p>
    <w:p w14:paraId="309B212B" w14:textId="77777777" w:rsidR="00DF2619" w:rsidRDefault="00DF2619" w:rsidP="00DF2619">
      <w:pPr>
        <w:pStyle w:val="Heading3"/>
        <w:spacing w:before="0"/>
      </w:pPr>
      <w:bookmarkStart w:id="407" w:name="_Toc459287767"/>
      <w:bookmarkStart w:id="408" w:name="_Toc457999609"/>
      <w:r w:rsidRPr="00105FFC">
        <w:t>Utilization Trends</w:t>
      </w:r>
      <w:bookmarkEnd w:id="407"/>
    </w:p>
    <w:p w14:paraId="4A54422A" w14:textId="77777777" w:rsidR="00EA4ED3" w:rsidRPr="00EA4ED3" w:rsidRDefault="00EA4ED3" w:rsidP="00EA4ED3"/>
    <w:p w14:paraId="1D7B3368" w14:textId="77777777" w:rsidR="00EA4ED3" w:rsidRPr="004A785B" w:rsidRDefault="00EA4ED3" w:rsidP="00EA4ED3">
      <w:pPr>
        <w:pStyle w:val="Heading4"/>
        <w:spacing w:before="0"/>
      </w:pPr>
      <w:r w:rsidRPr="004A785B">
        <w:t xml:space="preserve">Service Category </w:t>
      </w:r>
    </w:p>
    <w:p w14:paraId="1A6FD0B6" w14:textId="77777777" w:rsidR="00EA4ED3" w:rsidRPr="004A785B" w:rsidRDefault="00EA4ED3" w:rsidP="00EA4ED3">
      <w:pPr>
        <w:rPr>
          <w:rFonts w:asciiTheme="minorHAnsi" w:eastAsiaTheme="minorHAnsi" w:hAnsiTheme="minorHAnsi" w:cstheme="minorBidi"/>
          <w:b/>
          <w:bCs/>
          <w:sz w:val="20"/>
          <w:szCs w:val="20"/>
        </w:rPr>
      </w:pPr>
    </w:p>
    <w:p w14:paraId="4EA684DF" w14:textId="77777777" w:rsidR="00EA4ED3" w:rsidRPr="004A785B" w:rsidRDefault="00EA4ED3" w:rsidP="00EA4ED3">
      <w:pPr>
        <w:rPr>
          <w:rFonts w:asciiTheme="minorHAnsi" w:eastAsiaTheme="minorHAnsi" w:hAnsiTheme="minorHAnsi" w:cstheme="minorBidi"/>
          <w:bCs/>
        </w:rPr>
      </w:pPr>
      <w:r w:rsidRPr="004A785B">
        <w:rPr>
          <w:rFonts w:asciiTheme="minorHAnsi" w:eastAsiaTheme="minorHAnsi" w:hAnsiTheme="minorHAnsi" w:cstheme="minorBidi"/>
          <w:bCs/>
        </w:rPr>
        <w:t xml:space="preserve">The table below displays utilization for all service categories, statewide, for SFYs 2012-13, 2013-14, and 2014-15. The table lists the mean visit rate per 1,000 member months, minimum and maximum rates over the three-year baseline period, and the lower and upper confidence levels, for each service category.   </w:t>
      </w:r>
    </w:p>
    <w:p w14:paraId="65444609" w14:textId="77777777" w:rsidR="00EA4ED3" w:rsidRPr="004A785B" w:rsidRDefault="00EA4ED3" w:rsidP="00EA4ED3">
      <w:pPr>
        <w:rPr>
          <w:rFonts w:asciiTheme="minorHAnsi" w:eastAsiaTheme="minorHAnsi" w:hAnsiTheme="minorHAnsi" w:cstheme="minorBidi"/>
          <w:b/>
          <w:bCs/>
          <w:sz w:val="20"/>
          <w:szCs w:val="20"/>
        </w:rPr>
      </w:pPr>
    </w:p>
    <w:p w14:paraId="073FBE1C" w14:textId="77777777" w:rsidR="002E4F15" w:rsidRDefault="002E4F15">
      <w:pPr>
        <w:spacing w:after="200" w:line="276" w:lineRule="auto"/>
        <w:rPr>
          <w:rFonts w:asciiTheme="minorHAnsi" w:eastAsiaTheme="minorHAnsi" w:hAnsiTheme="minorHAnsi" w:cstheme="minorBidi"/>
          <w:b/>
          <w:bCs/>
          <w:sz w:val="20"/>
          <w:szCs w:val="20"/>
        </w:rPr>
      </w:pPr>
      <w:bookmarkStart w:id="409" w:name="_Toc459037246"/>
      <w:r>
        <w:rPr>
          <w:rFonts w:asciiTheme="minorHAnsi" w:eastAsiaTheme="minorHAnsi" w:hAnsiTheme="minorHAnsi" w:cstheme="minorBidi"/>
          <w:b/>
          <w:bCs/>
          <w:sz w:val="20"/>
          <w:szCs w:val="20"/>
        </w:rPr>
        <w:br w:type="page"/>
      </w:r>
    </w:p>
    <w:p w14:paraId="336CEECC" w14:textId="77777777" w:rsidR="00EA4ED3" w:rsidRPr="004A785B" w:rsidRDefault="00EA4ED3" w:rsidP="00EA4ED3">
      <w:pPr>
        <w:rPr>
          <w:rFonts w:asciiTheme="minorHAnsi" w:eastAsiaTheme="minorHAnsi" w:hAnsiTheme="minorHAnsi" w:cstheme="minorBidi"/>
          <w:bCs/>
          <w:sz w:val="20"/>
          <w:szCs w:val="20"/>
        </w:rPr>
      </w:pPr>
      <w:bookmarkStart w:id="410" w:name="_Toc459285185"/>
      <w:r w:rsidRPr="004A785B">
        <w:rPr>
          <w:rFonts w:asciiTheme="minorHAnsi" w:eastAsiaTheme="minorHAnsi" w:hAnsiTheme="minorHAnsi" w:cstheme="minorBidi"/>
          <w:b/>
          <w:bCs/>
          <w:sz w:val="20"/>
          <w:szCs w:val="20"/>
        </w:rPr>
        <w:t xml:space="preserve">Table </w:t>
      </w:r>
      <w:r w:rsidRPr="004A785B">
        <w:rPr>
          <w:rFonts w:asciiTheme="minorHAnsi" w:eastAsiaTheme="minorHAnsi" w:hAnsiTheme="minorHAnsi" w:cstheme="minorBidi"/>
          <w:b/>
          <w:bCs/>
          <w:sz w:val="20"/>
          <w:szCs w:val="20"/>
        </w:rPr>
        <w:fldChar w:fldCharType="begin"/>
      </w:r>
      <w:r w:rsidRPr="004A785B">
        <w:rPr>
          <w:rFonts w:asciiTheme="minorHAnsi" w:eastAsiaTheme="minorHAnsi" w:hAnsiTheme="minorHAnsi" w:cstheme="minorBidi"/>
          <w:b/>
          <w:bCs/>
          <w:sz w:val="20"/>
          <w:szCs w:val="20"/>
        </w:rPr>
        <w:instrText xml:space="preserve"> SEQ Table \* ARABIC </w:instrText>
      </w:r>
      <w:r w:rsidRPr="004A785B">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40</w:t>
      </w:r>
      <w:r w:rsidRPr="004A785B">
        <w:rPr>
          <w:rFonts w:asciiTheme="minorHAnsi" w:eastAsiaTheme="minorHAnsi" w:hAnsiTheme="minorHAnsi" w:cstheme="minorBidi"/>
          <w:b/>
          <w:bCs/>
          <w:sz w:val="20"/>
          <w:szCs w:val="20"/>
        </w:rPr>
        <w:fldChar w:fldCharType="end"/>
      </w:r>
      <w:r w:rsidRPr="004A785B">
        <w:rPr>
          <w:rFonts w:asciiTheme="minorHAnsi" w:eastAsiaTheme="minorHAnsi" w:hAnsiTheme="minorHAnsi" w:cstheme="minorBidi"/>
          <w:b/>
          <w:bCs/>
          <w:sz w:val="20"/>
          <w:szCs w:val="20"/>
        </w:rPr>
        <w:t xml:space="preserve">: </w:t>
      </w:r>
      <w:r w:rsidRPr="004A785B">
        <w:rPr>
          <w:rFonts w:asciiTheme="minorHAnsi" w:eastAsiaTheme="minorHAnsi" w:hAnsiTheme="minorHAnsi" w:cstheme="minorBidi"/>
          <w:bCs/>
          <w:sz w:val="20"/>
          <w:szCs w:val="20"/>
        </w:rPr>
        <w:t>Visit Rates by Service Category, Statewide, Per 1,000 Member Months in SFYs 2012-13, 2013-14 and 2014-15</w:t>
      </w:r>
      <w:bookmarkEnd w:id="409"/>
      <w:bookmarkEnd w:id="410"/>
    </w:p>
    <w:tbl>
      <w:tblPr>
        <w:tblW w:w="9360" w:type="dxa"/>
        <w:jc w:val="center"/>
        <w:tblLook w:val="04A0" w:firstRow="1" w:lastRow="0" w:firstColumn="1" w:lastColumn="0" w:noHBand="0" w:noVBand="1"/>
      </w:tblPr>
      <w:tblGrid>
        <w:gridCol w:w="1615"/>
        <w:gridCol w:w="1350"/>
        <w:gridCol w:w="1620"/>
        <w:gridCol w:w="1737"/>
        <w:gridCol w:w="1519"/>
        <w:gridCol w:w="1519"/>
      </w:tblGrid>
      <w:tr w:rsidR="00EA4ED3" w:rsidRPr="004A785B" w14:paraId="4B57C5F1" w14:textId="77777777" w:rsidTr="00EA4ED3">
        <w:trPr>
          <w:tblHeader/>
          <w:jc w:val="center"/>
        </w:trPr>
        <w:tc>
          <w:tcPr>
            <w:tcW w:w="0" w:type="auto"/>
            <w:tcBorders>
              <w:top w:val="single" w:sz="4" w:space="0" w:color="auto"/>
              <w:left w:val="single" w:sz="4" w:space="0" w:color="auto"/>
              <w:bottom w:val="nil"/>
              <w:right w:val="single" w:sz="4" w:space="0" w:color="auto"/>
            </w:tcBorders>
            <w:shd w:val="clear" w:color="000000" w:fill="EDF2F9"/>
            <w:vAlign w:val="center"/>
            <w:hideMark/>
          </w:tcPr>
          <w:p w14:paraId="7511CB8B"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Service Category</w:t>
            </w:r>
          </w:p>
        </w:tc>
        <w:tc>
          <w:tcPr>
            <w:tcW w:w="1350" w:type="dxa"/>
            <w:tcBorders>
              <w:top w:val="single" w:sz="4" w:space="0" w:color="auto"/>
              <w:left w:val="nil"/>
              <w:bottom w:val="nil"/>
              <w:right w:val="single" w:sz="4" w:space="0" w:color="auto"/>
            </w:tcBorders>
            <w:shd w:val="clear" w:color="000000" w:fill="EDF2F9"/>
            <w:vAlign w:val="center"/>
            <w:hideMark/>
          </w:tcPr>
          <w:p w14:paraId="46BA7F9E"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Mean rate per 1,000 MM</w:t>
            </w:r>
          </w:p>
        </w:tc>
        <w:tc>
          <w:tcPr>
            <w:tcW w:w="1620" w:type="dxa"/>
            <w:tcBorders>
              <w:top w:val="single" w:sz="4" w:space="0" w:color="auto"/>
              <w:left w:val="nil"/>
              <w:bottom w:val="nil"/>
              <w:right w:val="single" w:sz="4" w:space="0" w:color="auto"/>
            </w:tcBorders>
            <w:shd w:val="clear" w:color="000000" w:fill="EDF2F9"/>
            <w:vAlign w:val="center"/>
            <w:hideMark/>
          </w:tcPr>
          <w:p w14:paraId="7BBEAE6E"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Minimum Rate</w:t>
            </w:r>
          </w:p>
        </w:tc>
        <w:tc>
          <w:tcPr>
            <w:tcW w:w="1737" w:type="dxa"/>
            <w:tcBorders>
              <w:top w:val="single" w:sz="4" w:space="0" w:color="auto"/>
              <w:left w:val="nil"/>
              <w:bottom w:val="nil"/>
              <w:right w:val="single" w:sz="4" w:space="0" w:color="auto"/>
            </w:tcBorders>
            <w:shd w:val="clear" w:color="000000" w:fill="EDF2F9"/>
            <w:vAlign w:val="center"/>
            <w:hideMark/>
          </w:tcPr>
          <w:p w14:paraId="5D36B097"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Maximum Rate</w:t>
            </w:r>
          </w:p>
        </w:tc>
        <w:tc>
          <w:tcPr>
            <w:tcW w:w="1519" w:type="dxa"/>
            <w:tcBorders>
              <w:top w:val="single" w:sz="4" w:space="0" w:color="auto"/>
              <w:left w:val="nil"/>
              <w:bottom w:val="nil"/>
              <w:right w:val="single" w:sz="4" w:space="0" w:color="auto"/>
            </w:tcBorders>
            <w:shd w:val="clear" w:color="000000" w:fill="EDF2F9"/>
            <w:vAlign w:val="center"/>
            <w:hideMark/>
          </w:tcPr>
          <w:p w14:paraId="162169CC"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Lower Confidence Level</w:t>
            </w:r>
          </w:p>
        </w:tc>
        <w:tc>
          <w:tcPr>
            <w:tcW w:w="1519" w:type="dxa"/>
            <w:tcBorders>
              <w:top w:val="single" w:sz="4" w:space="0" w:color="auto"/>
              <w:left w:val="nil"/>
              <w:bottom w:val="nil"/>
              <w:right w:val="single" w:sz="4" w:space="0" w:color="auto"/>
            </w:tcBorders>
            <w:shd w:val="clear" w:color="000000" w:fill="EDF2F9"/>
            <w:vAlign w:val="center"/>
            <w:hideMark/>
          </w:tcPr>
          <w:p w14:paraId="1AE481E4"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Upper Confidence Level</w:t>
            </w:r>
          </w:p>
        </w:tc>
      </w:tr>
      <w:tr w:rsidR="00EA4ED3" w:rsidRPr="004A785B" w14:paraId="5406D3F4" w14:textId="77777777" w:rsidTr="00EA4ED3">
        <w:trPr>
          <w:trHeight w:val="528"/>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519EA6" w14:textId="77777777" w:rsidR="00EA4ED3" w:rsidRPr="004A785B" w:rsidRDefault="00EA4ED3" w:rsidP="00EA4ED3">
            <w:pPr>
              <w:rPr>
                <w:rFonts w:asciiTheme="minorHAnsi" w:hAnsiTheme="minorHAnsi" w:cs="Arial"/>
                <w:b/>
                <w:color w:val="000000"/>
                <w:sz w:val="20"/>
                <w:szCs w:val="20"/>
              </w:rPr>
            </w:pPr>
            <w:r w:rsidRPr="004A785B">
              <w:rPr>
                <w:rFonts w:asciiTheme="minorHAnsi" w:hAnsiTheme="minorHAnsi" w:cs="Arial"/>
                <w:b/>
                <w:color w:val="000000"/>
                <w:sz w:val="20"/>
                <w:szCs w:val="20"/>
              </w:rPr>
              <w:t>Primary Care</w:t>
            </w:r>
          </w:p>
        </w:tc>
        <w:tc>
          <w:tcPr>
            <w:tcW w:w="1350" w:type="dxa"/>
            <w:tcBorders>
              <w:top w:val="single" w:sz="4" w:space="0" w:color="auto"/>
              <w:left w:val="nil"/>
              <w:bottom w:val="single" w:sz="4" w:space="0" w:color="auto"/>
              <w:right w:val="single" w:sz="4" w:space="0" w:color="auto"/>
            </w:tcBorders>
            <w:shd w:val="clear" w:color="000000" w:fill="FFFFFF"/>
            <w:vAlign w:val="bottom"/>
            <w:hideMark/>
          </w:tcPr>
          <w:p w14:paraId="333FEF9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140.4</w:t>
            </w:r>
          </w:p>
        </w:tc>
        <w:tc>
          <w:tcPr>
            <w:tcW w:w="1620" w:type="dxa"/>
            <w:tcBorders>
              <w:top w:val="single" w:sz="4" w:space="0" w:color="auto"/>
              <w:left w:val="nil"/>
              <w:bottom w:val="single" w:sz="4" w:space="0" w:color="auto"/>
              <w:right w:val="single" w:sz="4" w:space="0" w:color="auto"/>
            </w:tcBorders>
            <w:shd w:val="clear" w:color="000000" w:fill="FFFFFF"/>
            <w:vAlign w:val="bottom"/>
            <w:hideMark/>
          </w:tcPr>
          <w:p w14:paraId="36D750E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92.9</w:t>
            </w:r>
          </w:p>
        </w:tc>
        <w:tc>
          <w:tcPr>
            <w:tcW w:w="1737" w:type="dxa"/>
            <w:tcBorders>
              <w:top w:val="single" w:sz="4" w:space="0" w:color="auto"/>
              <w:left w:val="nil"/>
              <w:bottom w:val="single" w:sz="4" w:space="0" w:color="auto"/>
              <w:right w:val="single" w:sz="4" w:space="0" w:color="auto"/>
            </w:tcBorders>
            <w:shd w:val="clear" w:color="000000" w:fill="FFFFFF"/>
            <w:vAlign w:val="bottom"/>
            <w:hideMark/>
          </w:tcPr>
          <w:p w14:paraId="7D481D46"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176.1</w:t>
            </w:r>
          </w:p>
        </w:tc>
        <w:tc>
          <w:tcPr>
            <w:tcW w:w="1519" w:type="dxa"/>
            <w:tcBorders>
              <w:top w:val="single" w:sz="4" w:space="0" w:color="auto"/>
              <w:left w:val="nil"/>
              <w:bottom w:val="single" w:sz="4" w:space="0" w:color="auto"/>
              <w:right w:val="single" w:sz="4" w:space="0" w:color="auto"/>
            </w:tcBorders>
            <w:shd w:val="clear" w:color="000000" w:fill="FFFFFF"/>
            <w:vAlign w:val="bottom"/>
            <w:hideMark/>
          </w:tcPr>
          <w:p w14:paraId="5297FD1E"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133.9</w:t>
            </w:r>
          </w:p>
        </w:tc>
        <w:tc>
          <w:tcPr>
            <w:tcW w:w="1519" w:type="dxa"/>
            <w:tcBorders>
              <w:top w:val="single" w:sz="4" w:space="0" w:color="auto"/>
              <w:left w:val="nil"/>
              <w:bottom w:val="single" w:sz="4" w:space="0" w:color="auto"/>
              <w:right w:val="single" w:sz="4" w:space="0" w:color="auto"/>
            </w:tcBorders>
            <w:shd w:val="clear" w:color="000000" w:fill="FFFFFF"/>
            <w:vAlign w:val="bottom"/>
            <w:hideMark/>
          </w:tcPr>
          <w:p w14:paraId="2BD636F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147.0</w:t>
            </w:r>
          </w:p>
        </w:tc>
      </w:tr>
      <w:tr w:rsidR="00EA4ED3" w:rsidRPr="004A785B" w14:paraId="50B55166" w14:textId="77777777" w:rsidTr="00EA4ED3">
        <w:trPr>
          <w:trHeight w:val="528"/>
          <w:tblHeade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4FE2304" w14:textId="77777777" w:rsidR="00EA4ED3" w:rsidRPr="004A785B" w:rsidRDefault="00EA4ED3" w:rsidP="00EA4ED3">
            <w:pPr>
              <w:rPr>
                <w:rFonts w:asciiTheme="minorHAnsi" w:hAnsiTheme="minorHAnsi" w:cs="Arial"/>
                <w:b/>
                <w:color w:val="000000"/>
                <w:sz w:val="20"/>
                <w:szCs w:val="20"/>
              </w:rPr>
            </w:pPr>
            <w:r w:rsidRPr="004A785B">
              <w:rPr>
                <w:rFonts w:asciiTheme="minorHAnsi" w:hAnsiTheme="minorHAnsi" w:cs="Arial"/>
                <w:b/>
                <w:color w:val="000000"/>
                <w:sz w:val="20"/>
                <w:szCs w:val="20"/>
              </w:rPr>
              <w:t>Behavioral Care</w:t>
            </w:r>
          </w:p>
        </w:tc>
        <w:tc>
          <w:tcPr>
            <w:tcW w:w="1350" w:type="dxa"/>
            <w:tcBorders>
              <w:top w:val="nil"/>
              <w:left w:val="nil"/>
              <w:bottom w:val="single" w:sz="4" w:space="0" w:color="auto"/>
              <w:right w:val="single" w:sz="4" w:space="0" w:color="auto"/>
            </w:tcBorders>
            <w:shd w:val="clear" w:color="000000" w:fill="FFFFFF"/>
            <w:vAlign w:val="bottom"/>
            <w:hideMark/>
          </w:tcPr>
          <w:p w14:paraId="44920F1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1.4</w:t>
            </w:r>
          </w:p>
        </w:tc>
        <w:tc>
          <w:tcPr>
            <w:tcW w:w="1620" w:type="dxa"/>
            <w:tcBorders>
              <w:top w:val="nil"/>
              <w:left w:val="nil"/>
              <w:bottom w:val="single" w:sz="4" w:space="0" w:color="auto"/>
              <w:right w:val="single" w:sz="4" w:space="0" w:color="auto"/>
            </w:tcBorders>
            <w:shd w:val="clear" w:color="000000" w:fill="FFFFFF"/>
            <w:vAlign w:val="bottom"/>
            <w:hideMark/>
          </w:tcPr>
          <w:p w14:paraId="3259DFD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0.9</w:t>
            </w:r>
          </w:p>
        </w:tc>
        <w:tc>
          <w:tcPr>
            <w:tcW w:w="1737" w:type="dxa"/>
            <w:tcBorders>
              <w:top w:val="nil"/>
              <w:left w:val="nil"/>
              <w:bottom w:val="single" w:sz="4" w:space="0" w:color="auto"/>
              <w:right w:val="single" w:sz="4" w:space="0" w:color="auto"/>
            </w:tcBorders>
            <w:shd w:val="clear" w:color="000000" w:fill="FFFFFF"/>
            <w:vAlign w:val="bottom"/>
            <w:hideMark/>
          </w:tcPr>
          <w:p w14:paraId="3CEDFA7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1.9</w:t>
            </w:r>
          </w:p>
        </w:tc>
        <w:tc>
          <w:tcPr>
            <w:tcW w:w="1519" w:type="dxa"/>
            <w:tcBorders>
              <w:top w:val="nil"/>
              <w:left w:val="nil"/>
              <w:bottom w:val="single" w:sz="4" w:space="0" w:color="auto"/>
              <w:right w:val="single" w:sz="4" w:space="0" w:color="auto"/>
            </w:tcBorders>
            <w:shd w:val="clear" w:color="000000" w:fill="FFFFFF"/>
            <w:vAlign w:val="bottom"/>
            <w:hideMark/>
          </w:tcPr>
          <w:p w14:paraId="10ADED7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1.3</w:t>
            </w:r>
          </w:p>
        </w:tc>
        <w:tc>
          <w:tcPr>
            <w:tcW w:w="1519" w:type="dxa"/>
            <w:tcBorders>
              <w:top w:val="nil"/>
              <w:left w:val="nil"/>
              <w:bottom w:val="single" w:sz="4" w:space="0" w:color="auto"/>
              <w:right w:val="single" w:sz="4" w:space="0" w:color="auto"/>
            </w:tcBorders>
            <w:shd w:val="clear" w:color="000000" w:fill="FFFFFF"/>
            <w:vAlign w:val="bottom"/>
            <w:hideMark/>
          </w:tcPr>
          <w:p w14:paraId="7B7B9FF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1.5</w:t>
            </w:r>
          </w:p>
        </w:tc>
      </w:tr>
      <w:tr w:rsidR="00EA4ED3" w:rsidRPr="004A785B" w14:paraId="54E54A0F" w14:textId="77777777" w:rsidTr="00EA4ED3">
        <w:trPr>
          <w:trHeight w:val="528"/>
          <w:tblHeade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700A193" w14:textId="77777777" w:rsidR="00EA4ED3" w:rsidRPr="004A785B" w:rsidRDefault="00EA4ED3" w:rsidP="00EA4ED3">
            <w:pPr>
              <w:rPr>
                <w:rFonts w:asciiTheme="minorHAnsi" w:hAnsiTheme="minorHAnsi" w:cs="Arial"/>
                <w:b/>
                <w:color w:val="000000"/>
                <w:sz w:val="20"/>
                <w:szCs w:val="20"/>
              </w:rPr>
            </w:pPr>
            <w:r w:rsidRPr="004A785B">
              <w:rPr>
                <w:rFonts w:asciiTheme="minorHAnsi" w:hAnsiTheme="minorHAnsi" w:cs="Arial"/>
                <w:b/>
                <w:color w:val="000000"/>
                <w:sz w:val="20"/>
                <w:szCs w:val="20"/>
              </w:rPr>
              <w:t>Home Health</w:t>
            </w:r>
          </w:p>
        </w:tc>
        <w:tc>
          <w:tcPr>
            <w:tcW w:w="1350" w:type="dxa"/>
            <w:tcBorders>
              <w:top w:val="nil"/>
              <w:left w:val="nil"/>
              <w:bottom w:val="single" w:sz="4" w:space="0" w:color="auto"/>
              <w:right w:val="single" w:sz="4" w:space="0" w:color="auto"/>
            </w:tcBorders>
            <w:shd w:val="clear" w:color="000000" w:fill="FFFFFF"/>
            <w:vAlign w:val="bottom"/>
            <w:hideMark/>
          </w:tcPr>
          <w:p w14:paraId="4E43775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1.6</w:t>
            </w:r>
          </w:p>
        </w:tc>
        <w:tc>
          <w:tcPr>
            <w:tcW w:w="1620" w:type="dxa"/>
            <w:tcBorders>
              <w:top w:val="nil"/>
              <w:left w:val="nil"/>
              <w:bottom w:val="single" w:sz="4" w:space="0" w:color="auto"/>
              <w:right w:val="single" w:sz="4" w:space="0" w:color="auto"/>
            </w:tcBorders>
            <w:shd w:val="clear" w:color="000000" w:fill="FFFFFF"/>
            <w:vAlign w:val="bottom"/>
            <w:hideMark/>
          </w:tcPr>
          <w:p w14:paraId="0D4636E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0.8</w:t>
            </w:r>
          </w:p>
        </w:tc>
        <w:tc>
          <w:tcPr>
            <w:tcW w:w="1737" w:type="dxa"/>
            <w:tcBorders>
              <w:top w:val="nil"/>
              <w:left w:val="nil"/>
              <w:bottom w:val="single" w:sz="4" w:space="0" w:color="auto"/>
              <w:right w:val="single" w:sz="4" w:space="0" w:color="auto"/>
            </w:tcBorders>
            <w:shd w:val="clear" w:color="000000" w:fill="FFFFFF"/>
            <w:vAlign w:val="bottom"/>
            <w:hideMark/>
          </w:tcPr>
          <w:p w14:paraId="59B3E2E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4.2</w:t>
            </w:r>
          </w:p>
        </w:tc>
        <w:tc>
          <w:tcPr>
            <w:tcW w:w="1519" w:type="dxa"/>
            <w:tcBorders>
              <w:top w:val="nil"/>
              <w:left w:val="nil"/>
              <w:bottom w:val="single" w:sz="4" w:space="0" w:color="auto"/>
              <w:right w:val="single" w:sz="4" w:space="0" w:color="auto"/>
            </w:tcBorders>
            <w:shd w:val="clear" w:color="000000" w:fill="FFFFFF"/>
            <w:vAlign w:val="bottom"/>
            <w:hideMark/>
          </w:tcPr>
          <w:p w14:paraId="651576BC"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1.2</w:t>
            </w:r>
          </w:p>
        </w:tc>
        <w:tc>
          <w:tcPr>
            <w:tcW w:w="1519" w:type="dxa"/>
            <w:tcBorders>
              <w:top w:val="nil"/>
              <w:left w:val="nil"/>
              <w:bottom w:val="single" w:sz="4" w:space="0" w:color="auto"/>
              <w:right w:val="single" w:sz="4" w:space="0" w:color="auto"/>
            </w:tcBorders>
            <w:shd w:val="clear" w:color="000000" w:fill="FFFFFF"/>
            <w:vAlign w:val="bottom"/>
            <w:hideMark/>
          </w:tcPr>
          <w:p w14:paraId="037905E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2.0</w:t>
            </w:r>
          </w:p>
        </w:tc>
      </w:tr>
      <w:tr w:rsidR="00EA4ED3" w:rsidRPr="004A785B" w14:paraId="1D0474A1" w14:textId="77777777" w:rsidTr="00EA4ED3">
        <w:trPr>
          <w:trHeight w:val="528"/>
          <w:tblHeade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57100A" w14:textId="77777777" w:rsidR="00EA4ED3" w:rsidRPr="004A785B" w:rsidRDefault="00EA4ED3" w:rsidP="00EA4ED3">
            <w:pPr>
              <w:rPr>
                <w:rFonts w:asciiTheme="minorHAnsi" w:hAnsiTheme="minorHAnsi" w:cs="Arial"/>
                <w:b/>
                <w:color w:val="000000"/>
                <w:sz w:val="20"/>
                <w:szCs w:val="20"/>
                <w:vertAlign w:val="superscript"/>
              </w:rPr>
            </w:pPr>
            <w:r w:rsidRPr="004A785B">
              <w:rPr>
                <w:rFonts w:asciiTheme="minorHAnsi" w:hAnsiTheme="minorHAnsi" w:cs="Arial"/>
                <w:b/>
                <w:color w:val="000000"/>
                <w:sz w:val="20"/>
                <w:szCs w:val="20"/>
              </w:rPr>
              <w:t>Pre-Post-natal</w:t>
            </w:r>
            <w:r w:rsidRPr="004A785B">
              <w:rPr>
                <w:rFonts w:asciiTheme="minorHAnsi" w:hAnsiTheme="minorHAnsi" w:cs="Arial"/>
                <w:b/>
                <w:color w:val="000000"/>
                <w:sz w:val="20"/>
                <w:szCs w:val="20"/>
                <w:vertAlign w:val="superscript"/>
              </w:rPr>
              <w:t>†</w:t>
            </w:r>
          </w:p>
        </w:tc>
        <w:tc>
          <w:tcPr>
            <w:tcW w:w="1350" w:type="dxa"/>
            <w:tcBorders>
              <w:top w:val="nil"/>
              <w:left w:val="nil"/>
              <w:bottom w:val="single" w:sz="4" w:space="0" w:color="auto"/>
              <w:right w:val="single" w:sz="4" w:space="0" w:color="auto"/>
            </w:tcBorders>
            <w:shd w:val="clear" w:color="000000" w:fill="FFFFFF"/>
            <w:vAlign w:val="bottom"/>
          </w:tcPr>
          <w:p w14:paraId="560F53B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294.9</w:t>
            </w:r>
          </w:p>
        </w:tc>
        <w:tc>
          <w:tcPr>
            <w:tcW w:w="1620" w:type="dxa"/>
            <w:tcBorders>
              <w:top w:val="nil"/>
              <w:left w:val="nil"/>
              <w:bottom w:val="single" w:sz="4" w:space="0" w:color="auto"/>
              <w:right w:val="single" w:sz="4" w:space="0" w:color="auto"/>
            </w:tcBorders>
            <w:shd w:val="clear" w:color="000000" w:fill="FFFFFF"/>
            <w:vAlign w:val="bottom"/>
          </w:tcPr>
          <w:p w14:paraId="250C0FC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178.2</w:t>
            </w:r>
          </w:p>
        </w:tc>
        <w:tc>
          <w:tcPr>
            <w:tcW w:w="1737" w:type="dxa"/>
            <w:tcBorders>
              <w:top w:val="nil"/>
              <w:left w:val="nil"/>
              <w:bottom w:val="single" w:sz="4" w:space="0" w:color="auto"/>
              <w:right w:val="single" w:sz="4" w:space="0" w:color="auto"/>
            </w:tcBorders>
            <w:shd w:val="clear" w:color="000000" w:fill="FFFFFF"/>
            <w:vAlign w:val="bottom"/>
          </w:tcPr>
          <w:p w14:paraId="5AC59C1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540.8</w:t>
            </w:r>
          </w:p>
        </w:tc>
        <w:tc>
          <w:tcPr>
            <w:tcW w:w="1519" w:type="dxa"/>
            <w:tcBorders>
              <w:top w:val="nil"/>
              <w:left w:val="nil"/>
              <w:bottom w:val="single" w:sz="4" w:space="0" w:color="auto"/>
              <w:right w:val="single" w:sz="4" w:space="0" w:color="auto"/>
            </w:tcBorders>
            <w:shd w:val="clear" w:color="000000" w:fill="FFFFFF"/>
            <w:vAlign w:val="bottom"/>
          </w:tcPr>
          <w:p w14:paraId="6A01AF36"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257.9</w:t>
            </w:r>
          </w:p>
        </w:tc>
        <w:tc>
          <w:tcPr>
            <w:tcW w:w="1519" w:type="dxa"/>
            <w:tcBorders>
              <w:top w:val="nil"/>
              <w:left w:val="nil"/>
              <w:bottom w:val="single" w:sz="4" w:space="0" w:color="auto"/>
              <w:right w:val="single" w:sz="4" w:space="0" w:color="auto"/>
            </w:tcBorders>
            <w:shd w:val="clear" w:color="000000" w:fill="FFFFFF"/>
            <w:vAlign w:val="bottom"/>
          </w:tcPr>
          <w:p w14:paraId="5DABA5CC"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331.9</w:t>
            </w:r>
          </w:p>
        </w:tc>
      </w:tr>
      <w:tr w:rsidR="00EA4ED3" w:rsidRPr="004A785B" w14:paraId="1FD43E0B" w14:textId="77777777" w:rsidTr="00EA4ED3">
        <w:trPr>
          <w:trHeight w:val="528"/>
          <w:tblHeade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EFAFF15" w14:textId="77777777" w:rsidR="00EA4ED3" w:rsidRPr="004A785B" w:rsidRDefault="00EA4ED3" w:rsidP="00EA4ED3">
            <w:pPr>
              <w:rPr>
                <w:rFonts w:asciiTheme="minorHAnsi" w:hAnsiTheme="minorHAnsi" w:cs="Arial"/>
                <w:b/>
                <w:color w:val="000000"/>
                <w:sz w:val="20"/>
                <w:szCs w:val="20"/>
              </w:rPr>
            </w:pPr>
            <w:r w:rsidRPr="004A785B">
              <w:rPr>
                <w:rFonts w:asciiTheme="minorHAnsi" w:hAnsiTheme="minorHAnsi" w:cs="Arial"/>
                <w:b/>
                <w:color w:val="000000"/>
                <w:sz w:val="20"/>
                <w:szCs w:val="20"/>
              </w:rPr>
              <w:t>Specialty Care</w:t>
            </w:r>
          </w:p>
        </w:tc>
        <w:tc>
          <w:tcPr>
            <w:tcW w:w="1350" w:type="dxa"/>
            <w:tcBorders>
              <w:top w:val="nil"/>
              <w:left w:val="nil"/>
              <w:bottom w:val="single" w:sz="4" w:space="0" w:color="auto"/>
              <w:right w:val="single" w:sz="4" w:space="0" w:color="auto"/>
            </w:tcBorders>
            <w:shd w:val="clear" w:color="000000" w:fill="FFFFFF"/>
            <w:vAlign w:val="bottom"/>
            <w:hideMark/>
          </w:tcPr>
          <w:p w14:paraId="0E18A41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64.5</w:t>
            </w:r>
          </w:p>
        </w:tc>
        <w:tc>
          <w:tcPr>
            <w:tcW w:w="1620" w:type="dxa"/>
            <w:tcBorders>
              <w:top w:val="nil"/>
              <w:left w:val="nil"/>
              <w:bottom w:val="single" w:sz="4" w:space="0" w:color="auto"/>
              <w:right w:val="single" w:sz="4" w:space="0" w:color="auto"/>
            </w:tcBorders>
            <w:shd w:val="clear" w:color="000000" w:fill="FFFFFF"/>
            <w:vAlign w:val="bottom"/>
            <w:hideMark/>
          </w:tcPr>
          <w:p w14:paraId="625CE46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51.6</w:t>
            </w:r>
          </w:p>
        </w:tc>
        <w:tc>
          <w:tcPr>
            <w:tcW w:w="1737" w:type="dxa"/>
            <w:tcBorders>
              <w:top w:val="nil"/>
              <w:left w:val="nil"/>
              <w:bottom w:val="single" w:sz="4" w:space="0" w:color="auto"/>
              <w:right w:val="single" w:sz="4" w:space="0" w:color="auto"/>
            </w:tcBorders>
            <w:shd w:val="clear" w:color="000000" w:fill="FFFFFF"/>
            <w:vAlign w:val="bottom"/>
            <w:hideMark/>
          </w:tcPr>
          <w:p w14:paraId="20B3CEB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77.0</w:t>
            </w:r>
          </w:p>
        </w:tc>
        <w:tc>
          <w:tcPr>
            <w:tcW w:w="1519" w:type="dxa"/>
            <w:tcBorders>
              <w:top w:val="nil"/>
              <w:left w:val="nil"/>
              <w:bottom w:val="single" w:sz="4" w:space="0" w:color="auto"/>
              <w:right w:val="single" w:sz="4" w:space="0" w:color="auto"/>
            </w:tcBorders>
            <w:shd w:val="clear" w:color="000000" w:fill="FFFFFF"/>
            <w:vAlign w:val="bottom"/>
            <w:hideMark/>
          </w:tcPr>
          <w:p w14:paraId="2D0D0C6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62.2</w:t>
            </w:r>
          </w:p>
        </w:tc>
        <w:tc>
          <w:tcPr>
            <w:tcW w:w="1519" w:type="dxa"/>
            <w:tcBorders>
              <w:top w:val="nil"/>
              <w:left w:val="nil"/>
              <w:bottom w:val="single" w:sz="4" w:space="0" w:color="auto"/>
              <w:right w:val="single" w:sz="4" w:space="0" w:color="auto"/>
            </w:tcBorders>
            <w:shd w:val="clear" w:color="000000" w:fill="FFFFFF"/>
            <w:vAlign w:val="bottom"/>
            <w:hideMark/>
          </w:tcPr>
          <w:p w14:paraId="68A1BCC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66.7</w:t>
            </w:r>
          </w:p>
        </w:tc>
      </w:tr>
    </w:tbl>
    <w:p w14:paraId="2C5CE95D" w14:textId="77777777" w:rsidR="00EA4ED3" w:rsidRPr="004A785B" w:rsidRDefault="00EA4ED3" w:rsidP="00EA4ED3">
      <w:pPr>
        <w:rPr>
          <w:rFonts w:asciiTheme="minorHAnsi" w:eastAsiaTheme="minorHAnsi" w:hAnsiTheme="minorHAnsi" w:cs="Tahoma"/>
          <w:sz w:val="16"/>
          <w:szCs w:val="16"/>
        </w:rPr>
      </w:pPr>
      <w:r w:rsidRPr="004A785B">
        <w:rPr>
          <w:rFonts w:asciiTheme="minorHAnsi" w:eastAsiaTheme="minorHAnsi" w:hAnsiTheme="minorHAnsi" w:cs="Tahoma"/>
          <w:b/>
          <w:sz w:val="16"/>
          <w:szCs w:val="16"/>
        </w:rPr>
        <w:t>Source:</w:t>
      </w:r>
      <w:r w:rsidRPr="004A785B">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provider, and enrollment tables.</w:t>
      </w:r>
    </w:p>
    <w:p w14:paraId="03716590" w14:textId="77777777" w:rsidR="00EA4ED3" w:rsidRPr="004A785B" w:rsidRDefault="00EA4ED3" w:rsidP="00EA4ED3">
      <w:r w:rsidRPr="004A785B">
        <w:rPr>
          <w:rFonts w:asciiTheme="minorHAnsi" w:eastAsiaTheme="minorHAnsi" w:hAnsiTheme="minorHAnsi" w:cs="Tahoma"/>
          <w:sz w:val="16"/>
          <w:szCs w:val="16"/>
          <w:vertAlign w:val="superscript"/>
        </w:rPr>
        <w:t>†</w:t>
      </w:r>
      <w:r w:rsidRPr="004A785B">
        <w:rPr>
          <w:rFonts w:asciiTheme="minorHAnsi" w:eastAsiaTheme="minorHAnsi" w:hAnsiTheme="minorHAnsi" w:cs="Tahoma"/>
          <w:sz w:val="16"/>
          <w:szCs w:val="16"/>
        </w:rPr>
        <w:t>The Pre-Post-natal service category includes services for women ages 15-44 enrolled in FFS for any length of period. It is not limited to only those women with at least 11 months of enrollment in FFS.</w:t>
      </w:r>
    </w:p>
    <w:p w14:paraId="3051F172" w14:textId="77777777" w:rsidR="00DF2619" w:rsidRDefault="00DF2619" w:rsidP="00DF2619">
      <w:pPr>
        <w:pStyle w:val="Heading3"/>
        <w:spacing w:before="0" w:line="276" w:lineRule="auto"/>
        <w:rPr>
          <w:sz w:val="24"/>
        </w:rPr>
      </w:pPr>
    </w:p>
    <w:p w14:paraId="52A87BBA" w14:textId="77777777" w:rsidR="00EA4ED3" w:rsidRPr="00EA4ED3" w:rsidRDefault="00EA4ED3" w:rsidP="00EA4ED3"/>
    <w:bookmarkEnd w:id="408"/>
    <w:p w14:paraId="249F7C31" w14:textId="77777777" w:rsidR="00EA4ED3" w:rsidRPr="004A785B" w:rsidRDefault="00EA4ED3" w:rsidP="00EA4ED3">
      <w:pPr>
        <w:pStyle w:val="Heading4"/>
        <w:spacing w:before="0"/>
      </w:pPr>
      <w:r w:rsidRPr="004A785B">
        <w:t>Service Category by Region</w:t>
      </w:r>
    </w:p>
    <w:p w14:paraId="156C33AD" w14:textId="77777777" w:rsidR="00EA4ED3" w:rsidRPr="004A785B" w:rsidRDefault="00EA4ED3" w:rsidP="00EA4ED3">
      <w:pPr>
        <w:rPr>
          <w:rFonts w:asciiTheme="minorHAnsi" w:eastAsiaTheme="minorHAnsi" w:hAnsiTheme="minorHAnsi" w:cstheme="minorBidi"/>
          <w:b/>
          <w:bCs/>
          <w:sz w:val="20"/>
          <w:szCs w:val="20"/>
        </w:rPr>
      </w:pPr>
    </w:p>
    <w:p w14:paraId="73073F73" w14:textId="77777777" w:rsidR="00EA4ED3" w:rsidRPr="004A785B" w:rsidRDefault="00EA4ED3" w:rsidP="00EA4ED3">
      <w:pPr>
        <w:rPr>
          <w:rFonts w:asciiTheme="minorHAnsi" w:eastAsiaTheme="minorHAnsi" w:hAnsiTheme="minorHAnsi" w:cstheme="minorBidi"/>
          <w:bCs/>
        </w:rPr>
      </w:pPr>
      <w:r w:rsidRPr="004A785B">
        <w:rPr>
          <w:rFonts w:asciiTheme="minorHAnsi" w:eastAsiaTheme="minorHAnsi" w:hAnsiTheme="minorHAnsi" w:cstheme="minorBidi"/>
          <w:bCs/>
        </w:rPr>
        <w:t xml:space="preserve">The table below displays utilization for all service categories, by region, for fiscal years 2012-13, 2013-14, and 2014-15. The table lists the mean visit rate per 1,000 member months, minimum and maximum rates over the three-year baseline period, and the lower and upper confidence levels, for each service category.   </w:t>
      </w:r>
    </w:p>
    <w:p w14:paraId="781A032E" w14:textId="77777777" w:rsidR="00EA4ED3" w:rsidRPr="004A785B" w:rsidRDefault="00EA4ED3" w:rsidP="00EA4ED3">
      <w:pPr>
        <w:rPr>
          <w:rFonts w:asciiTheme="minorHAnsi" w:eastAsiaTheme="minorHAnsi" w:hAnsiTheme="minorHAnsi" w:cstheme="minorBidi"/>
          <w:b/>
          <w:bCs/>
          <w:sz w:val="20"/>
          <w:szCs w:val="20"/>
        </w:rPr>
      </w:pPr>
    </w:p>
    <w:p w14:paraId="18F8E4D7" w14:textId="77777777" w:rsidR="00EA4ED3" w:rsidRPr="004A785B" w:rsidRDefault="00EA4ED3" w:rsidP="00EA4ED3">
      <w:pPr>
        <w:rPr>
          <w:rFonts w:asciiTheme="minorHAnsi" w:eastAsiaTheme="minorHAnsi" w:hAnsiTheme="minorHAnsi" w:cstheme="minorBidi"/>
          <w:bCs/>
          <w:sz w:val="20"/>
          <w:szCs w:val="20"/>
        </w:rPr>
      </w:pPr>
      <w:bookmarkStart w:id="411" w:name="_Toc457999828"/>
      <w:bookmarkStart w:id="412" w:name="_Toc459037247"/>
      <w:bookmarkStart w:id="413" w:name="_Toc459285186"/>
      <w:r w:rsidRPr="004A785B">
        <w:rPr>
          <w:rFonts w:asciiTheme="minorHAnsi" w:eastAsiaTheme="minorHAnsi" w:hAnsiTheme="minorHAnsi" w:cstheme="minorBidi"/>
          <w:b/>
          <w:bCs/>
          <w:sz w:val="20"/>
          <w:szCs w:val="20"/>
        </w:rPr>
        <w:t xml:space="preserve">Table </w:t>
      </w:r>
      <w:r w:rsidRPr="004A785B">
        <w:rPr>
          <w:rFonts w:asciiTheme="minorHAnsi" w:eastAsiaTheme="minorHAnsi" w:hAnsiTheme="minorHAnsi" w:cstheme="minorBidi"/>
          <w:b/>
          <w:bCs/>
          <w:sz w:val="20"/>
          <w:szCs w:val="20"/>
        </w:rPr>
        <w:fldChar w:fldCharType="begin"/>
      </w:r>
      <w:r w:rsidRPr="004A785B">
        <w:rPr>
          <w:rFonts w:asciiTheme="minorHAnsi" w:eastAsiaTheme="minorHAnsi" w:hAnsiTheme="minorHAnsi" w:cstheme="minorBidi"/>
          <w:b/>
          <w:bCs/>
          <w:sz w:val="20"/>
          <w:szCs w:val="20"/>
        </w:rPr>
        <w:instrText xml:space="preserve"> SEQ Table \* ARABIC </w:instrText>
      </w:r>
      <w:r w:rsidRPr="004A785B">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41</w:t>
      </w:r>
      <w:r w:rsidRPr="004A785B">
        <w:rPr>
          <w:rFonts w:asciiTheme="minorHAnsi" w:eastAsiaTheme="minorHAnsi" w:hAnsiTheme="minorHAnsi" w:cstheme="minorBidi"/>
          <w:b/>
          <w:bCs/>
          <w:sz w:val="20"/>
          <w:szCs w:val="20"/>
        </w:rPr>
        <w:fldChar w:fldCharType="end"/>
      </w:r>
      <w:r w:rsidRPr="004A785B">
        <w:rPr>
          <w:rFonts w:asciiTheme="minorHAnsi" w:eastAsiaTheme="minorHAnsi" w:hAnsiTheme="minorHAnsi" w:cstheme="minorBidi"/>
          <w:b/>
          <w:bCs/>
          <w:sz w:val="20"/>
          <w:szCs w:val="20"/>
        </w:rPr>
        <w:t xml:space="preserve">: </w:t>
      </w:r>
      <w:r w:rsidRPr="004A785B">
        <w:rPr>
          <w:rFonts w:asciiTheme="minorHAnsi" w:eastAsiaTheme="minorHAnsi" w:hAnsiTheme="minorHAnsi" w:cstheme="minorBidi"/>
          <w:bCs/>
          <w:sz w:val="20"/>
          <w:szCs w:val="20"/>
        </w:rPr>
        <w:t>Visit Rates by Service Category and Region Per 1,000 Member Months in SFYs 2012-13, 2013-14 and 2014-15</w:t>
      </w:r>
      <w:bookmarkEnd w:id="411"/>
      <w:bookmarkEnd w:id="412"/>
      <w:bookmarkEnd w:id="413"/>
    </w:p>
    <w:tbl>
      <w:tblPr>
        <w:tblW w:w="9360" w:type="dxa"/>
        <w:tblLayout w:type="fixed"/>
        <w:tblLook w:val="04A0" w:firstRow="1" w:lastRow="0" w:firstColumn="1" w:lastColumn="0" w:noHBand="0" w:noVBand="1"/>
      </w:tblPr>
      <w:tblGrid>
        <w:gridCol w:w="2120"/>
        <w:gridCol w:w="1655"/>
        <w:gridCol w:w="1103"/>
        <w:gridCol w:w="1030"/>
        <w:gridCol w:w="1064"/>
        <w:gridCol w:w="1194"/>
        <w:gridCol w:w="1194"/>
      </w:tblGrid>
      <w:tr w:rsidR="00EA4ED3" w:rsidRPr="004A785B" w14:paraId="1CD3D5DC" w14:textId="77777777" w:rsidTr="00EA4ED3">
        <w:trPr>
          <w:trHeight w:val="244"/>
          <w:tblHeader/>
        </w:trPr>
        <w:tc>
          <w:tcPr>
            <w:tcW w:w="2120" w:type="dxa"/>
            <w:vMerge w:val="restart"/>
            <w:tcBorders>
              <w:top w:val="single" w:sz="4" w:space="0" w:color="auto"/>
              <w:left w:val="single" w:sz="4" w:space="0" w:color="auto"/>
              <w:bottom w:val="single" w:sz="4" w:space="0" w:color="auto"/>
              <w:right w:val="single" w:sz="4" w:space="0" w:color="auto"/>
            </w:tcBorders>
            <w:shd w:val="clear" w:color="000000" w:fill="EDF2F9"/>
            <w:vAlign w:val="center"/>
            <w:hideMark/>
          </w:tcPr>
          <w:p w14:paraId="1F6FB997" w14:textId="77777777" w:rsidR="00EA4ED3" w:rsidRPr="004A785B" w:rsidRDefault="00EA4ED3" w:rsidP="00EA4ED3">
            <w:pPr>
              <w:jc w:val="center"/>
              <w:rPr>
                <w:rFonts w:ascii="Calibri" w:hAnsi="Calibri"/>
                <w:b/>
                <w:bCs/>
                <w:color w:val="112277"/>
                <w:sz w:val="20"/>
                <w:szCs w:val="20"/>
              </w:rPr>
            </w:pPr>
            <w:r w:rsidRPr="004A785B">
              <w:rPr>
                <w:rFonts w:ascii="Calibri" w:hAnsi="Calibri"/>
                <w:b/>
                <w:bCs/>
                <w:color w:val="112277"/>
                <w:sz w:val="20"/>
                <w:szCs w:val="20"/>
              </w:rPr>
              <w:t>Region</w:t>
            </w:r>
          </w:p>
        </w:tc>
        <w:tc>
          <w:tcPr>
            <w:tcW w:w="1655" w:type="dxa"/>
            <w:vMerge w:val="restart"/>
            <w:tcBorders>
              <w:top w:val="single" w:sz="4" w:space="0" w:color="auto"/>
              <w:left w:val="single" w:sz="4" w:space="0" w:color="auto"/>
              <w:bottom w:val="single" w:sz="4" w:space="0" w:color="auto"/>
              <w:right w:val="single" w:sz="4" w:space="0" w:color="auto"/>
            </w:tcBorders>
            <w:shd w:val="clear" w:color="000000" w:fill="EDF2F9"/>
            <w:vAlign w:val="center"/>
            <w:hideMark/>
          </w:tcPr>
          <w:p w14:paraId="1C2F9326" w14:textId="77777777" w:rsidR="00EA4ED3" w:rsidRPr="004A785B" w:rsidRDefault="00EA4ED3" w:rsidP="00EA4ED3">
            <w:pPr>
              <w:jc w:val="center"/>
              <w:rPr>
                <w:rFonts w:ascii="Calibri" w:hAnsi="Calibri"/>
                <w:b/>
                <w:bCs/>
                <w:color w:val="112277"/>
                <w:sz w:val="20"/>
                <w:szCs w:val="20"/>
              </w:rPr>
            </w:pPr>
            <w:r w:rsidRPr="004A785B">
              <w:rPr>
                <w:rFonts w:ascii="Calibri" w:hAnsi="Calibri"/>
                <w:b/>
                <w:bCs/>
                <w:color w:val="112277"/>
                <w:sz w:val="20"/>
                <w:szCs w:val="20"/>
              </w:rPr>
              <w:t>Service Category</w:t>
            </w:r>
          </w:p>
        </w:tc>
        <w:tc>
          <w:tcPr>
            <w:tcW w:w="1103" w:type="dxa"/>
            <w:vMerge w:val="restart"/>
            <w:tcBorders>
              <w:top w:val="single" w:sz="4" w:space="0" w:color="auto"/>
              <w:left w:val="single" w:sz="4" w:space="0" w:color="auto"/>
              <w:bottom w:val="single" w:sz="4" w:space="0" w:color="auto"/>
              <w:right w:val="single" w:sz="4" w:space="0" w:color="auto"/>
            </w:tcBorders>
            <w:shd w:val="clear" w:color="000000" w:fill="EDF2F9"/>
            <w:vAlign w:val="center"/>
            <w:hideMark/>
          </w:tcPr>
          <w:p w14:paraId="682CE29B" w14:textId="77777777" w:rsidR="00EA4ED3" w:rsidRPr="004A785B" w:rsidRDefault="00EA4ED3" w:rsidP="00EA4ED3">
            <w:pPr>
              <w:jc w:val="center"/>
              <w:rPr>
                <w:rFonts w:ascii="Calibri" w:hAnsi="Calibri"/>
                <w:b/>
                <w:bCs/>
                <w:color w:val="112277"/>
                <w:sz w:val="20"/>
                <w:szCs w:val="20"/>
              </w:rPr>
            </w:pPr>
            <w:r w:rsidRPr="004A785B">
              <w:rPr>
                <w:rFonts w:ascii="Calibri" w:hAnsi="Calibri"/>
                <w:b/>
                <w:bCs/>
                <w:color w:val="112277"/>
                <w:sz w:val="20"/>
                <w:szCs w:val="20"/>
              </w:rPr>
              <w:t xml:space="preserve"> Mean rate per 1,000 MM  </w:t>
            </w:r>
          </w:p>
        </w:tc>
        <w:tc>
          <w:tcPr>
            <w:tcW w:w="1030" w:type="dxa"/>
            <w:vMerge w:val="restart"/>
            <w:tcBorders>
              <w:top w:val="single" w:sz="4" w:space="0" w:color="auto"/>
              <w:left w:val="single" w:sz="4" w:space="0" w:color="auto"/>
              <w:bottom w:val="single" w:sz="4" w:space="0" w:color="auto"/>
              <w:right w:val="single" w:sz="4" w:space="0" w:color="auto"/>
            </w:tcBorders>
            <w:shd w:val="clear" w:color="000000" w:fill="EDF2F9"/>
            <w:vAlign w:val="center"/>
            <w:hideMark/>
          </w:tcPr>
          <w:p w14:paraId="1CFE514B" w14:textId="77777777" w:rsidR="00EA4ED3" w:rsidRPr="004A785B" w:rsidRDefault="00EA4ED3" w:rsidP="00EA4ED3">
            <w:pPr>
              <w:jc w:val="center"/>
              <w:rPr>
                <w:rFonts w:ascii="Calibri" w:hAnsi="Calibri"/>
                <w:b/>
                <w:bCs/>
                <w:color w:val="112277"/>
                <w:sz w:val="20"/>
                <w:szCs w:val="20"/>
              </w:rPr>
            </w:pPr>
            <w:r w:rsidRPr="004A785B">
              <w:rPr>
                <w:rFonts w:ascii="Calibri" w:hAnsi="Calibri"/>
                <w:b/>
                <w:bCs/>
                <w:color w:val="112277"/>
                <w:sz w:val="20"/>
                <w:szCs w:val="20"/>
              </w:rPr>
              <w:t xml:space="preserve"> Minimum Rate </w:t>
            </w:r>
          </w:p>
        </w:tc>
        <w:tc>
          <w:tcPr>
            <w:tcW w:w="1064" w:type="dxa"/>
            <w:vMerge w:val="restart"/>
            <w:tcBorders>
              <w:top w:val="single" w:sz="4" w:space="0" w:color="auto"/>
              <w:left w:val="single" w:sz="4" w:space="0" w:color="auto"/>
              <w:bottom w:val="single" w:sz="4" w:space="0" w:color="auto"/>
              <w:right w:val="single" w:sz="4" w:space="0" w:color="auto"/>
            </w:tcBorders>
            <w:shd w:val="clear" w:color="000000" w:fill="EDF2F9"/>
            <w:vAlign w:val="center"/>
            <w:hideMark/>
          </w:tcPr>
          <w:p w14:paraId="63815CD2" w14:textId="77777777" w:rsidR="00EA4ED3" w:rsidRPr="004A785B" w:rsidRDefault="00EA4ED3" w:rsidP="00EA4ED3">
            <w:pPr>
              <w:jc w:val="center"/>
              <w:rPr>
                <w:rFonts w:ascii="Calibri" w:hAnsi="Calibri"/>
                <w:b/>
                <w:bCs/>
                <w:color w:val="112277"/>
                <w:sz w:val="20"/>
                <w:szCs w:val="20"/>
              </w:rPr>
            </w:pPr>
            <w:r w:rsidRPr="004A785B">
              <w:rPr>
                <w:rFonts w:ascii="Calibri" w:hAnsi="Calibri"/>
                <w:b/>
                <w:bCs/>
                <w:color w:val="112277"/>
                <w:sz w:val="20"/>
                <w:szCs w:val="20"/>
              </w:rPr>
              <w:t xml:space="preserve"> Maximum Rate </w:t>
            </w:r>
          </w:p>
        </w:tc>
        <w:tc>
          <w:tcPr>
            <w:tcW w:w="1194" w:type="dxa"/>
            <w:vMerge w:val="restart"/>
            <w:tcBorders>
              <w:top w:val="single" w:sz="4" w:space="0" w:color="auto"/>
              <w:left w:val="single" w:sz="4" w:space="0" w:color="auto"/>
              <w:bottom w:val="single" w:sz="4" w:space="0" w:color="auto"/>
              <w:right w:val="single" w:sz="4" w:space="0" w:color="auto"/>
            </w:tcBorders>
            <w:shd w:val="clear" w:color="000000" w:fill="EDF2F9"/>
            <w:vAlign w:val="center"/>
            <w:hideMark/>
          </w:tcPr>
          <w:p w14:paraId="74D2D56E" w14:textId="77777777" w:rsidR="00EA4ED3" w:rsidRPr="004A785B" w:rsidRDefault="00EA4ED3" w:rsidP="00EA4ED3">
            <w:pPr>
              <w:jc w:val="center"/>
              <w:rPr>
                <w:rFonts w:ascii="Calibri" w:hAnsi="Calibri"/>
                <w:b/>
                <w:bCs/>
                <w:color w:val="112277"/>
                <w:sz w:val="20"/>
                <w:szCs w:val="20"/>
              </w:rPr>
            </w:pPr>
            <w:r w:rsidRPr="004A785B">
              <w:rPr>
                <w:rFonts w:ascii="Calibri" w:hAnsi="Calibri"/>
                <w:b/>
                <w:bCs/>
                <w:color w:val="112277"/>
                <w:sz w:val="20"/>
                <w:szCs w:val="20"/>
              </w:rPr>
              <w:t xml:space="preserve"> Lower Confidence Level </w:t>
            </w:r>
          </w:p>
        </w:tc>
        <w:tc>
          <w:tcPr>
            <w:tcW w:w="1194" w:type="dxa"/>
            <w:vMerge w:val="restart"/>
            <w:tcBorders>
              <w:top w:val="single" w:sz="4" w:space="0" w:color="auto"/>
              <w:left w:val="single" w:sz="4" w:space="0" w:color="auto"/>
              <w:bottom w:val="single" w:sz="4" w:space="0" w:color="auto"/>
              <w:right w:val="single" w:sz="4" w:space="0" w:color="auto"/>
            </w:tcBorders>
            <w:shd w:val="clear" w:color="000000" w:fill="EDF2F9"/>
            <w:vAlign w:val="center"/>
            <w:hideMark/>
          </w:tcPr>
          <w:p w14:paraId="5752C170" w14:textId="77777777" w:rsidR="00EA4ED3" w:rsidRPr="004A785B" w:rsidRDefault="00EA4ED3" w:rsidP="00EA4ED3">
            <w:pPr>
              <w:jc w:val="center"/>
              <w:rPr>
                <w:rFonts w:ascii="Calibri" w:hAnsi="Calibri"/>
                <w:b/>
                <w:bCs/>
                <w:color w:val="112277"/>
                <w:sz w:val="20"/>
                <w:szCs w:val="20"/>
              </w:rPr>
            </w:pPr>
            <w:r w:rsidRPr="004A785B">
              <w:rPr>
                <w:rFonts w:ascii="Calibri" w:hAnsi="Calibri"/>
                <w:b/>
                <w:bCs/>
                <w:color w:val="112277"/>
                <w:sz w:val="20"/>
                <w:szCs w:val="20"/>
              </w:rPr>
              <w:t xml:space="preserve"> Upper Confidence Level </w:t>
            </w:r>
          </w:p>
        </w:tc>
      </w:tr>
      <w:tr w:rsidR="00EA4ED3" w:rsidRPr="004A785B" w14:paraId="03E2A015" w14:textId="77777777" w:rsidTr="00EA4ED3">
        <w:trPr>
          <w:trHeight w:val="244"/>
        </w:trPr>
        <w:tc>
          <w:tcPr>
            <w:tcW w:w="2120" w:type="dxa"/>
            <w:vMerge/>
            <w:tcBorders>
              <w:top w:val="single" w:sz="4" w:space="0" w:color="auto"/>
              <w:left w:val="single" w:sz="4" w:space="0" w:color="auto"/>
              <w:bottom w:val="single" w:sz="4" w:space="0" w:color="auto"/>
              <w:right w:val="single" w:sz="4" w:space="0" w:color="auto"/>
            </w:tcBorders>
            <w:vAlign w:val="center"/>
            <w:hideMark/>
          </w:tcPr>
          <w:p w14:paraId="05C0092E" w14:textId="77777777" w:rsidR="00EA4ED3" w:rsidRPr="004A785B" w:rsidRDefault="00EA4ED3" w:rsidP="00EA4ED3">
            <w:pPr>
              <w:rPr>
                <w:rFonts w:ascii="Calibri" w:hAnsi="Calibri"/>
                <w:b/>
                <w:bCs/>
                <w:color w:val="112277"/>
                <w:sz w:val="20"/>
                <w:szCs w:val="20"/>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332CDC4A" w14:textId="77777777" w:rsidR="00EA4ED3" w:rsidRPr="004A785B" w:rsidRDefault="00EA4ED3" w:rsidP="00EA4ED3">
            <w:pPr>
              <w:rPr>
                <w:rFonts w:ascii="Calibri" w:hAnsi="Calibri"/>
                <w:b/>
                <w:bCs/>
                <w:color w:val="112277"/>
                <w:sz w:val="20"/>
                <w:szCs w:val="20"/>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5B0BCDA9" w14:textId="77777777" w:rsidR="00EA4ED3" w:rsidRPr="004A785B" w:rsidRDefault="00EA4ED3" w:rsidP="00EA4ED3">
            <w:pPr>
              <w:rPr>
                <w:rFonts w:ascii="Calibri" w:hAnsi="Calibri"/>
                <w:b/>
                <w:bCs/>
                <w:color w:val="112277"/>
                <w:sz w:val="20"/>
                <w:szCs w:val="20"/>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6EDDB0DF" w14:textId="77777777" w:rsidR="00EA4ED3" w:rsidRPr="004A785B" w:rsidRDefault="00EA4ED3" w:rsidP="00EA4ED3">
            <w:pPr>
              <w:rPr>
                <w:rFonts w:ascii="Calibri" w:hAnsi="Calibri"/>
                <w:b/>
                <w:bCs/>
                <w:color w:val="112277"/>
                <w:sz w:val="20"/>
                <w:szCs w:val="20"/>
              </w:rPr>
            </w:pPr>
          </w:p>
        </w:tc>
        <w:tc>
          <w:tcPr>
            <w:tcW w:w="1064" w:type="dxa"/>
            <w:vMerge/>
            <w:tcBorders>
              <w:top w:val="single" w:sz="4" w:space="0" w:color="auto"/>
              <w:left w:val="single" w:sz="4" w:space="0" w:color="auto"/>
              <w:bottom w:val="single" w:sz="4" w:space="0" w:color="auto"/>
              <w:right w:val="single" w:sz="4" w:space="0" w:color="auto"/>
            </w:tcBorders>
            <w:vAlign w:val="center"/>
            <w:hideMark/>
          </w:tcPr>
          <w:p w14:paraId="49D74B1B" w14:textId="77777777" w:rsidR="00EA4ED3" w:rsidRPr="004A785B" w:rsidRDefault="00EA4ED3" w:rsidP="00EA4ED3">
            <w:pPr>
              <w:rPr>
                <w:rFonts w:ascii="Calibri" w:hAnsi="Calibri"/>
                <w:b/>
                <w:bCs/>
                <w:color w:val="112277"/>
                <w:sz w:val="20"/>
                <w:szCs w:val="20"/>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63691A75" w14:textId="77777777" w:rsidR="00EA4ED3" w:rsidRPr="004A785B" w:rsidRDefault="00EA4ED3" w:rsidP="00EA4ED3">
            <w:pPr>
              <w:rPr>
                <w:rFonts w:ascii="Calibri" w:hAnsi="Calibri"/>
                <w:b/>
                <w:bCs/>
                <w:color w:val="112277"/>
                <w:sz w:val="20"/>
                <w:szCs w:val="20"/>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5228D790" w14:textId="77777777" w:rsidR="00EA4ED3" w:rsidRPr="004A785B" w:rsidRDefault="00EA4ED3" w:rsidP="00EA4ED3">
            <w:pPr>
              <w:rPr>
                <w:rFonts w:ascii="Calibri" w:hAnsi="Calibri"/>
                <w:b/>
                <w:bCs/>
                <w:color w:val="112277"/>
                <w:sz w:val="20"/>
                <w:szCs w:val="20"/>
              </w:rPr>
            </w:pPr>
          </w:p>
        </w:tc>
      </w:tr>
      <w:tr w:rsidR="00EA4ED3" w:rsidRPr="004A785B" w14:paraId="09D87BF6" w14:textId="77777777" w:rsidTr="00EA4ED3">
        <w:tc>
          <w:tcPr>
            <w:tcW w:w="21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240745" w14:textId="77777777" w:rsidR="00EA4ED3" w:rsidRPr="004A785B" w:rsidRDefault="00EA4ED3" w:rsidP="00EA4ED3">
            <w:pPr>
              <w:jc w:val="center"/>
              <w:rPr>
                <w:rFonts w:ascii="Calibri" w:hAnsi="Calibri"/>
                <w:b/>
                <w:color w:val="000000"/>
                <w:sz w:val="20"/>
                <w:szCs w:val="20"/>
              </w:rPr>
            </w:pPr>
            <w:r w:rsidRPr="004A785B">
              <w:rPr>
                <w:rFonts w:ascii="Calibri" w:hAnsi="Calibri"/>
                <w:b/>
                <w:color w:val="000000"/>
                <w:sz w:val="20"/>
                <w:szCs w:val="20"/>
              </w:rPr>
              <w:t>Bay Area</w:t>
            </w:r>
          </w:p>
        </w:tc>
        <w:tc>
          <w:tcPr>
            <w:tcW w:w="1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379A0B"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Primary Care</w:t>
            </w:r>
          </w:p>
        </w:tc>
        <w:tc>
          <w:tcPr>
            <w:tcW w:w="1103" w:type="dxa"/>
            <w:tcBorders>
              <w:top w:val="single" w:sz="4" w:space="0" w:color="auto"/>
              <w:left w:val="nil"/>
              <w:bottom w:val="single" w:sz="4" w:space="0" w:color="auto"/>
              <w:right w:val="single" w:sz="4" w:space="0" w:color="auto"/>
            </w:tcBorders>
            <w:shd w:val="clear" w:color="000000" w:fill="FFFFFF"/>
            <w:vAlign w:val="center"/>
            <w:hideMark/>
          </w:tcPr>
          <w:p w14:paraId="351D3F6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91.3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14:paraId="3E16677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67.5 </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14:paraId="7C8B8B7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105.2 </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14:paraId="1072CC52"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87.8 </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14:paraId="1F15292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94.9 </w:t>
            </w:r>
          </w:p>
        </w:tc>
      </w:tr>
      <w:tr w:rsidR="00EA4ED3" w:rsidRPr="004A785B" w14:paraId="415D5FAB" w14:textId="77777777" w:rsidTr="00EA4ED3">
        <w:tc>
          <w:tcPr>
            <w:tcW w:w="2120" w:type="dxa"/>
            <w:vMerge/>
            <w:tcBorders>
              <w:top w:val="single" w:sz="4" w:space="0" w:color="auto"/>
              <w:left w:val="single" w:sz="4" w:space="0" w:color="auto"/>
              <w:bottom w:val="single" w:sz="4" w:space="0" w:color="auto"/>
              <w:right w:val="single" w:sz="4" w:space="0" w:color="auto"/>
            </w:tcBorders>
            <w:vAlign w:val="center"/>
            <w:hideMark/>
          </w:tcPr>
          <w:p w14:paraId="51184816" w14:textId="77777777" w:rsidR="00EA4ED3" w:rsidRPr="004A785B" w:rsidRDefault="00EA4ED3" w:rsidP="00EA4ED3">
            <w:pPr>
              <w:jc w:val="center"/>
              <w:rPr>
                <w:rFonts w:ascii="Calibri" w:hAnsi="Calibri"/>
                <w:color w:val="000000"/>
                <w:sz w:val="20"/>
                <w:szCs w:val="20"/>
              </w:rPr>
            </w:pPr>
          </w:p>
        </w:tc>
        <w:tc>
          <w:tcPr>
            <w:tcW w:w="1655" w:type="dxa"/>
            <w:tcBorders>
              <w:top w:val="nil"/>
              <w:left w:val="single" w:sz="4" w:space="0" w:color="auto"/>
              <w:bottom w:val="single" w:sz="4" w:space="0" w:color="auto"/>
              <w:right w:val="single" w:sz="4" w:space="0" w:color="auto"/>
            </w:tcBorders>
            <w:shd w:val="clear" w:color="000000" w:fill="FFFFFF"/>
            <w:vAlign w:val="center"/>
            <w:hideMark/>
          </w:tcPr>
          <w:p w14:paraId="2B9244EB"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Behavioral Care</w:t>
            </w:r>
          </w:p>
        </w:tc>
        <w:tc>
          <w:tcPr>
            <w:tcW w:w="1103" w:type="dxa"/>
            <w:tcBorders>
              <w:top w:val="nil"/>
              <w:left w:val="nil"/>
              <w:bottom w:val="single" w:sz="4" w:space="0" w:color="auto"/>
              <w:right w:val="single" w:sz="4" w:space="0" w:color="auto"/>
            </w:tcBorders>
            <w:shd w:val="clear" w:color="000000" w:fill="FFFFFF"/>
            <w:vAlign w:val="center"/>
            <w:hideMark/>
          </w:tcPr>
          <w:p w14:paraId="256AA57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0.4 </w:t>
            </w:r>
          </w:p>
        </w:tc>
        <w:tc>
          <w:tcPr>
            <w:tcW w:w="1030" w:type="dxa"/>
            <w:tcBorders>
              <w:top w:val="nil"/>
              <w:left w:val="nil"/>
              <w:bottom w:val="single" w:sz="4" w:space="0" w:color="auto"/>
              <w:right w:val="single" w:sz="4" w:space="0" w:color="auto"/>
            </w:tcBorders>
            <w:shd w:val="clear" w:color="000000" w:fill="FFFFFF"/>
            <w:vAlign w:val="center"/>
            <w:hideMark/>
          </w:tcPr>
          <w:p w14:paraId="0759B12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0.3 </w:t>
            </w:r>
          </w:p>
        </w:tc>
        <w:tc>
          <w:tcPr>
            <w:tcW w:w="1064" w:type="dxa"/>
            <w:tcBorders>
              <w:top w:val="nil"/>
              <w:left w:val="nil"/>
              <w:bottom w:val="single" w:sz="4" w:space="0" w:color="auto"/>
              <w:right w:val="single" w:sz="4" w:space="0" w:color="auto"/>
            </w:tcBorders>
            <w:shd w:val="clear" w:color="000000" w:fill="FFFFFF"/>
            <w:vAlign w:val="center"/>
            <w:hideMark/>
          </w:tcPr>
          <w:p w14:paraId="16ECE0A2"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0.6 </w:t>
            </w:r>
          </w:p>
        </w:tc>
        <w:tc>
          <w:tcPr>
            <w:tcW w:w="1194" w:type="dxa"/>
            <w:tcBorders>
              <w:top w:val="nil"/>
              <w:left w:val="nil"/>
              <w:bottom w:val="single" w:sz="4" w:space="0" w:color="auto"/>
              <w:right w:val="single" w:sz="4" w:space="0" w:color="auto"/>
            </w:tcBorders>
            <w:shd w:val="clear" w:color="000000" w:fill="FFFFFF"/>
            <w:vAlign w:val="center"/>
            <w:hideMark/>
          </w:tcPr>
          <w:p w14:paraId="18726FA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0.4 </w:t>
            </w:r>
          </w:p>
        </w:tc>
        <w:tc>
          <w:tcPr>
            <w:tcW w:w="1194" w:type="dxa"/>
            <w:tcBorders>
              <w:top w:val="nil"/>
              <w:left w:val="nil"/>
              <w:bottom w:val="single" w:sz="4" w:space="0" w:color="auto"/>
              <w:right w:val="single" w:sz="4" w:space="0" w:color="auto"/>
            </w:tcBorders>
            <w:shd w:val="clear" w:color="000000" w:fill="FFFFFF"/>
            <w:vAlign w:val="center"/>
            <w:hideMark/>
          </w:tcPr>
          <w:p w14:paraId="7933555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0.4 </w:t>
            </w:r>
          </w:p>
        </w:tc>
      </w:tr>
      <w:tr w:rsidR="00EA4ED3" w:rsidRPr="004A785B" w14:paraId="577183E3" w14:textId="77777777" w:rsidTr="00EA4ED3">
        <w:tc>
          <w:tcPr>
            <w:tcW w:w="2120" w:type="dxa"/>
            <w:vMerge/>
            <w:tcBorders>
              <w:top w:val="single" w:sz="4" w:space="0" w:color="auto"/>
              <w:left w:val="single" w:sz="4" w:space="0" w:color="auto"/>
              <w:bottom w:val="single" w:sz="4" w:space="0" w:color="auto"/>
              <w:right w:val="single" w:sz="4" w:space="0" w:color="auto"/>
            </w:tcBorders>
            <w:vAlign w:val="center"/>
            <w:hideMark/>
          </w:tcPr>
          <w:p w14:paraId="362BE92E" w14:textId="77777777" w:rsidR="00EA4ED3" w:rsidRPr="004A785B" w:rsidRDefault="00EA4ED3" w:rsidP="00EA4ED3">
            <w:pPr>
              <w:jc w:val="center"/>
              <w:rPr>
                <w:rFonts w:ascii="Calibri" w:hAnsi="Calibri"/>
                <w:color w:val="000000"/>
                <w:sz w:val="20"/>
                <w:szCs w:val="20"/>
              </w:rPr>
            </w:pPr>
          </w:p>
        </w:tc>
        <w:tc>
          <w:tcPr>
            <w:tcW w:w="1655" w:type="dxa"/>
            <w:tcBorders>
              <w:top w:val="nil"/>
              <w:left w:val="single" w:sz="4" w:space="0" w:color="auto"/>
              <w:bottom w:val="single" w:sz="4" w:space="0" w:color="auto"/>
              <w:right w:val="single" w:sz="4" w:space="0" w:color="auto"/>
            </w:tcBorders>
            <w:shd w:val="clear" w:color="000000" w:fill="FFFFFF"/>
            <w:vAlign w:val="center"/>
            <w:hideMark/>
          </w:tcPr>
          <w:p w14:paraId="4D9D5D2E"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Home Health</w:t>
            </w:r>
          </w:p>
        </w:tc>
        <w:tc>
          <w:tcPr>
            <w:tcW w:w="1103" w:type="dxa"/>
            <w:tcBorders>
              <w:top w:val="nil"/>
              <w:left w:val="nil"/>
              <w:bottom w:val="single" w:sz="4" w:space="0" w:color="auto"/>
              <w:right w:val="single" w:sz="4" w:space="0" w:color="auto"/>
            </w:tcBorders>
            <w:shd w:val="clear" w:color="000000" w:fill="FFFFFF"/>
            <w:vAlign w:val="center"/>
            <w:hideMark/>
          </w:tcPr>
          <w:p w14:paraId="290C94E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0.8 </w:t>
            </w:r>
          </w:p>
        </w:tc>
        <w:tc>
          <w:tcPr>
            <w:tcW w:w="1030" w:type="dxa"/>
            <w:tcBorders>
              <w:top w:val="nil"/>
              <w:left w:val="nil"/>
              <w:bottom w:val="single" w:sz="4" w:space="0" w:color="auto"/>
              <w:right w:val="single" w:sz="4" w:space="0" w:color="auto"/>
            </w:tcBorders>
            <w:shd w:val="clear" w:color="000000" w:fill="FFFFFF"/>
            <w:vAlign w:val="center"/>
            <w:hideMark/>
          </w:tcPr>
          <w:p w14:paraId="62B8A6D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0.2 </w:t>
            </w:r>
          </w:p>
        </w:tc>
        <w:tc>
          <w:tcPr>
            <w:tcW w:w="1064" w:type="dxa"/>
            <w:tcBorders>
              <w:top w:val="nil"/>
              <w:left w:val="nil"/>
              <w:bottom w:val="single" w:sz="4" w:space="0" w:color="auto"/>
              <w:right w:val="single" w:sz="4" w:space="0" w:color="auto"/>
            </w:tcBorders>
            <w:shd w:val="clear" w:color="000000" w:fill="FFFFFF"/>
            <w:vAlign w:val="center"/>
            <w:hideMark/>
          </w:tcPr>
          <w:p w14:paraId="60E6B41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2.5 </w:t>
            </w:r>
          </w:p>
        </w:tc>
        <w:tc>
          <w:tcPr>
            <w:tcW w:w="1194" w:type="dxa"/>
            <w:tcBorders>
              <w:top w:val="nil"/>
              <w:left w:val="nil"/>
              <w:bottom w:val="single" w:sz="4" w:space="0" w:color="auto"/>
              <w:right w:val="single" w:sz="4" w:space="0" w:color="auto"/>
            </w:tcBorders>
            <w:shd w:val="clear" w:color="000000" w:fill="FFFFFF"/>
            <w:vAlign w:val="center"/>
            <w:hideMark/>
          </w:tcPr>
          <w:p w14:paraId="0D98CD7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0.5 </w:t>
            </w:r>
          </w:p>
        </w:tc>
        <w:tc>
          <w:tcPr>
            <w:tcW w:w="1194" w:type="dxa"/>
            <w:tcBorders>
              <w:top w:val="nil"/>
              <w:left w:val="nil"/>
              <w:bottom w:val="single" w:sz="4" w:space="0" w:color="auto"/>
              <w:right w:val="single" w:sz="4" w:space="0" w:color="auto"/>
            </w:tcBorders>
            <w:shd w:val="clear" w:color="000000" w:fill="FFFFFF"/>
            <w:vAlign w:val="center"/>
            <w:hideMark/>
          </w:tcPr>
          <w:p w14:paraId="3A0E737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1.0 </w:t>
            </w:r>
          </w:p>
        </w:tc>
      </w:tr>
      <w:tr w:rsidR="00EA4ED3" w:rsidRPr="004A785B" w14:paraId="2AA90D9E" w14:textId="77777777" w:rsidTr="00EA4ED3">
        <w:tc>
          <w:tcPr>
            <w:tcW w:w="2120" w:type="dxa"/>
            <w:vMerge/>
            <w:tcBorders>
              <w:top w:val="single" w:sz="4" w:space="0" w:color="auto"/>
              <w:left w:val="single" w:sz="4" w:space="0" w:color="auto"/>
              <w:bottom w:val="single" w:sz="4" w:space="0" w:color="auto"/>
              <w:right w:val="single" w:sz="4" w:space="0" w:color="auto"/>
            </w:tcBorders>
            <w:vAlign w:val="center"/>
            <w:hideMark/>
          </w:tcPr>
          <w:p w14:paraId="38DD7082" w14:textId="77777777" w:rsidR="00EA4ED3" w:rsidRPr="004A785B" w:rsidRDefault="00EA4ED3" w:rsidP="00EA4ED3">
            <w:pPr>
              <w:jc w:val="center"/>
              <w:rPr>
                <w:rFonts w:ascii="Calibri" w:hAnsi="Calibri"/>
                <w:color w:val="000000"/>
                <w:sz w:val="20"/>
                <w:szCs w:val="20"/>
              </w:rPr>
            </w:pPr>
          </w:p>
        </w:tc>
        <w:tc>
          <w:tcPr>
            <w:tcW w:w="1655" w:type="dxa"/>
            <w:tcBorders>
              <w:top w:val="nil"/>
              <w:left w:val="single" w:sz="4" w:space="0" w:color="auto"/>
              <w:bottom w:val="single" w:sz="4" w:space="0" w:color="auto"/>
              <w:right w:val="single" w:sz="4" w:space="0" w:color="auto"/>
            </w:tcBorders>
            <w:shd w:val="clear" w:color="000000" w:fill="FFFFFF"/>
            <w:vAlign w:val="center"/>
            <w:hideMark/>
          </w:tcPr>
          <w:p w14:paraId="22320B49"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vertAlign w:val="superscript"/>
              </w:rPr>
              <w:t>†</w:t>
            </w:r>
            <w:r w:rsidRPr="004A785B">
              <w:rPr>
                <w:rFonts w:ascii="Calibri" w:hAnsi="Calibri"/>
                <w:color w:val="000000"/>
                <w:sz w:val="20"/>
                <w:szCs w:val="20"/>
              </w:rPr>
              <w:t>Pre-Post-natal</w:t>
            </w:r>
          </w:p>
        </w:tc>
        <w:tc>
          <w:tcPr>
            <w:tcW w:w="1103" w:type="dxa"/>
            <w:tcBorders>
              <w:top w:val="nil"/>
              <w:left w:val="nil"/>
              <w:bottom w:val="single" w:sz="4" w:space="0" w:color="auto"/>
              <w:right w:val="single" w:sz="4" w:space="0" w:color="auto"/>
            </w:tcBorders>
            <w:shd w:val="clear" w:color="000000" w:fill="FFFFFF"/>
          </w:tcPr>
          <w:p w14:paraId="74E7C41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230.8 </w:t>
            </w:r>
          </w:p>
        </w:tc>
        <w:tc>
          <w:tcPr>
            <w:tcW w:w="1030" w:type="dxa"/>
            <w:tcBorders>
              <w:top w:val="nil"/>
              <w:left w:val="nil"/>
              <w:bottom w:val="single" w:sz="4" w:space="0" w:color="auto"/>
              <w:right w:val="single" w:sz="4" w:space="0" w:color="auto"/>
            </w:tcBorders>
            <w:shd w:val="clear" w:color="000000" w:fill="FFFFFF"/>
          </w:tcPr>
          <w:p w14:paraId="7A5B692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135.7 </w:t>
            </w:r>
          </w:p>
        </w:tc>
        <w:tc>
          <w:tcPr>
            <w:tcW w:w="1064" w:type="dxa"/>
            <w:tcBorders>
              <w:top w:val="nil"/>
              <w:left w:val="nil"/>
              <w:bottom w:val="single" w:sz="4" w:space="0" w:color="auto"/>
              <w:right w:val="single" w:sz="4" w:space="0" w:color="auto"/>
            </w:tcBorders>
            <w:shd w:val="clear" w:color="000000" w:fill="FFFFFF"/>
          </w:tcPr>
          <w:p w14:paraId="1FDD9DC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404.2 </w:t>
            </w:r>
          </w:p>
        </w:tc>
        <w:tc>
          <w:tcPr>
            <w:tcW w:w="1194" w:type="dxa"/>
            <w:tcBorders>
              <w:top w:val="nil"/>
              <w:left w:val="nil"/>
              <w:bottom w:val="single" w:sz="4" w:space="0" w:color="auto"/>
              <w:right w:val="single" w:sz="4" w:space="0" w:color="auto"/>
            </w:tcBorders>
            <w:shd w:val="clear" w:color="000000" w:fill="FFFFFF"/>
          </w:tcPr>
          <w:p w14:paraId="13FA1C4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203.9 </w:t>
            </w:r>
          </w:p>
        </w:tc>
        <w:tc>
          <w:tcPr>
            <w:tcW w:w="1194" w:type="dxa"/>
            <w:tcBorders>
              <w:top w:val="nil"/>
              <w:left w:val="nil"/>
              <w:bottom w:val="single" w:sz="4" w:space="0" w:color="auto"/>
              <w:right w:val="single" w:sz="4" w:space="0" w:color="auto"/>
            </w:tcBorders>
            <w:shd w:val="clear" w:color="000000" w:fill="FFFFFF"/>
          </w:tcPr>
          <w:p w14:paraId="7D1BB2D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257.8 </w:t>
            </w:r>
          </w:p>
        </w:tc>
      </w:tr>
      <w:tr w:rsidR="00EA4ED3" w:rsidRPr="004A785B" w14:paraId="4C79442D" w14:textId="77777777" w:rsidTr="00EA4ED3">
        <w:tc>
          <w:tcPr>
            <w:tcW w:w="2120" w:type="dxa"/>
            <w:vMerge/>
            <w:tcBorders>
              <w:top w:val="single" w:sz="4" w:space="0" w:color="auto"/>
              <w:left w:val="single" w:sz="4" w:space="0" w:color="auto"/>
              <w:bottom w:val="single" w:sz="4" w:space="0" w:color="auto"/>
              <w:right w:val="single" w:sz="4" w:space="0" w:color="auto"/>
            </w:tcBorders>
            <w:vAlign w:val="center"/>
            <w:hideMark/>
          </w:tcPr>
          <w:p w14:paraId="327C37B2" w14:textId="77777777" w:rsidR="00EA4ED3" w:rsidRPr="004A785B" w:rsidRDefault="00EA4ED3" w:rsidP="00EA4ED3">
            <w:pPr>
              <w:jc w:val="center"/>
              <w:rPr>
                <w:rFonts w:ascii="Calibri" w:hAnsi="Calibri"/>
                <w:color w:val="000000"/>
                <w:sz w:val="20"/>
                <w:szCs w:val="20"/>
              </w:rPr>
            </w:pPr>
          </w:p>
        </w:tc>
        <w:tc>
          <w:tcPr>
            <w:tcW w:w="1655" w:type="dxa"/>
            <w:tcBorders>
              <w:top w:val="nil"/>
              <w:left w:val="single" w:sz="4" w:space="0" w:color="auto"/>
              <w:bottom w:val="single" w:sz="4" w:space="0" w:color="auto"/>
              <w:right w:val="single" w:sz="4" w:space="0" w:color="auto"/>
            </w:tcBorders>
            <w:shd w:val="clear" w:color="000000" w:fill="FFFFFF"/>
            <w:vAlign w:val="center"/>
            <w:hideMark/>
          </w:tcPr>
          <w:p w14:paraId="62718493"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Specialty Care</w:t>
            </w:r>
          </w:p>
        </w:tc>
        <w:tc>
          <w:tcPr>
            <w:tcW w:w="1103" w:type="dxa"/>
            <w:tcBorders>
              <w:top w:val="nil"/>
              <w:left w:val="nil"/>
              <w:bottom w:val="single" w:sz="4" w:space="0" w:color="auto"/>
              <w:right w:val="single" w:sz="4" w:space="0" w:color="auto"/>
            </w:tcBorders>
            <w:shd w:val="clear" w:color="000000" w:fill="FFFFFF"/>
            <w:vAlign w:val="center"/>
            <w:hideMark/>
          </w:tcPr>
          <w:p w14:paraId="37F7DE3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40.5 </w:t>
            </w:r>
          </w:p>
        </w:tc>
        <w:tc>
          <w:tcPr>
            <w:tcW w:w="1030" w:type="dxa"/>
            <w:tcBorders>
              <w:top w:val="nil"/>
              <w:left w:val="nil"/>
              <w:bottom w:val="single" w:sz="4" w:space="0" w:color="auto"/>
              <w:right w:val="single" w:sz="4" w:space="0" w:color="auto"/>
            </w:tcBorders>
            <w:shd w:val="clear" w:color="000000" w:fill="FFFFFF"/>
            <w:vAlign w:val="center"/>
            <w:hideMark/>
          </w:tcPr>
          <w:p w14:paraId="3B156DA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34.2 </w:t>
            </w:r>
          </w:p>
        </w:tc>
        <w:tc>
          <w:tcPr>
            <w:tcW w:w="1064" w:type="dxa"/>
            <w:tcBorders>
              <w:top w:val="nil"/>
              <w:left w:val="nil"/>
              <w:bottom w:val="single" w:sz="4" w:space="0" w:color="auto"/>
              <w:right w:val="single" w:sz="4" w:space="0" w:color="auto"/>
            </w:tcBorders>
            <w:shd w:val="clear" w:color="000000" w:fill="FFFFFF"/>
            <w:vAlign w:val="center"/>
            <w:hideMark/>
          </w:tcPr>
          <w:p w14:paraId="401D636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49.4 </w:t>
            </w:r>
          </w:p>
        </w:tc>
        <w:tc>
          <w:tcPr>
            <w:tcW w:w="1194" w:type="dxa"/>
            <w:tcBorders>
              <w:top w:val="nil"/>
              <w:left w:val="nil"/>
              <w:bottom w:val="single" w:sz="4" w:space="0" w:color="auto"/>
              <w:right w:val="single" w:sz="4" w:space="0" w:color="auto"/>
            </w:tcBorders>
            <w:shd w:val="clear" w:color="000000" w:fill="FFFFFF"/>
            <w:vAlign w:val="center"/>
            <w:hideMark/>
          </w:tcPr>
          <w:p w14:paraId="427C6E2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39.1 </w:t>
            </w:r>
          </w:p>
        </w:tc>
        <w:tc>
          <w:tcPr>
            <w:tcW w:w="1194" w:type="dxa"/>
            <w:tcBorders>
              <w:top w:val="nil"/>
              <w:left w:val="nil"/>
              <w:bottom w:val="single" w:sz="4" w:space="0" w:color="auto"/>
              <w:right w:val="single" w:sz="4" w:space="0" w:color="auto"/>
            </w:tcBorders>
            <w:shd w:val="clear" w:color="000000" w:fill="FFFFFF"/>
            <w:vAlign w:val="center"/>
            <w:hideMark/>
          </w:tcPr>
          <w:p w14:paraId="3A9A4C9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41.8 </w:t>
            </w:r>
          </w:p>
        </w:tc>
      </w:tr>
      <w:tr w:rsidR="00EA4ED3" w:rsidRPr="004A785B" w14:paraId="677F19B9" w14:textId="77777777" w:rsidTr="00EA4ED3">
        <w:tc>
          <w:tcPr>
            <w:tcW w:w="21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94DD5" w14:textId="77777777" w:rsidR="00EA4ED3" w:rsidRPr="004A785B" w:rsidRDefault="00EA4ED3" w:rsidP="00EA4ED3">
            <w:pPr>
              <w:jc w:val="center"/>
              <w:rPr>
                <w:rFonts w:ascii="Calibri" w:hAnsi="Calibri"/>
                <w:b/>
                <w:color w:val="000000"/>
                <w:sz w:val="20"/>
                <w:szCs w:val="20"/>
              </w:rPr>
            </w:pPr>
            <w:r w:rsidRPr="004A785B">
              <w:rPr>
                <w:rFonts w:ascii="Calibri" w:hAnsi="Calibri"/>
                <w:b/>
                <w:color w:val="000000"/>
                <w:sz w:val="20"/>
                <w:szCs w:val="20"/>
              </w:rPr>
              <w:t>Central Coast</w:t>
            </w:r>
          </w:p>
        </w:tc>
        <w:tc>
          <w:tcPr>
            <w:tcW w:w="1655" w:type="dxa"/>
            <w:tcBorders>
              <w:top w:val="nil"/>
              <w:left w:val="nil"/>
              <w:bottom w:val="single" w:sz="4" w:space="0" w:color="auto"/>
              <w:right w:val="single" w:sz="4" w:space="0" w:color="auto"/>
            </w:tcBorders>
            <w:shd w:val="clear" w:color="000000" w:fill="FFFFFF"/>
            <w:vAlign w:val="center"/>
            <w:hideMark/>
          </w:tcPr>
          <w:p w14:paraId="286BDC44"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Primary Care</w:t>
            </w:r>
          </w:p>
        </w:tc>
        <w:tc>
          <w:tcPr>
            <w:tcW w:w="1103" w:type="dxa"/>
            <w:tcBorders>
              <w:top w:val="nil"/>
              <w:left w:val="nil"/>
              <w:bottom w:val="single" w:sz="4" w:space="0" w:color="auto"/>
              <w:right w:val="single" w:sz="4" w:space="0" w:color="auto"/>
            </w:tcBorders>
            <w:shd w:val="clear" w:color="000000" w:fill="FFFFFF"/>
            <w:vAlign w:val="center"/>
            <w:hideMark/>
          </w:tcPr>
          <w:p w14:paraId="4CEDE82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208.6 </w:t>
            </w:r>
          </w:p>
        </w:tc>
        <w:tc>
          <w:tcPr>
            <w:tcW w:w="1030" w:type="dxa"/>
            <w:tcBorders>
              <w:top w:val="nil"/>
              <w:left w:val="nil"/>
              <w:bottom w:val="single" w:sz="4" w:space="0" w:color="auto"/>
              <w:right w:val="single" w:sz="4" w:space="0" w:color="auto"/>
            </w:tcBorders>
            <w:shd w:val="clear" w:color="000000" w:fill="FFFFFF"/>
            <w:vAlign w:val="center"/>
            <w:hideMark/>
          </w:tcPr>
          <w:p w14:paraId="5DF01CF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144.0 </w:t>
            </w:r>
          </w:p>
        </w:tc>
        <w:tc>
          <w:tcPr>
            <w:tcW w:w="1064" w:type="dxa"/>
            <w:tcBorders>
              <w:top w:val="nil"/>
              <w:left w:val="nil"/>
              <w:bottom w:val="single" w:sz="4" w:space="0" w:color="auto"/>
              <w:right w:val="single" w:sz="4" w:space="0" w:color="auto"/>
            </w:tcBorders>
            <w:shd w:val="clear" w:color="000000" w:fill="FFFFFF"/>
            <w:vAlign w:val="center"/>
            <w:hideMark/>
          </w:tcPr>
          <w:p w14:paraId="5F95540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268.3 </w:t>
            </w:r>
          </w:p>
        </w:tc>
        <w:tc>
          <w:tcPr>
            <w:tcW w:w="1194" w:type="dxa"/>
            <w:tcBorders>
              <w:top w:val="nil"/>
              <w:left w:val="nil"/>
              <w:bottom w:val="single" w:sz="4" w:space="0" w:color="auto"/>
              <w:right w:val="single" w:sz="4" w:space="0" w:color="auto"/>
            </w:tcBorders>
            <w:shd w:val="clear" w:color="000000" w:fill="FFFFFF"/>
            <w:vAlign w:val="center"/>
            <w:hideMark/>
          </w:tcPr>
          <w:p w14:paraId="7EC47D6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196.6 </w:t>
            </w:r>
          </w:p>
        </w:tc>
        <w:tc>
          <w:tcPr>
            <w:tcW w:w="1194" w:type="dxa"/>
            <w:tcBorders>
              <w:top w:val="nil"/>
              <w:left w:val="nil"/>
              <w:bottom w:val="single" w:sz="4" w:space="0" w:color="auto"/>
              <w:right w:val="single" w:sz="4" w:space="0" w:color="auto"/>
            </w:tcBorders>
            <w:shd w:val="clear" w:color="000000" w:fill="FFFFFF"/>
            <w:vAlign w:val="center"/>
            <w:hideMark/>
          </w:tcPr>
          <w:p w14:paraId="530AFC5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220.5 </w:t>
            </w:r>
          </w:p>
        </w:tc>
      </w:tr>
      <w:tr w:rsidR="00EA4ED3" w:rsidRPr="004A785B" w14:paraId="38BA0246"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120ACE0A"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438F0477"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Behavioral Care</w:t>
            </w:r>
          </w:p>
        </w:tc>
        <w:tc>
          <w:tcPr>
            <w:tcW w:w="1103" w:type="dxa"/>
            <w:tcBorders>
              <w:top w:val="nil"/>
              <w:left w:val="nil"/>
              <w:bottom w:val="single" w:sz="4" w:space="0" w:color="auto"/>
              <w:right w:val="single" w:sz="4" w:space="0" w:color="auto"/>
            </w:tcBorders>
            <w:shd w:val="clear" w:color="000000" w:fill="FFFFFF"/>
            <w:vAlign w:val="center"/>
            <w:hideMark/>
          </w:tcPr>
          <w:p w14:paraId="60AB10D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0.1 </w:t>
            </w:r>
          </w:p>
        </w:tc>
        <w:tc>
          <w:tcPr>
            <w:tcW w:w="1030" w:type="dxa"/>
            <w:tcBorders>
              <w:top w:val="nil"/>
              <w:left w:val="nil"/>
              <w:bottom w:val="single" w:sz="4" w:space="0" w:color="auto"/>
              <w:right w:val="single" w:sz="4" w:space="0" w:color="auto"/>
            </w:tcBorders>
            <w:shd w:val="clear" w:color="000000" w:fill="FFFFFF"/>
            <w:vAlign w:val="center"/>
            <w:hideMark/>
          </w:tcPr>
          <w:p w14:paraId="1DB2BAA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   </w:t>
            </w:r>
          </w:p>
        </w:tc>
        <w:tc>
          <w:tcPr>
            <w:tcW w:w="1064" w:type="dxa"/>
            <w:tcBorders>
              <w:top w:val="nil"/>
              <w:left w:val="nil"/>
              <w:bottom w:val="single" w:sz="4" w:space="0" w:color="auto"/>
              <w:right w:val="single" w:sz="4" w:space="0" w:color="auto"/>
            </w:tcBorders>
            <w:shd w:val="clear" w:color="000000" w:fill="FFFFFF"/>
            <w:vAlign w:val="center"/>
            <w:hideMark/>
          </w:tcPr>
          <w:p w14:paraId="6CAEDC9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0.2 </w:t>
            </w:r>
          </w:p>
        </w:tc>
        <w:tc>
          <w:tcPr>
            <w:tcW w:w="1194" w:type="dxa"/>
            <w:tcBorders>
              <w:top w:val="nil"/>
              <w:left w:val="nil"/>
              <w:bottom w:val="single" w:sz="4" w:space="0" w:color="auto"/>
              <w:right w:val="single" w:sz="4" w:space="0" w:color="auto"/>
            </w:tcBorders>
            <w:shd w:val="clear" w:color="000000" w:fill="FFFFFF"/>
            <w:vAlign w:val="center"/>
            <w:hideMark/>
          </w:tcPr>
          <w:p w14:paraId="0B50D9A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0.0 </w:t>
            </w:r>
          </w:p>
        </w:tc>
        <w:tc>
          <w:tcPr>
            <w:tcW w:w="1194" w:type="dxa"/>
            <w:tcBorders>
              <w:top w:val="nil"/>
              <w:left w:val="nil"/>
              <w:bottom w:val="single" w:sz="4" w:space="0" w:color="auto"/>
              <w:right w:val="single" w:sz="4" w:space="0" w:color="auto"/>
            </w:tcBorders>
            <w:shd w:val="clear" w:color="000000" w:fill="FFFFFF"/>
            <w:vAlign w:val="center"/>
            <w:hideMark/>
          </w:tcPr>
          <w:p w14:paraId="37BBBFC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0.1 </w:t>
            </w:r>
          </w:p>
        </w:tc>
      </w:tr>
      <w:tr w:rsidR="00EA4ED3" w:rsidRPr="004A785B" w14:paraId="71969680"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52F6195C"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4637C7C5"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Home Health</w:t>
            </w:r>
          </w:p>
        </w:tc>
        <w:tc>
          <w:tcPr>
            <w:tcW w:w="1103" w:type="dxa"/>
            <w:tcBorders>
              <w:top w:val="nil"/>
              <w:left w:val="nil"/>
              <w:bottom w:val="single" w:sz="4" w:space="0" w:color="auto"/>
              <w:right w:val="single" w:sz="4" w:space="0" w:color="auto"/>
            </w:tcBorders>
            <w:shd w:val="clear" w:color="000000" w:fill="FFFFFF"/>
            <w:vAlign w:val="center"/>
            <w:hideMark/>
          </w:tcPr>
          <w:p w14:paraId="64F7B93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1.4 </w:t>
            </w:r>
          </w:p>
        </w:tc>
        <w:tc>
          <w:tcPr>
            <w:tcW w:w="1030" w:type="dxa"/>
            <w:tcBorders>
              <w:top w:val="nil"/>
              <w:left w:val="nil"/>
              <w:bottom w:val="single" w:sz="4" w:space="0" w:color="auto"/>
              <w:right w:val="single" w:sz="4" w:space="0" w:color="auto"/>
            </w:tcBorders>
            <w:shd w:val="clear" w:color="000000" w:fill="FFFFFF"/>
            <w:vAlign w:val="center"/>
            <w:hideMark/>
          </w:tcPr>
          <w:p w14:paraId="0E8A4FD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0.9 </w:t>
            </w:r>
          </w:p>
        </w:tc>
        <w:tc>
          <w:tcPr>
            <w:tcW w:w="1064" w:type="dxa"/>
            <w:tcBorders>
              <w:top w:val="nil"/>
              <w:left w:val="nil"/>
              <w:bottom w:val="single" w:sz="4" w:space="0" w:color="auto"/>
              <w:right w:val="single" w:sz="4" w:space="0" w:color="auto"/>
            </w:tcBorders>
            <w:shd w:val="clear" w:color="000000" w:fill="FFFFFF"/>
            <w:vAlign w:val="center"/>
            <w:hideMark/>
          </w:tcPr>
          <w:p w14:paraId="6B2606E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1.9 </w:t>
            </w:r>
          </w:p>
        </w:tc>
        <w:tc>
          <w:tcPr>
            <w:tcW w:w="1194" w:type="dxa"/>
            <w:tcBorders>
              <w:top w:val="nil"/>
              <w:left w:val="nil"/>
              <w:bottom w:val="single" w:sz="4" w:space="0" w:color="auto"/>
              <w:right w:val="single" w:sz="4" w:space="0" w:color="auto"/>
            </w:tcBorders>
            <w:shd w:val="clear" w:color="000000" w:fill="FFFFFF"/>
            <w:vAlign w:val="center"/>
            <w:hideMark/>
          </w:tcPr>
          <w:p w14:paraId="2CE2D7C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1.3 </w:t>
            </w:r>
          </w:p>
        </w:tc>
        <w:tc>
          <w:tcPr>
            <w:tcW w:w="1194" w:type="dxa"/>
            <w:tcBorders>
              <w:top w:val="nil"/>
              <w:left w:val="nil"/>
              <w:bottom w:val="single" w:sz="4" w:space="0" w:color="auto"/>
              <w:right w:val="single" w:sz="4" w:space="0" w:color="auto"/>
            </w:tcBorders>
            <w:shd w:val="clear" w:color="000000" w:fill="FFFFFF"/>
            <w:vAlign w:val="center"/>
            <w:hideMark/>
          </w:tcPr>
          <w:p w14:paraId="157CD8D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1.5 </w:t>
            </w:r>
          </w:p>
        </w:tc>
      </w:tr>
      <w:tr w:rsidR="00EA4ED3" w:rsidRPr="004A785B" w14:paraId="003517B8"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39189EC4"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008F9F32"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vertAlign w:val="superscript"/>
              </w:rPr>
              <w:t>†</w:t>
            </w:r>
            <w:r w:rsidRPr="004A785B">
              <w:rPr>
                <w:rFonts w:ascii="Calibri" w:hAnsi="Calibri"/>
                <w:color w:val="000000"/>
                <w:sz w:val="20"/>
                <w:szCs w:val="20"/>
              </w:rPr>
              <w:t>Pre-Post-natal</w:t>
            </w:r>
          </w:p>
        </w:tc>
        <w:tc>
          <w:tcPr>
            <w:tcW w:w="1103" w:type="dxa"/>
            <w:tcBorders>
              <w:top w:val="nil"/>
              <w:left w:val="nil"/>
              <w:bottom w:val="single" w:sz="4" w:space="0" w:color="auto"/>
              <w:right w:val="single" w:sz="4" w:space="0" w:color="auto"/>
            </w:tcBorders>
            <w:shd w:val="clear" w:color="000000" w:fill="FFFFFF"/>
          </w:tcPr>
          <w:p w14:paraId="20DAFA6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313.9 </w:t>
            </w:r>
          </w:p>
        </w:tc>
        <w:tc>
          <w:tcPr>
            <w:tcW w:w="1030" w:type="dxa"/>
            <w:tcBorders>
              <w:top w:val="nil"/>
              <w:left w:val="nil"/>
              <w:bottom w:val="single" w:sz="4" w:space="0" w:color="auto"/>
              <w:right w:val="single" w:sz="4" w:space="0" w:color="auto"/>
            </w:tcBorders>
            <w:shd w:val="clear" w:color="000000" w:fill="FFFFFF"/>
          </w:tcPr>
          <w:p w14:paraId="0BC55F4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172.7 </w:t>
            </w:r>
          </w:p>
        </w:tc>
        <w:tc>
          <w:tcPr>
            <w:tcW w:w="1064" w:type="dxa"/>
            <w:tcBorders>
              <w:top w:val="nil"/>
              <w:left w:val="nil"/>
              <w:bottom w:val="single" w:sz="4" w:space="0" w:color="auto"/>
              <w:right w:val="single" w:sz="4" w:space="0" w:color="auto"/>
            </w:tcBorders>
            <w:shd w:val="clear" w:color="000000" w:fill="FFFFFF"/>
          </w:tcPr>
          <w:p w14:paraId="2DE59AB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565.4 </w:t>
            </w:r>
          </w:p>
        </w:tc>
        <w:tc>
          <w:tcPr>
            <w:tcW w:w="1194" w:type="dxa"/>
            <w:tcBorders>
              <w:top w:val="nil"/>
              <w:left w:val="nil"/>
              <w:bottom w:val="single" w:sz="4" w:space="0" w:color="auto"/>
              <w:right w:val="single" w:sz="4" w:space="0" w:color="auto"/>
            </w:tcBorders>
            <w:shd w:val="clear" w:color="000000" w:fill="FFFFFF"/>
          </w:tcPr>
          <w:p w14:paraId="5C6D7E9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275.2 </w:t>
            </w:r>
          </w:p>
        </w:tc>
        <w:tc>
          <w:tcPr>
            <w:tcW w:w="1194" w:type="dxa"/>
            <w:tcBorders>
              <w:top w:val="nil"/>
              <w:left w:val="nil"/>
              <w:bottom w:val="single" w:sz="4" w:space="0" w:color="auto"/>
              <w:right w:val="single" w:sz="4" w:space="0" w:color="auto"/>
            </w:tcBorders>
            <w:shd w:val="clear" w:color="000000" w:fill="FFFFFF"/>
          </w:tcPr>
          <w:p w14:paraId="6F9D4A3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352.6 </w:t>
            </w:r>
          </w:p>
        </w:tc>
      </w:tr>
      <w:tr w:rsidR="00EA4ED3" w:rsidRPr="004A785B" w14:paraId="589DB807"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0FDBAB83"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794F86DF"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Specialty Care</w:t>
            </w:r>
          </w:p>
        </w:tc>
        <w:tc>
          <w:tcPr>
            <w:tcW w:w="1103" w:type="dxa"/>
            <w:tcBorders>
              <w:top w:val="nil"/>
              <w:left w:val="nil"/>
              <w:bottom w:val="single" w:sz="4" w:space="0" w:color="auto"/>
              <w:right w:val="single" w:sz="4" w:space="0" w:color="auto"/>
            </w:tcBorders>
            <w:shd w:val="clear" w:color="000000" w:fill="FFFFFF"/>
            <w:vAlign w:val="center"/>
            <w:hideMark/>
          </w:tcPr>
          <w:p w14:paraId="7AF60FC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35.4 </w:t>
            </w:r>
          </w:p>
        </w:tc>
        <w:tc>
          <w:tcPr>
            <w:tcW w:w="1030" w:type="dxa"/>
            <w:tcBorders>
              <w:top w:val="nil"/>
              <w:left w:val="nil"/>
              <w:bottom w:val="single" w:sz="4" w:space="0" w:color="auto"/>
              <w:right w:val="single" w:sz="4" w:space="0" w:color="auto"/>
            </w:tcBorders>
            <w:shd w:val="clear" w:color="000000" w:fill="FFFFFF"/>
            <w:vAlign w:val="center"/>
            <w:hideMark/>
          </w:tcPr>
          <w:p w14:paraId="4CC73CF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29.7 </w:t>
            </w:r>
          </w:p>
        </w:tc>
        <w:tc>
          <w:tcPr>
            <w:tcW w:w="1064" w:type="dxa"/>
            <w:tcBorders>
              <w:top w:val="nil"/>
              <w:left w:val="nil"/>
              <w:bottom w:val="single" w:sz="4" w:space="0" w:color="auto"/>
              <w:right w:val="single" w:sz="4" w:space="0" w:color="auto"/>
            </w:tcBorders>
            <w:shd w:val="clear" w:color="000000" w:fill="FFFFFF"/>
            <w:vAlign w:val="center"/>
            <w:hideMark/>
          </w:tcPr>
          <w:p w14:paraId="127BF36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42.1 </w:t>
            </w:r>
          </w:p>
        </w:tc>
        <w:tc>
          <w:tcPr>
            <w:tcW w:w="1194" w:type="dxa"/>
            <w:tcBorders>
              <w:top w:val="nil"/>
              <w:left w:val="nil"/>
              <w:bottom w:val="single" w:sz="4" w:space="0" w:color="auto"/>
              <w:right w:val="single" w:sz="4" w:space="0" w:color="auto"/>
            </w:tcBorders>
            <w:shd w:val="clear" w:color="000000" w:fill="FFFFFF"/>
            <w:vAlign w:val="center"/>
            <w:hideMark/>
          </w:tcPr>
          <w:p w14:paraId="38359E6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34.2 </w:t>
            </w:r>
          </w:p>
        </w:tc>
        <w:tc>
          <w:tcPr>
            <w:tcW w:w="1194" w:type="dxa"/>
            <w:tcBorders>
              <w:top w:val="nil"/>
              <w:left w:val="nil"/>
              <w:bottom w:val="single" w:sz="4" w:space="0" w:color="auto"/>
              <w:right w:val="single" w:sz="4" w:space="0" w:color="auto"/>
            </w:tcBorders>
            <w:shd w:val="clear" w:color="000000" w:fill="FFFFFF"/>
            <w:vAlign w:val="center"/>
            <w:hideMark/>
          </w:tcPr>
          <w:p w14:paraId="7C0B4D3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36.6 </w:t>
            </w:r>
          </w:p>
        </w:tc>
      </w:tr>
      <w:tr w:rsidR="00EA4ED3" w:rsidRPr="004A785B" w14:paraId="1EC22BEB" w14:textId="77777777" w:rsidTr="00EA4ED3">
        <w:tc>
          <w:tcPr>
            <w:tcW w:w="21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5A9D35D" w14:textId="77777777" w:rsidR="00EA4ED3" w:rsidRPr="004A785B" w:rsidRDefault="00EA4ED3" w:rsidP="00EA4ED3">
            <w:pPr>
              <w:jc w:val="center"/>
              <w:rPr>
                <w:rFonts w:ascii="Calibri" w:hAnsi="Calibri"/>
                <w:b/>
                <w:color w:val="000000"/>
                <w:sz w:val="20"/>
                <w:szCs w:val="20"/>
              </w:rPr>
            </w:pPr>
            <w:r w:rsidRPr="004A785B">
              <w:rPr>
                <w:rFonts w:ascii="Calibri" w:hAnsi="Calibri"/>
                <w:b/>
                <w:color w:val="000000"/>
                <w:sz w:val="20"/>
                <w:szCs w:val="20"/>
              </w:rPr>
              <w:t>Central Valley</w:t>
            </w:r>
          </w:p>
        </w:tc>
        <w:tc>
          <w:tcPr>
            <w:tcW w:w="1655" w:type="dxa"/>
            <w:tcBorders>
              <w:top w:val="nil"/>
              <w:left w:val="nil"/>
              <w:bottom w:val="single" w:sz="4" w:space="0" w:color="auto"/>
              <w:right w:val="single" w:sz="4" w:space="0" w:color="auto"/>
            </w:tcBorders>
            <w:shd w:val="clear" w:color="000000" w:fill="FFFFFF"/>
            <w:vAlign w:val="center"/>
            <w:hideMark/>
          </w:tcPr>
          <w:p w14:paraId="4F1E6310"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Primary Care</w:t>
            </w:r>
          </w:p>
        </w:tc>
        <w:tc>
          <w:tcPr>
            <w:tcW w:w="1103" w:type="dxa"/>
            <w:tcBorders>
              <w:top w:val="nil"/>
              <w:left w:val="nil"/>
              <w:bottom w:val="single" w:sz="4" w:space="0" w:color="auto"/>
              <w:right w:val="single" w:sz="4" w:space="0" w:color="auto"/>
            </w:tcBorders>
            <w:shd w:val="clear" w:color="000000" w:fill="FFFFFF"/>
            <w:vAlign w:val="center"/>
            <w:hideMark/>
          </w:tcPr>
          <w:p w14:paraId="5BCB333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116.4 </w:t>
            </w:r>
          </w:p>
        </w:tc>
        <w:tc>
          <w:tcPr>
            <w:tcW w:w="1030" w:type="dxa"/>
            <w:tcBorders>
              <w:top w:val="nil"/>
              <w:left w:val="nil"/>
              <w:bottom w:val="single" w:sz="4" w:space="0" w:color="auto"/>
              <w:right w:val="single" w:sz="4" w:space="0" w:color="auto"/>
            </w:tcBorders>
            <w:shd w:val="clear" w:color="000000" w:fill="FFFFFF"/>
            <w:vAlign w:val="center"/>
            <w:hideMark/>
          </w:tcPr>
          <w:p w14:paraId="1D783C4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90.7 </w:t>
            </w:r>
          </w:p>
        </w:tc>
        <w:tc>
          <w:tcPr>
            <w:tcW w:w="1064" w:type="dxa"/>
            <w:tcBorders>
              <w:top w:val="nil"/>
              <w:left w:val="nil"/>
              <w:bottom w:val="single" w:sz="4" w:space="0" w:color="auto"/>
              <w:right w:val="single" w:sz="4" w:space="0" w:color="auto"/>
            </w:tcBorders>
            <w:shd w:val="clear" w:color="000000" w:fill="FFFFFF"/>
            <w:vAlign w:val="center"/>
            <w:hideMark/>
          </w:tcPr>
          <w:p w14:paraId="28ADBA0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140.1 </w:t>
            </w:r>
          </w:p>
        </w:tc>
        <w:tc>
          <w:tcPr>
            <w:tcW w:w="1194" w:type="dxa"/>
            <w:tcBorders>
              <w:top w:val="nil"/>
              <w:left w:val="nil"/>
              <w:bottom w:val="single" w:sz="4" w:space="0" w:color="auto"/>
              <w:right w:val="single" w:sz="4" w:space="0" w:color="auto"/>
            </w:tcBorders>
            <w:shd w:val="clear" w:color="000000" w:fill="FFFFFF"/>
            <w:vAlign w:val="center"/>
            <w:hideMark/>
          </w:tcPr>
          <w:p w14:paraId="2BC65B8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112.1 </w:t>
            </w:r>
          </w:p>
        </w:tc>
        <w:tc>
          <w:tcPr>
            <w:tcW w:w="1194" w:type="dxa"/>
            <w:tcBorders>
              <w:top w:val="nil"/>
              <w:left w:val="nil"/>
              <w:bottom w:val="single" w:sz="4" w:space="0" w:color="auto"/>
              <w:right w:val="single" w:sz="4" w:space="0" w:color="auto"/>
            </w:tcBorders>
            <w:shd w:val="clear" w:color="000000" w:fill="FFFFFF"/>
            <w:vAlign w:val="center"/>
            <w:hideMark/>
          </w:tcPr>
          <w:p w14:paraId="73B26B1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120.8 </w:t>
            </w:r>
          </w:p>
        </w:tc>
      </w:tr>
      <w:tr w:rsidR="00EA4ED3" w:rsidRPr="004A785B" w14:paraId="4946D5BE"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1A1B8774"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2D281FA5"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Behavioral Care</w:t>
            </w:r>
          </w:p>
        </w:tc>
        <w:tc>
          <w:tcPr>
            <w:tcW w:w="1103" w:type="dxa"/>
            <w:tcBorders>
              <w:top w:val="nil"/>
              <w:left w:val="nil"/>
              <w:bottom w:val="single" w:sz="4" w:space="0" w:color="auto"/>
              <w:right w:val="single" w:sz="4" w:space="0" w:color="auto"/>
            </w:tcBorders>
            <w:shd w:val="clear" w:color="000000" w:fill="FFFFFF"/>
            <w:vAlign w:val="center"/>
            <w:hideMark/>
          </w:tcPr>
          <w:p w14:paraId="7752C0C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0.7 </w:t>
            </w:r>
          </w:p>
        </w:tc>
        <w:tc>
          <w:tcPr>
            <w:tcW w:w="1030" w:type="dxa"/>
            <w:tcBorders>
              <w:top w:val="nil"/>
              <w:left w:val="nil"/>
              <w:bottom w:val="single" w:sz="4" w:space="0" w:color="auto"/>
              <w:right w:val="single" w:sz="4" w:space="0" w:color="auto"/>
            </w:tcBorders>
            <w:shd w:val="clear" w:color="000000" w:fill="FFFFFF"/>
            <w:vAlign w:val="center"/>
            <w:hideMark/>
          </w:tcPr>
          <w:p w14:paraId="3CB96E5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0.3 </w:t>
            </w:r>
          </w:p>
        </w:tc>
        <w:tc>
          <w:tcPr>
            <w:tcW w:w="1064" w:type="dxa"/>
            <w:tcBorders>
              <w:top w:val="nil"/>
              <w:left w:val="nil"/>
              <w:bottom w:val="single" w:sz="4" w:space="0" w:color="auto"/>
              <w:right w:val="single" w:sz="4" w:space="0" w:color="auto"/>
            </w:tcBorders>
            <w:shd w:val="clear" w:color="000000" w:fill="FFFFFF"/>
            <w:vAlign w:val="center"/>
            <w:hideMark/>
          </w:tcPr>
          <w:p w14:paraId="30CB3C0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1.1 </w:t>
            </w:r>
          </w:p>
        </w:tc>
        <w:tc>
          <w:tcPr>
            <w:tcW w:w="1194" w:type="dxa"/>
            <w:tcBorders>
              <w:top w:val="nil"/>
              <w:left w:val="nil"/>
              <w:bottom w:val="single" w:sz="4" w:space="0" w:color="auto"/>
              <w:right w:val="single" w:sz="4" w:space="0" w:color="auto"/>
            </w:tcBorders>
            <w:shd w:val="clear" w:color="000000" w:fill="FFFFFF"/>
            <w:vAlign w:val="center"/>
            <w:hideMark/>
          </w:tcPr>
          <w:p w14:paraId="7FCB91E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0.6 </w:t>
            </w:r>
          </w:p>
        </w:tc>
        <w:tc>
          <w:tcPr>
            <w:tcW w:w="1194" w:type="dxa"/>
            <w:tcBorders>
              <w:top w:val="nil"/>
              <w:left w:val="nil"/>
              <w:bottom w:val="single" w:sz="4" w:space="0" w:color="auto"/>
              <w:right w:val="single" w:sz="4" w:space="0" w:color="auto"/>
            </w:tcBorders>
            <w:shd w:val="clear" w:color="000000" w:fill="FFFFFF"/>
            <w:vAlign w:val="center"/>
            <w:hideMark/>
          </w:tcPr>
          <w:p w14:paraId="3FA8C97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0.7 </w:t>
            </w:r>
          </w:p>
        </w:tc>
      </w:tr>
      <w:tr w:rsidR="00EA4ED3" w:rsidRPr="004A785B" w14:paraId="05F88227"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3D82B43D"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5A49564F"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Home Health</w:t>
            </w:r>
          </w:p>
        </w:tc>
        <w:tc>
          <w:tcPr>
            <w:tcW w:w="1103" w:type="dxa"/>
            <w:tcBorders>
              <w:top w:val="nil"/>
              <w:left w:val="nil"/>
              <w:bottom w:val="single" w:sz="4" w:space="0" w:color="auto"/>
              <w:right w:val="single" w:sz="4" w:space="0" w:color="auto"/>
            </w:tcBorders>
            <w:shd w:val="clear" w:color="000000" w:fill="FFFFFF"/>
            <w:vAlign w:val="center"/>
            <w:hideMark/>
          </w:tcPr>
          <w:p w14:paraId="4A80FFD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0.4 </w:t>
            </w:r>
          </w:p>
        </w:tc>
        <w:tc>
          <w:tcPr>
            <w:tcW w:w="1030" w:type="dxa"/>
            <w:tcBorders>
              <w:top w:val="nil"/>
              <w:left w:val="nil"/>
              <w:bottom w:val="single" w:sz="4" w:space="0" w:color="auto"/>
              <w:right w:val="single" w:sz="4" w:space="0" w:color="auto"/>
            </w:tcBorders>
            <w:shd w:val="clear" w:color="000000" w:fill="FFFFFF"/>
            <w:vAlign w:val="center"/>
            <w:hideMark/>
          </w:tcPr>
          <w:p w14:paraId="51E3F7E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0.2 </w:t>
            </w:r>
          </w:p>
        </w:tc>
        <w:tc>
          <w:tcPr>
            <w:tcW w:w="1064" w:type="dxa"/>
            <w:tcBorders>
              <w:top w:val="nil"/>
              <w:left w:val="nil"/>
              <w:bottom w:val="single" w:sz="4" w:space="0" w:color="auto"/>
              <w:right w:val="single" w:sz="4" w:space="0" w:color="auto"/>
            </w:tcBorders>
            <w:shd w:val="clear" w:color="000000" w:fill="FFFFFF"/>
            <w:vAlign w:val="center"/>
            <w:hideMark/>
          </w:tcPr>
          <w:p w14:paraId="31AB45F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1.0 </w:t>
            </w:r>
          </w:p>
        </w:tc>
        <w:tc>
          <w:tcPr>
            <w:tcW w:w="1194" w:type="dxa"/>
            <w:tcBorders>
              <w:top w:val="nil"/>
              <w:left w:val="nil"/>
              <w:bottom w:val="single" w:sz="4" w:space="0" w:color="auto"/>
              <w:right w:val="single" w:sz="4" w:space="0" w:color="auto"/>
            </w:tcBorders>
            <w:shd w:val="clear" w:color="000000" w:fill="FFFFFF"/>
            <w:vAlign w:val="center"/>
            <w:hideMark/>
          </w:tcPr>
          <w:p w14:paraId="12A8132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0.3 </w:t>
            </w:r>
          </w:p>
        </w:tc>
        <w:tc>
          <w:tcPr>
            <w:tcW w:w="1194" w:type="dxa"/>
            <w:tcBorders>
              <w:top w:val="nil"/>
              <w:left w:val="nil"/>
              <w:bottom w:val="single" w:sz="4" w:space="0" w:color="auto"/>
              <w:right w:val="single" w:sz="4" w:space="0" w:color="auto"/>
            </w:tcBorders>
            <w:shd w:val="clear" w:color="000000" w:fill="FFFFFF"/>
            <w:vAlign w:val="center"/>
            <w:hideMark/>
          </w:tcPr>
          <w:p w14:paraId="54F2E99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0.5 </w:t>
            </w:r>
          </w:p>
        </w:tc>
      </w:tr>
      <w:tr w:rsidR="00EA4ED3" w:rsidRPr="004A785B" w14:paraId="298D45AA"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29A5D767"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5A455DF6"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vertAlign w:val="superscript"/>
              </w:rPr>
              <w:t>†</w:t>
            </w:r>
            <w:r w:rsidRPr="004A785B">
              <w:rPr>
                <w:rFonts w:ascii="Calibri" w:hAnsi="Calibri"/>
                <w:color w:val="000000"/>
                <w:sz w:val="20"/>
                <w:szCs w:val="20"/>
              </w:rPr>
              <w:t>Pre-Post-natal</w:t>
            </w:r>
          </w:p>
        </w:tc>
        <w:tc>
          <w:tcPr>
            <w:tcW w:w="1103" w:type="dxa"/>
            <w:tcBorders>
              <w:top w:val="nil"/>
              <w:left w:val="nil"/>
              <w:bottom w:val="single" w:sz="4" w:space="0" w:color="auto"/>
              <w:right w:val="single" w:sz="4" w:space="0" w:color="auto"/>
            </w:tcBorders>
            <w:shd w:val="clear" w:color="000000" w:fill="FFFFFF"/>
          </w:tcPr>
          <w:p w14:paraId="3232948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293.3 </w:t>
            </w:r>
          </w:p>
        </w:tc>
        <w:tc>
          <w:tcPr>
            <w:tcW w:w="1030" w:type="dxa"/>
            <w:tcBorders>
              <w:top w:val="nil"/>
              <w:left w:val="nil"/>
              <w:bottom w:val="single" w:sz="4" w:space="0" w:color="auto"/>
              <w:right w:val="single" w:sz="4" w:space="0" w:color="auto"/>
            </w:tcBorders>
            <w:shd w:val="clear" w:color="000000" w:fill="FFFFFF"/>
          </w:tcPr>
          <w:p w14:paraId="59783FE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186.2 </w:t>
            </w:r>
          </w:p>
        </w:tc>
        <w:tc>
          <w:tcPr>
            <w:tcW w:w="1064" w:type="dxa"/>
            <w:tcBorders>
              <w:top w:val="nil"/>
              <w:left w:val="nil"/>
              <w:bottom w:val="single" w:sz="4" w:space="0" w:color="auto"/>
              <w:right w:val="single" w:sz="4" w:space="0" w:color="auto"/>
            </w:tcBorders>
            <w:shd w:val="clear" w:color="000000" w:fill="FFFFFF"/>
          </w:tcPr>
          <w:p w14:paraId="75376FD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482.7 </w:t>
            </w:r>
          </w:p>
        </w:tc>
        <w:tc>
          <w:tcPr>
            <w:tcW w:w="1194" w:type="dxa"/>
            <w:tcBorders>
              <w:top w:val="nil"/>
              <w:left w:val="nil"/>
              <w:bottom w:val="single" w:sz="4" w:space="0" w:color="auto"/>
              <w:right w:val="single" w:sz="4" w:space="0" w:color="auto"/>
            </w:tcBorders>
            <w:shd w:val="clear" w:color="000000" w:fill="FFFFFF"/>
          </w:tcPr>
          <w:p w14:paraId="6ACB0B9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263.4 </w:t>
            </w:r>
          </w:p>
        </w:tc>
        <w:tc>
          <w:tcPr>
            <w:tcW w:w="1194" w:type="dxa"/>
            <w:tcBorders>
              <w:top w:val="nil"/>
              <w:left w:val="nil"/>
              <w:bottom w:val="single" w:sz="4" w:space="0" w:color="auto"/>
              <w:right w:val="single" w:sz="4" w:space="0" w:color="auto"/>
            </w:tcBorders>
            <w:shd w:val="clear" w:color="000000" w:fill="FFFFFF"/>
          </w:tcPr>
          <w:p w14:paraId="0A884A0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323.2 </w:t>
            </w:r>
          </w:p>
        </w:tc>
      </w:tr>
      <w:tr w:rsidR="00EA4ED3" w:rsidRPr="004A785B" w14:paraId="02C2A83C"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2BB6510B"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0C4FD503"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Specialty Care</w:t>
            </w:r>
          </w:p>
        </w:tc>
        <w:tc>
          <w:tcPr>
            <w:tcW w:w="1103" w:type="dxa"/>
            <w:tcBorders>
              <w:top w:val="nil"/>
              <w:left w:val="nil"/>
              <w:bottom w:val="single" w:sz="4" w:space="0" w:color="auto"/>
              <w:right w:val="single" w:sz="4" w:space="0" w:color="auto"/>
            </w:tcBorders>
            <w:shd w:val="clear" w:color="000000" w:fill="FFFFFF"/>
            <w:vAlign w:val="center"/>
            <w:hideMark/>
          </w:tcPr>
          <w:p w14:paraId="6DAB888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41.6 </w:t>
            </w:r>
          </w:p>
        </w:tc>
        <w:tc>
          <w:tcPr>
            <w:tcW w:w="1030" w:type="dxa"/>
            <w:tcBorders>
              <w:top w:val="nil"/>
              <w:left w:val="nil"/>
              <w:bottom w:val="single" w:sz="4" w:space="0" w:color="auto"/>
              <w:right w:val="single" w:sz="4" w:space="0" w:color="auto"/>
            </w:tcBorders>
            <w:shd w:val="clear" w:color="000000" w:fill="FFFFFF"/>
            <w:vAlign w:val="center"/>
            <w:hideMark/>
          </w:tcPr>
          <w:p w14:paraId="68A1F5A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32.8 </w:t>
            </w:r>
          </w:p>
        </w:tc>
        <w:tc>
          <w:tcPr>
            <w:tcW w:w="1064" w:type="dxa"/>
            <w:tcBorders>
              <w:top w:val="nil"/>
              <w:left w:val="nil"/>
              <w:bottom w:val="single" w:sz="4" w:space="0" w:color="auto"/>
              <w:right w:val="single" w:sz="4" w:space="0" w:color="auto"/>
            </w:tcBorders>
            <w:shd w:val="clear" w:color="000000" w:fill="FFFFFF"/>
            <w:vAlign w:val="center"/>
            <w:hideMark/>
          </w:tcPr>
          <w:p w14:paraId="285A6B6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49.3 </w:t>
            </w:r>
          </w:p>
        </w:tc>
        <w:tc>
          <w:tcPr>
            <w:tcW w:w="1194" w:type="dxa"/>
            <w:tcBorders>
              <w:top w:val="nil"/>
              <w:left w:val="nil"/>
              <w:bottom w:val="single" w:sz="4" w:space="0" w:color="auto"/>
              <w:right w:val="single" w:sz="4" w:space="0" w:color="auto"/>
            </w:tcBorders>
            <w:shd w:val="clear" w:color="000000" w:fill="FFFFFF"/>
            <w:vAlign w:val="center"/>
            <w:hideMark/>
          </w:tcPr>
          <w:p w14:paraId="2FD61BF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40.1 </w:t>
            </w:r>
          </w:p>
        </w:tc>
        <w:tc>
          <w:tcPr>
            <w:tcW w:w="1194" w:type="dxa"/>
            <w:tcBorders>
              <w:top w:val="nil"/>
              <w:left w:val="nil"/>
              <w:bottom w:val="single" w:sz="4" w:space="0" w:color="auto"/>
              <w:right w:val="single" w:sz="4" w:space="0" w:color="auto"/>
            </w:tcBorders>
            <w:shd w:val="clear" w:color="000000" w:fill="FFFFFF"/>
            <w:vAlign w:val="center"/>
            <w:hideMark/>
          </w:tcPr>
          <w:p w14:paraId="43FAACC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43.2 </w:t>
            </w:r>
          </w:p>
        </w:tc>
      </w:tr>
      <w:tr w:rsidR="00EA4ED3" w:rsidRPr="004A785B" w14:paraId="5808CB10" w14:textId="77777777" w:rsidTr="00EA4ED3">
        <w:tc>
          <w:tcPr>
            <w:tcW w:w="21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0BCAEC9" w14:textId="77777777" w:rsidR="00EA4ED3" w:rsidRPr="004A785B" w:rsidRDefault="00EA4ED3" w:rsidP="00EA4ED3">
            <w:pPr>
              <w:jc w:val="center"/>
              <w:rPr>
                <w:rFonts w:ascii="Calibri" w:hAnsi="Calibri"/>
                <w:b/>
                <w:color w:val="000000"/>
                <w:sz w:val="20"/>
                <w:szCs w:val="20"/>
              </w:rPr>
            </w:pPr>
            <w:r w:rsidRPr="004A785B">
              <w:rPr>
                <w:rFonts w:ascii="Calibri" w:hAnsi="Calibri"/>
                <w:b/>
                <w:color w:val="000000"/>
                <w:sz w:val="20"/>
                <w:szCs w:val="20"/>
              </w:rPr>
              <w:t>Far North</w:t>
            </w:r>
          </w:p>
        </w:tc>
        <w:tc>
          <w:tcPr>
            <w:tcW w:w="1655" w:type="dxa"/>
            <w:tcBorders>
              <w:top w:val="nil"/>
              <w:left w:val="nil"/>
              <w:bottom w:val="single" w:sz="4" w:space="0" w:color="auto"/>
              <w:right w:val="single" w:sz="4" w:space="0" w:color="auto"/>
            </w:tcBorders>
            <w:shd w:val="clear" w:color="000000" w:fill="FFFFFF"/>
            <w:vAlign w:val="center"/>
            <w:hideMark/>
          </w:tcPr>
          <w:p w14:paraId="618A1635"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Primary Care</w:t>
            </w:r>
          </w:p>
        </w:tc>
        <w:tc>
          <w:tcPr>
            <w:tcW w:w="1103" w:type="dxa"/>
            <w:tcBorders>
              <w:top w:val="nil"/>
              <w:left w:val="nil"/>
              <w:bottom w:val="single" w:sz="4" w:space="0" w:color="auto"/>
              <w:right w:val="single" w:sz="4" w:space="0" w:color="auto"/>
            </w:tcBorders>
            <w:shd w:val="clear" w:color="000000" w:fill="FFFFFF"/>
            <w:vAlign w:val="center"/>
            <w:hideMark/>
          </w:tcPr>
          <w:p w14:paraId="0982E12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232.8 </w:t>
            </w:r>
          </w:p>
        </w:tc>
        <w:tc>
          <w:tcPr>
            <w:tcW w:w="1030" w:type="dxa"/>
            <w:tcBorders>
              <w:top w:val="nil"/>
              <w:left w:val="nil"/>
              <w:bottom w:val="single" w:sz="4" w:space="0" w:color="auto"/>
              <w:right w:val="single" w:sz="4" w:space="0" w:color="auto"/>
            </w:tcBorders>
            <w:shd w:val="clear" w:color="000000" w:fill="FFFFFF"/>
            <w:vAlign w:val="center"/>
            <w:hideMark/>
          </w:tcPr>
          <w:p w14:paraId="7D03EC6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101.0 </w:t>
            </w:r>
          </w:p>
        </w:tc>
        <w:tc>
          <w:tcPr>
            <w:tcW w:w="1064" w:type="dxa"/>
            <w:tcBorders>
              <w:top w:val="nil"/>
              <w:left w:val="nil"/>
              <w:bottom w:val="single" w:sz="4" w:space="0" w:color="auto"/>
              <w:right w:val="single" w:sz="4" w:space="0" w:color="auto"/>
            </w:tcBorders>
            <w:shd w:val="clear" w:color="000000" w:fill="FFFFFF"/>
            <w:vAlign w:val="center"/>
            <w:hideMark/>
          </w:tcPr>
          <w:p w14:paraId="1A9132D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377.0 </w:t>
            </w:r>
          </w:p>
        </w:tc>
        <w:tc>
          <w:tcPr>
            <w:tcW w:w="1194" w:type="dxa"/>
            <w:tcBorders>
              <w:top w:val="nil"/>
              <w:left w:val="nil"/>
              <w:bottom w:val="single" w:sz="4" w:space="0" w:color="auto"/>
              <w:right w:val="single" w:sz="4" w:space="0" w:color="auto"/>
            </w:tcBorders>
            <w:shd w:val="clear" w:color="000000" w:fill="FFFFFF"/>
            <w:vAlign w:val="center"/>
            <w:hideMark/>
          </w:tcPr>
          <w:p w14:paraId="4F57381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202.7 </w:t>
            </w:r>
          </w:p>
        </w:tc>
        <w:tc>
          <w:tcPr>
            <w:tcW w:w="1194" w:type="dxa"/>
            <w:tcBorders>
              <w:top w:val="nil"/>
              <w:left w:val="nil"/>
              <w:bottom w:val="single" w:sz="4" w:space="0" w:color="auto"/>
              <w:right w:val="single" w:sz="4" w:space="0" w:color="auto"/>
            </w:tcBorders>
            <w:shd w:val="clear" w:color="000000" w:fill="FFFFFF"/>
            <w:vAlign w:val="center"/>
            <w:hideMark/>
          </w:tcPr>
          <w:p w14:paraId="600FC516"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262.9 </w:t>
            </w:r>
          </w:p>
        </w:tc>
      </w:tr>
      <w:tr w:rsidR="00EA4ED3" w:rsidRPr="004A785B" w14:paraId="32D3B5AB"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6462F822"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43D60997"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Behavioral Care</w:t>
            </w:r>
          </w:p>
        </w:tc>
        <w:tc>
          <w:tcPr>
            <w:tcW w:w="1103" w:type="dxa"/>
            <w:tcBorders>
              <w:top w:val="nil"/>
              <w:left w:val="nil"/>
              <w:bottom w:val="single" w:sz="4" w:space="0" w:color="auto"/>
              <w:right w:val="single" w:sz="4" w:space="0" w:color="auto"/>
            </w:tcBorders>
            <w:shd w:val="clear" w:color="000000" w:fill="FFFFFF"/>
            <w:vAlign w:val="center"/>
            <w:hideMark/>
          </w:tcPr>
          <w:p w14:paraId="053ACC8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2.0 </w:t>
            </w:r>
          </w:p>
        </w:tc>
        <w:tc>
          <w:tcPr>
            <w:tcW w:w="1030" w:type="dxa"/>
            <w:tcBorders>
              <w:top w:val="nil"/>
              <w:left w:val="nil"/>
              <w:bottom w:val="single" w:sz="4" w:space="0" w:color="auto"/>
              <w:right w:val="single" w:sz="4" w:space="0" w:color="auto"/>
            </w:tcBorders>
            <w:shd w:val="clear" w:color="000000" w:fill="FFFFFF"/>
            <w:vAlign w:val="center"/>
            <w:hideMark/>
          </w:tcPr>
          <w:p w14:paraId="3BC46B3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0.2 </w:t>
            </w:r>
          </w:p>
        </w:tc>
        <w:tc>
          <w:tcPr>
            <w:tcW w:w="1064" w:type="dxa"/>
            <w:tcBorders>
              <w:top w:val="nil"/>
              <w:left w:val="nil"/>
              <w:bottom w:val="single" w:sz="4" w:space="0" w:color="auto"/>
              <w:right w:val="single" w:sz="4" w:space="0" w:color="auto"/>
            </w:tcBorders>
            <w:shd w:val="clear" w:color="000000" w:fill="FFFFFF"/>
            <w:vAlign w:val="center"/>
            <w:hideMark/>
          </w:tcPr>
          <w:p w14:paraId="795234E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7.3 </w:t>
            </w:r>
          </w:p>
        </w:tc>
        <w:tc>
          <w:tcPr>
            <w:tcW w:w="1194" w:type="dxa"/>
            <w:tcBorders>
              <w:top w:val="nil"/>
              <w:left w:val="nil"/>
              <w:bottom w:val="single" w:sz="4" w:space="0" w:color="auto"/>
              <w:right w:val="single" w:sz="4" w:space="0" w:color="auto"/>
            </w:tcBorders>
            <w:shd w:val="clear" w:color="000000" w:fill="FFFFFF"/>
            <w:vAlign w:val="center"/>
            <w:hideMark/>
          </w:tcPr>
          <w:p w14:paraId="61C59CB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1.4 </w:t>
            </w:r>
          </w:p>
        </w:tc>
        <w:tc>
          <w:tcPr>
            <w:tcW w:w="1194" w:type="dxa"/>
            <w:tcBorders>
              <w:top w:val="nil"/>
              <w:left w:val="nil"/>
              <w:bottom w:val="single" w:sz="4" w:space="0" w:color="auto"/>
              <w:right w:val="single" w:sz="4" w:space="0" w:color="auto"/>
            </w:tcBorders>
            <w:shd w:val="clear" w:color="000000" w:fill="FFFFFF"/>
            <w:vAlign w:val="center"/>
            <w:hideMark/>
          </w:tcPr>
          <w:p w14:paraId="751B493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2.6 </w:t>
            </w:r>
          </w:p>
        </w:tc>
      </w:tr>
      <w:tr w:rsidR="00EA4ED3" w:rsidRPr="004A785B" w14:paraId="4C8335DA"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7EED2514"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6AB466CD"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Home Health</w:t>
            </w:r>
          </w:p>
        </w:tc>
        <w:tc>
          <w:tcPr>
            <w:tcW w:w="1103" w:type="dxa"/>
            <w:tcBorders>
              <w:top w:val="nil"/>
              <w:left w:val="nil"/>
              <w:bottom w:val="single" w:sz="4" w:space="0" w:color="auto"/>
              <w:right w:val="single" w:sz="4" w:space="0" w:color="auto"/>
            </w:tcBorders>
            <w:shd w:val="clear" w:color="000000" w:fill="FFFFFF"/>
            <w:vAlign w:val="center"/>
            <w:hideMark/>
          </w:tcPr>
          <w:p w14:paraId="25D8AE1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1.4 </w:t>
            </w:r>
          </w:p>
        </w:tc>
        <w:tc>
          <w:tcPr>
            <w:tcW w:w="1030" w:type="dxa"/>
            <w:tcBorders>
              <w:top w:val="nil"/>
              <w:left w:val="nil"/>
              <w:bottom w:val="single" w:sz="4" w:space="0" w:color="auto"/>
              <w:right w:val="single" w:sz="4" w:space="0" w:color="auto"/>
            </w:tcBorders>
            <w:shd w:val="clear" w:color="000000" w:fill="FFFFFF"/>
            <w:vAlign w:val="center"/>
            <w:hideMark/>
          </w:tcPr>
          <w:p w14:paraId="049BD6F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   </w:t>
            </w:r>
          </w:p>
        </w:tc>
        <w:tc>
          <w:tcPr>
            <w:tcW w:w="1064" w:type="dxa"/>
            <w:tcBorders>
              <w:top w:val="nil"/>
              <w:left w:val="nil"/>
              <w:bottom w:val="single" w:sz="4" w:space="0" w:color="auto"/>
              <w:right w:val="single" w:sz="4" w:space="0" w:color="auto"/>
            </w:tcBorders>
            <w:shd w:val="clear" w:color="000000" w:fill="FFFFFF"/>
            <w:vAlign w:val="center"/>
            <w:hideMark/>
          </w:tcPr>
          <w:p w14:paraId="6991979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6.5 </w:t>
            </w:r>
          </w:p>
        </w:tc>
        <w:tc>
          <w:tcPr>
            <w:tcW w:w="1194" w:type="dxa"/>
            <w:tcBorders>
              <w:top w:val="nil"/>
              <w:left w:val="nil"/>
              <w:bottom w:val="single" w:sz="4" w:space="0" w:color="auto"/>
              <w:right w:val="single" w:sz="4" w:space="0" w:color="auto"/>
            </w:tcBorders>
            <w:shd w:val="clear" w:color="000000" w:fill="FFFFFF"/>
            <w:vAlign w:val="center"/>
            <w:hideMark/>
          </w:tcPr>
          <w:p w14:paraId="1170827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0.6 </w:t>
            </w:r>
          </w:p>
        </w:tc>
        <w:tc>
          <w:tcPr>
            <w:tcW w:w="1194" w:type="dxa"/>
            <w:tcBorders>
              <w:top w:val="nil"/>
              <w:left w:val="nil"/>
              <w:bottom w:val="single" w:sz="4" w:space="0" w:color="auto"/>
              <w:right w:val="single" w:sz="4" w:space="0" w:color="auto"/>
            </w:tcBorders>
            <w:shd w:val="clear" w:color="000000" w:fill="FFFFFF"/>
            <w:vAlign w:val="center"/>
            <w:hideMark/>
          </w:tcPr>
          <w:p w14:paraId="244A2BE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2.1 </w:t>
            </w:r>
          </w:p>
        </w:tc>
      </w:tr>
      <w:tr w:rsidR="00EA4ED3" w:rsidRPr="004A785B" w14:paraId="029954D5"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60B5CC7A"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39724DD2"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vertAlign w:val="superscript"/>
              </w:rPr>
              <w:t>†</w:t>
            </w:r>
            <w:r w:rsidRPr="004A785B">
              <w:rPr>
                <w:rFonts w:ascii="Calibri" w:hAnsi="Calibri"/>
                <w:color w:val="000000"/>
                <w:sz w:val="20"/>
                <w:szCs w:val="20"/>
              </w:rPr>
              <w:t>Pre-Post-natal</w:t>
            </w:r>
          </w:p>
        </w:tc>
        <w:tc>
          <w:tcPr>
            <w:tcW w:w="1103" w:type="dxa"/>
            <w:tcBorders>
              <w:top w:val="nil"/>
              <w:left w:val="nil"/>
              <w:bottom w:val="single" w:sz="4" w:space="0" w:color="auto"/>
              <w:right w:val="single" w:sz="4" w:space="0" w:color="auto"/>
            </w:tcBorders>
            <w:shd w:val="clear" w:color="000000" w:fill="FFFFFF"/>
          </w:tcPr>
          <w:p w14:paraId="7120418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183.4 </w:t>
            </w:r>
          </w:p>
        </w:tc>
        <w:tc>
          <w:tcPr>
            <w:tcW w:w="1030" w:type="dxa"/>
            <w:tcBorders>
              <w:top w:val="nil"/>
              <w:left w:val="nil"/>
              <w:bottom w:val="single" w:sz="4" w:space="0" w:color="auto"/>
              <w:right w:val="single" w:sz="4" w:space="0" w:color="auto"/>
            </w:tcBorders>
            <w:shd w:val="clear" w:color="000000" w:fill="FFFFFF"/>
          </w:tcPr>
          <w:p w14:paraId="7D7F1336"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35.9 </w:t>
            </w:r>
          </w:p>
        </w:tc>
        <w:tc>
          <w:tcPr>
            <w:tcW w:w="1064" w:type="dxa"/>
            <w:tcBorders>
              <w:top w:val="nil"/>
              <w:left w:val="nil"/>
              <w:bottom w:val="single" w:sz="4" w:space="0" w:color="auto"/>
              <w:right w:val="single" w:sz="4" w:space="0" w:color="auto"/>
            </w:tcBorders>
            <w:shd w:val="clear" w:color="000000" w:fill="FFFFFF"/>
          </w:tcPr>
          <w:p w14:paraId="0F10F4E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384.5 </w:t>
            </w:r>
          </w:p>
        </w:tc>
        <w:tc>
          <w:tcPr>
            <w:tcW w:w="1194" w:type="dxa"/>
            <w:tcBorders>
              <w:top w:val="nil"/>
              <w:left w:val="nil"/>
              <w:bottom w:val="single" w:sz="4" w:space="0" w:color="auto"/>
              <w:right w:val="single" w:sz="4" w:space="0" w:color="auto"/>
            </w:tcBorders>
            <w:shd w:val="clear" w:color="000000" w:fill="FFFFFF"/>
          </w:tcPr>
          <w:p w14:paraId="1891211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148.4 </w:t>
            </w:r>
          </w:p>
        </w:tc>
        <w:tc>
          <w:tcPr>
            <w:tcW w:w="1194" w:type="dxa"/>
            <w:tcBorders>
              <w:top w:val="nil"/>
              <w:left w:val="nil"/>
              <w:bottom w:val="single" w:sz="4" w:space="0" w:color="auto"/>
              <w:right w:val="single" w:sz="4" w:space="0" w:color="auto"/>
            </w:tcBorders>
            <w:shd w:val="clear" w:color="000000" w:fill="FFFFFF"/>
          </w:tcPr>
          <w:p w14:paraId="12AFF01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218.5 </w:t>
            </w:r>
          </w:p>
        </w:tc>
      </w:tr>
      <w:tr w:rsidR="00EA4ED3" w:rsidRPr="004A785B" w14:paraId="3F876910"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4F5819A3"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01DC6D25"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Specialty Care</w:t>
            </w:r>
          </w:p>
        </w:tc>
        <w:tc>
          <w:tcPr>
            <w:tcW w:w="1103" w:type="dxa"/>
            <w:tcBorders>
              <w:top w:val="nil"/>
              <w:left w:val="nil"/>
              <w:bottom w:val="single" w:sz="4" w:space="0" w:color="auto"/>
              <w:right w:val="single" w:sz="4" w:space="0" w:color="auto"/>
            </w:tcBorders>
            <w:shd w:val="clear" w:color="000000" w:fill="FFFFFF"/>
            <w:vAlign w:val="center"/>
            <w:hideMark/>
          </w:tcPr>
          <w:p w14:paraId="0053D04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108.7 </w:t>
            </w:r>
          </w:p>
        </w:tc>
        <w:tc>
          <w:tcPr>
            <w:tcW w:w="1030" w:type="dxa"/>
            <w:tcBorders>
              <w:top w:val="nil"/>
              <w:left w:val="nil"/>
              <w:bottom w:val="single" w:sz="4" w:space="0" w:color="auto"/>
              <w:right w:val="single" w:sz="4" w:space="0" w:color="auto"/>
            </w:tcBorders>
            <w:shd w:val="clear" w:color="000000" w:fill="FFFFFF"/>
            <w:vAlign w:val="center"/>
            <w:hideMark/>
          </w:tcPr>
          <w:p w14:paraId="2A69F13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30.2 </w:t>
            </w:r>
          </w:p>
        </w:tc>
        <w:tc>
          <w:tcPr>
            <w:tcW w:w="1064" w:type="dxa"/>
            <w:tcBorders>
              <w:top w:val="nil"/>
              <w:left w:val="nil"/>
              <w:bottom w:val="single" w:sz="4" w:space="0" w:color="auto"/>
              <w:right w:val="single" w:sz="4" w:space="0" w:color="auto"/>
            </w:tcBorders>
            <w:shd w:val="clear" w:color="000000" w:fill="FFFFFF"/>
            <w:vAlign w:val="center"/>
            <w:hideMark/>
          </w:tcPr>
          <w:p w14:paraId="3D58798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235.1 </w:t>
            </w:r>
          </w:p>
        </w:tc>
        <w:tc>
          <w:tcPr>
            <w:tcW w:w="1194" w:type="dxa"/>
            <w:tcBorders>
              <w:top w:val="nil"/>
              <w:left w:val="nil"/>
              <w:bottom w:val="single" w:sz="4" w:space="0" w:color="auto"/>
              <w:right w:val="single" w:sz="4" w:space="0" w:color="auto"/>
            </w:tcBorders>
            <w:shd w:val="clear" w:color="000000" w:fill="FFFFFF"/>
            <w:vAlign w:val="center"/>
            <w:hideMark/>
          </w:tcPr>
          <w:p w14:paraId="063B583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88.3 </w:t>
            </w:r>
          </w:p>
        </w:tc>
        <w:tc>
          <w:tcPr>
            <w:tcW w:w="1194" w:type="dxa"/>
            <w:tcBorders>
              <w:top w:val="nil"/>
              <w:left w:val="nil"/>
              <w:bottom w:val="single" w:sz="4" w:space="0" w:color="auto"/>
              <w:right w:val="single" w:sz="4" w:space="0" w:color="auto"/>
            </w:tcBorders>
            <w:shd w:val="clear" w:color="000000" w:fill="FFFFFF"/>
            <w:vAlign w:val="center"/>
            <w:hideMark/>
          </w:tcPr>
          <w:p w14:paraId="2DB2CDA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129.1 </w:t>
            </w:r>
          </w:p>
        </w:tc>
      </w:tr>
      <w:tr w:rsidR="00EA4ED3" w:rsidRPr="004A785B" w14:paraId="660631F3" w14:textId="77777777" w:rsidTr="00EA4ED3">
        <w:tc>
          <w:tcPr>
            <w:tcW w:w="21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8D660E8" w14:textId="77777777" w:rsidR="00EA4ED3" w:rsidRPr="004A785B" w:rsidRDefault="00EA4ED3" w:rsidP="00EA4ED3">
            <w:pPr>
              <w:jc w:val="center"/>
              <w:rPr>
                <w:rFonts w:ascii="Calibri" w:hAnsi="Calibri"/>
                <w:b/>
                <w:color w:val="000000"/>
                <w:sz w:val="20"/>
                <w:szCs w:val="20"/>
              </w:rPr>
            </w:pPr>
            <w:r w:rsidRPr="004A785B">
              <w:rPr>
                <w:rFonts w:ascii="Calibri" w:hAnsi="Calibri"/>
                <w:b/>
                <w:color w:val="000000"/>
                <w:sz w:val="20"/>
                <w:szCs w:val="20"/>
              </w:rPr>
              <w:t>Los Angeles</w:t>
            </w:r>
          </w:p>
        </w:tc>
        <w:tc>
          <w:tcPr>
            <w:tcW w:w="1655" w:type="dxa"/>
            <w:tcBorders>
              <w:top w:val="nil"/>
              <w:left w:val="nil"/>
              <w:bottom w:val="single" w:sz="4" w:space="0" w:color="auto"/>
              <w:right w:val="single" w:sz="4" w:space="0" w:color="auto"/>
            </w:tcBorders>
            <w:shd w:val="clear" w:color="000000" w:fill="FFFFFF"/>
            <w:vAlign w:val="center"/>
            <w:hideMark/>
          </w:tcPr>
          <w:p w14:paraId="635072CE"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Primary Care</w:t>
            </w:r>
          </w:p>
        </w:tc>
        <w:tc>
          <w:tcPr>
            <w:tcW w:w="1103" w:type="dxa"/>
            <w:tcBorders>
              <w:top w:val="nil"/>
              <w:left w:val="nil"/>
              <w:bottom w:val="single" w:sz="4" w:space="0" w:color="auto"/>
              <w:right w:val="single" w:sz="4" w:space="0" w:color="auto"/>
            </w:tcBorders>
            <w:shd w:val="clear" w:color="000000" w:fill="FFFFFF"/>
            <w:vAlign w:val="center"/>
            <w:hideMark/>
          </w:tcPr>
          <w:p w14:paraId="2051307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124.0 </w:t>
            </w:r>
          </w:p>
        </w:tc>
        <w:tc>
          <w:tcPr>
            <w:tcW w:w="1030" w:type="dxa"/>
            <w:tcBorders>
              <w:top w:val="nil"/>
              <w:left w:val="nil"/>
              <w:bottom w:val="single" w:sz="4" w:space="0" w:color="auto"/>
              <w:right w:val="single" w:sz="4" w:space="0" w:color="auto"/>
            </w:tcBorders>
            <w:shd w:val="clear" w:color="000000" w:fill="FFFFFF"/>
            <w:vAlign w:val="center"/>
            <w:hideMark/>
          </w:tcPr>
          <w:p w14:paraId="65BD00B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80.8 </w:t>
            </w:r>
          </w:p>
        </w:tc>
        <w:tc>
          <w:tcPr>
            <w:tcW w:w="1064" w:type="dxa"/>
            <w:tcBorders>
              <w:top w:val="nil"/>
              <w:left w:val="nil"/>
              <w:bottom w:val="single" w:sz="4" w:space="0" w:color="auto"/>
              <w:right w:val="single" w:sz="4" w:space="0" w:color="auto"/>
            </w:tcBorders>
            <w:shd w:val="clear" w:color="000000" w:fill="FFFFFF"/>
            <w:vAlign w:val="center"/>
            <w:hideMark/>
          </w:tcPr>
          <w:p w14:paraId="1ED19B9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196.0 </w:t>
            </w:r>
          </w:p>
        </w:tc>
        <w:tc>
          <w:tcPr>
            <w:tcW w:w="1194" w:type="dxa"/>
            <w:tcBorders>
              <w:top w:val="nil"/>
              <w:left w:val="nil"/>
              <w:bottom w:val="single" w:sz="4" w:space="0" w:color="auto"/>
              <w:right w:val="single" w:sz="4" w:space="0" w:color="auto"/>
            </w:tcBorders>
            <w:shd w:val="clear" w:color="000000" w:fill="FFFFFF"/>
            <w:vAlign w:val="center"/>
            <w:hideMark/>
          </w:tcPr>
          <w:p w14:paraId="6A4AB64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111.7 </w:t>
            </w:r>
          </w:p>
        </w:tc>
        <w:tc>
          <w:tcPr>
            <w:tcW w:w="1194" w:type="dxa"/>
            <w:tcBorders>
              <w:top w:val="nil"/>
              <w:left w:val="nil"/>
              <w:bottom w:val="single" w:sz="4" w:space="0" w:color="auto"/>
              <w:right w:val="single" w:sz="4" w:space="0" w:color="auto"/>
            </w:tcBorders>
            <w:shd w:val="clear" w:color="000000" w:fill="FFFFFF"/>
            <w:vAlign w:val="center"/>
            <w:hideMark/>
          </w:tcPr>
          <w:p w14:paraId="4F4004D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136.3 </w:t>
            </w:r>
          </w:p>
        </w:tc>
      </w:tr>
      <w:tr w:rsidR="00EA4ED3" w:rsidRPr="004A785B" w14:paraId="37C75825"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16B71790"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090FB274"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Behavioral Care</w:t>
            </w:r>
          </w:p>
        </w:tc>
        <w:tc>
          <w:tcPr>
            <w:tcW w:w="1103" w:type="dxa"/>
            <w:tcBorders>
              <w:top w:val="nil"/>
              <w:left w:val="nil"/>
              <w:bottom w:val="single" w:sz="4" w:space="0" w:color="auto"/>
              <w:right w:val="single" w:sz="4" w:space="0" w:color="auto"/>
            </w:tcBorders>
            <w:shd w:val="clear" w:color="000000" w:fill="FFFFFF"/>
            <w:vAlign w:val="center"/>
            <w:hideMark/>
          </w:tcPr>
          <w:p w14:paraId="3A3DB60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0.8 </w:t>
            </w:r>
          </w:p>
        </w:tc>
        <w:tc>
          <w:tcPr>
            <w:tcW w:w="1030" w:type="dxa"/>
            <w:tcBorders>
              <w:top w:val="nil"/>
              <w:left w:val="nil"/>
              <w:bottom w:val="single" w:sz="4" w:space="0" w:color="auto"/>
              <w:right w:val="single" w:sz="4" w:space="0" w:color="auto"/>
            </w:tcBorders>
            <w:shd w:val="clear" w:color="000000" w:fill="FFFFFF"/>
            <w:vAlign w:val="center"/>
            <w:hideMark/>
          </w:tcPr>
          <w:p w14:paraId="6C7CF29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0.4 </w:t>
            </w:r>
          </w:p>
        </w:tc>
        <w:tc>
          <w:tcPr>
            <w:tcW w:w="1064" w:type="dxa"/>
            <w:tcBorders>
              <w:top w:val="nil"/>
              <w:left w:val="nil"/>
              <w:bottom w:val="single" w:sz="4" w:space="0" w:color="auto"/>
              <w:right w:val="single" w:sz="4" w:space="0" w:color="auto"/>
            </w:tcBorders>
            <w:shd w:val="clear" w:color="000000" w:fill="FFFFFF"/>
            <w:vAlign w:val="center"/>
            <w:hideMark/>
          </w:tcPr>
          <w:p w14:paraId="1074B3E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1.3 </w:t>
            </w:r>
          </w:p>
        </w:tc>
        <w:tc>
          <w:tcPr>
            <w:tcW w:w="1194" w:type="dxa"/>
            <w:tcBorders>
              <w:top w:val="nil"/>
              <w:left w:val="nil"/>
              <w:bottom w:val="single" w:sz="4" w:space="0" w:color="auto"/>
              <w:right w:val="single" w:sz="4" w:space="0" w:color="auto"/>
            </w:tcBorders>
            <w:shd w:val="clear" w:color="000000" w:fill="FFFFFF"/>
            <w:vAlign w:val="center"/>
            <w:hideMark/>
          </w:tcPr>
          <w:p w14:paraId="68274FC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0.7 </w:t>
            </w:r>
          </w:p>
        </w:tc>
        <w:tc>
          <w:tcPr>
            <w:tcW w:w="1194" w:type="dxa"/>
            <w:tcBorders>
              <w:top w:val="nil"/>
              <w:left w:val="nil"/>
              <w:bottom w:val="single" w:sz="4" w:space="0" w:color="auto"/>
              <w:right w:val="single" w:sz="4" w:space="0" w:color="auto"/>
            </w:tcBorders>
            <w:shd w:val="clear" w:color="000000" w:fill="FFFFFF"/>
            <w:vAlign w:val="center"/>
            <w:hideMark/>
          </w:tcPr>
          <w:p w14:paraId="472D815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0.9 </w:t>
            </w:r>
          </w:p>
        </w:tc>
      </w:tr>
      <w:tr w:rsidR="00EA4ED3" w:rsidRPr="004A785B" w14:paraId="5062B4E2"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758D5B1B"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4AED0894"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Home Health</w:t>
            </w:r>
          </w:p>
        </w:tc>
        <w:tc>
          <w:tcPr>
            <w:tcW w:w="1103" w:type="dxa"/>
            <w:tcBorders>
              <w:top w:val="nil"/>
              <w:left w:val="nil"/>
              <w:bottom w:val="single" w:sz="4" w:space="0" w:color="auto"/>
              <w:right w:val="single" w:sz="4" w:space="0" w:color="auto"/>
            </w:tcBorders>
            <w:shd w:val="clear" w:color="000000" w:fill="FFFFFF"/>
            <w:vAlign w:val="center"/>
            <w:hideMark/>
          </w:tcPr>
          <w:p w14:paraId="026EF3A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2.0 </w:t>
            </w:r>
          </w:p>
        </w:tc>
        <w:tc>
          <w:tcPr>
            <w:tcW w:w="1030" w:type="dxa"/>
            <w:tcBorders>
              <w:top w:val="nil"/>
              <w:left w:val="nil"/>
              <w:bottom w:val="single" w:sz="4" w:space="0" w:color="auto"/>
              <w:right w:val="single" w:sz="4" w:space="0" w:color="auto"/>
            </w:tcBorders>
            <w:shd w:val="clear" w:color="000000" w:fill="FFFFFF"/>
            <w:vAlign w:val="center"/>
            <w:hideMark/>
          </w:tcPr>
          <w:p w14:paraId="758617F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0.8 </w:t>
            </w:r>
          </w:p>
        </w:tc>
        <w:tc>
          <w:tcPr>
            <w:tcW w:w="1064" w:type="dxa"/>
            <w:tcBorders>
              <w:top w:val="nil"/>
              <w:left w:val="nil"/>
              <w:bottom w:val="single" w:sz="4" w:space="0" w:color="auto"/>
              <w:right w:val="single" w:sz="4" w:space="0" w:color="auto"/>
            </w:tcBorders>
            <w:shd w:val="clear" w:color="000000" w:fill="FFFFFF"/>
            <w:vAlign w:val="center"/>
            <w:hideMark/>
          </w:tcPr>
          <w:p w14:paraId="345372A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5.4 </w:t>
            </w:r>
          </w:p>
        </w:tc>
        <w:tc>
          <w:tcPr>
            <w:tcW w:w="1194" w:type="dxa"/>
            <w:tcBorders>
              <w:top w:val="nil"/>
              <w:left w:val="nil"/>
              <w:bottom w:val="single" w:sz="4" w:space="0" w:color="auto"/>
              <w:right w:val="single" w:sz="4" w:space="0" w:color="auto"/>
            </w:tcBorders>
            <w:shd w:val="clear" w:color="000000" w:fill="FFFFFF"/>
            <w:vAlign w:val="center"/>
            <w:hideMark/>
          </w:tcPr>
          <w:p w14:paraId="00630396"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1.5 </w:t>
            </w:r>
          </w:p>
        </w:tc>
        <w:tc>
          <w:tcPr>
            <w:tcW w:w="1194" w:type="dxa"/>
            <w:tcBorders>
              <w:top w:val="nil"/>
              <w:left w:val="nil"/>
              <w:bottom w:val="single" w:sz="4" w:space="0" w:color="auto"/>
              <w:right w:val="single" w:sz="4" w:space="0" w:color="auto"/>
            </w:tcBorders>
            <w:shd w:val="clear" w:color="000000" w:fill="FFFFFF"/>
            <w:vAlign w:val="center"/>
            <w:hideMark/>
          </w:tcPr>
          <w:p w14:paraId="718D2F76"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2.5 </w:t>
            </w:r>
          </w:p>
        </w:tc>
      </w:tr>
      <w:tr w:rsidR="00EA4ED3" w:rsidRPr="004A785B" w14:paraId="5DE7E95F"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75C2236E"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33D6314B"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vertAlign w:val="superscript"/>
              </w:rPr>
              <w:t>†</w:t>
            </w:r>
            <w:r w:rsidRPr="004A785B">
              <w:rPr>
                <w:rFonts w:ascii="Calibri" w:hAnsi="Calibri"/>
                <w:color w:val="000000"/>
                <w:sz w:val="20"/>
                <w:szCs w:val="20"/>
              </w:rPr>
              <w:t>Pre-Post-natal</w:t>
            </w:r>
          </w:p>
        </w:tc>
        <w:tc>
          <w:tcPr>
            <w:tcW w:w="1103" w:type="dxa"/>
            <w:tcBorders>
              <w:top w:val="nil"/>
              <w:left w:val="nil"/>
              <w:bottom w:val="single" w:sz="4" w:space="0" w:color="auto"/>
              <w:right w:val="single" w:sz="4" w:space="0" w:color="auto"/>
            </w:tcBorders>
            <w:shd w:val="clear" w:color="000000" w:fill="FFFFFF"/>
          </w:tcPr>
          <w:p w14:paraId="3B2DC75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298.7 </w:t>
            </w:r>
          </w:p>
        </w:tc>
        <w:tc>
          <w:tcPr>
            <w:tcW w:w="1030" w:type="dxa"/>
            <w:tcBorders>
              <w:top w:val="nil"/>
              <w:left w:val="nil"/>
              <w:bottom w:val="single" w:sz="4" w:space="0" w:color="auto"/>
              <w:right w:val="single" w:sz="4" w:space="0" w:color="auto"/>
            </w:tcBorders>
            <w:shd w:val="clear" w:color="000000" w:fill="FFFFFF"/>
          </w:tcPr>
          <w:p w14:paraId="6644235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162.9 </w:t>
            </w:r>
          </w:p>
        </w:tc>
        <w:tc>
          <w:tcPr>
            <w:tcW w:w="1064" w:type="dxa"/>
            <w:tcBorders>
              <w:top w:val="nil"/>
              <w:left w:val="nil"/>
              <w:bottom w:val="single" w:sz="4" w:space="0" w:color="auto"/>
              <w:right w:val="single" w:sz="4" w:space="0" w:color="auto"/>
            </w:tcBorders>
            <w:shd w:val="clear" w:color="000000" w:fill="FFFFFF"/>
          </w:tcPr>
          <w:p w14:paraId="5F0C0A22"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579.4 </w:t>
            </w:r>
          </w:p>
        </w:tc>
        <w:tc>
          <w:tcPr>
            <w:tcW w:w="1194" w:type="dxa"/>
            <w:tcBorders>
              <w:top w:val="nil"/>
              <w:left w:val="nil"/>
              <w:bottom w:val="single" w:sz="4" w:space="0" w:color="auto"/>
              <w:right w:val="single" w:sz="4" w:space="0" w:color="auto"/>
            </w:tcBorders>
            <w:shd w:val="clear" w:color="000000" w:fill="FFFFFF"/>
          </w:tcPr>
          <w:p w14:paraId="6BED922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258.1 </w:t>
            </w:r>
          </w:p>
        </w:tc>
        <w:tc>
          <w:tcPr>
            <w:tcW w:w="1194" w:type="dxa"/>
            <w:tcBorders>
              <w:top w:val="nil"/>
              <w:left w:val="nil"/>
              <w:bottom w:val="single" w:sz="4" w:space="0" w:color="auto"/>
              <w:right w:val="single" w:sz="4" w:space="0" w:color="auto"/>
            </w:tcBorders>
            <w:shd w:val="clear" w:color="000000" w:fill="FFFFFF"/>
          </w:tcPr>
          <w:p w14:paraId="140D50F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339.3 </w:t>
            </w:r>
          </w:p>
        </w:tc>
      </w:tr>
      <w:tr w:rsidR="00EA4ED3" w:rsidRPr="004A785B" w14:paraId="1ECA1892"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24F0D2F5"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45D9B4A1"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Specialty Care</w:t>
            </w:r>
          </w:p>
        </w:tc>
        <w:tc>
          <w:tcPr>
            <w:tcW w:w="1103" w:type="dxa"/>
            <w:tcBorders>
              <w:top w:val="nil"/>
              <w:left w:val="nil"/>
              <w:bottom w:val="single" w:sz="4" w:space="0" w:color="auto"/>
              <w:right w:val="single" w:sz="4" w:space="0" w:color="auto"/>
            </w:tcBorders>
            <w:shd w:val="clear" w:color="000000" w:fill="FFFFFF"/>
            <w:vAlign w:val="center"/>
            <w:hideMark/>
          </w:tcPr>
          <w:p w14:paraId="4BF3641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68.3 </w:t>
            </w:r>
          </w:p>
        </w:tc>
        <w:tc>
          <w:tcPr>
            <w:tcW w:w="1030" w:type="dxa"/>
            <w:tcBorders>
              <w:top w:val="nil"/>
              <w:left w:val="nil"/>
              <w:bottom w:val="single" w:sz="4" w:space="0" w:color="auto"/>
              <w:right w:val="single" w:sz="4" w:space="0" w:color="auto"/>
            </w:tcBorders>
            <w:shd w:val="clear" w:color="000000" w:fill="FFFFFF"/>
            <w:vAlign w:val="center"/>
            <w:hideMark/>
          </w:tcPr>
          <w:p w14:paraId="5353E43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39.4 </w:t>
            </w:r>
          </w:p>
        </w:tc>
        <w:tc>
          <w:tcPr>
            <w:tcW w:w="1064" w:type="dxa"/>
            <w:tcBorders>
              <w:top w:val="nil"/>
              <w:left w:val="nil"/>
              <w:bottom w:val="single" w:sz="4" w:space="0" w:color="auto"/>
              <w:right w:val="single" w:sz="4" w:space="0" w:color="auto"/>
            </w:tcBorders>
            <w:shd w:val="clear" w:color="000000" w:fill="FFFFFF"/>
            <w:vAlign w:val="center"/>
            <w:hideMark/>
          </w:tcPr>
          <w:p w14:paraId="54677A6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102.8 </w:t>
            </w:r>
          </w:p>
        </w:tc>
        <w:tc>
          <w:tcPr>
            <w:tcW w:w="1194" w:type="dxa"/>
            <w:tcBorders>
              <w:top w:val="nil"/>
              <w:left w:val="nil"/>
              <w:bottom w:val="single" w:sz="4" w:space="0" w:color="auto"/>
              <w:right w:val="single" w:sz="4" w:space="0" w:color="auto"/>
            </w:tcBorders>
            <w:shd w:val="clear" w:color="000000" w:fill="FFFFFF"/>
            <w:vAlign w:val="center"/>
            <w:hideMark/>
          </w:tcPr>
          <w:p w14:paraId="20CFD2D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61.5 </w:t>
            </w:r>
          </w:p>
        </w:tc>
        <w:tc>
          <w:tcPr>
            <w:tcW w:w="1194" w:type="dxa"/>
            <w:tcBorders>
              <w:top w:val="nil"/>
              <w:left w:val="nil"/>
              <w:bottom w:val="single" w:sz="4" w:space="0" w:color="auto"/>
              <w:right w:val="single" w:sz="4" w:space="0" w:color="auto"/>
            </w:tcBorders>
            <w:shd w:val="clear" w:color="000000" w:fill="FFFFFF"/>
            <w:vAlign w:val="center"/>
            <w:hideMark/>
          </w:tcPr>
          <w:p w14:paraId="5FD8E4B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75.1 </w:t>
            </w:r>
          </w:p>
        </w:tc>
      </w:tr>
      <w:tr w:rsidR="00EA4ED3" w:rsidRPr="004A785B" w14:paraId="5E2D9976" w14:textId="77777777" w:rsidTr="00EA4ED3">
        <w:tc>
          <w:tcPr>
            <w:tcW w:w="21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A1D4A57" w14:textId="77777777" w:rsidR="00EA4ED3" w:rsidRPr="004A785B" w:rsidRDefault="00EA4ED3" w:rsidP="00EA4ED3">
            <w:pPr>
              <w:jc w:val="center"/>
              <w:rPr>
                <w:rFonts w:ascii="Calibri" w:hAnsi="Calibri"/>
                <w:b/>
                <w:color w:val="000000"/>
                <w:sz w:val="20"/>
                <w:szCs w:val="20"/>
              </w:rPr>
            </w:pPr>
            <w:r w:rsidRPr="004A785B">
              <w:rPr>
                <w:rFonts w:ascii="Calibri" w:hAnsi="Calibri"/>
                <w:b/>
                <w:color w:val="000000"/>
                <w:sz w:val="20"/>
                <w:szCs w:val="20"/>
              </w:rPr>
              <w:t>North Coast</w:t>
            </w:r>
          </w:p>
        </w:tc>
        <w:tc>
          <w:tcPr>
            <w:tcW w:w="1655" w:type="dxa"/>
            <w:tcBorders>
              <w:top w:val="nil"/>
              <w:left w:val="nil"/>
              <w:bottom w:val="single" w:sz="4" w:space="0" w:color="auto"/>
              <w:right w:val="single" w:sz="4" w:space="0" w:color="auto"/>
            </w:tcBorders>
            <w:shd w:val="clear" w:color="000000" w:fill="FFFFFF"/>
            <w:vAlign w:val="center"/>
            <w:hideMark/>
          </w:tcPr>
          <w:p w14:paraId="60B9D960"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Primary Care</w:t>
            </w:r>
          </w:p>
        </w:tc>
        <w:tc>
          <w:tcPr>
            <w:tcW w:w="1103" w:type="dxa"/>
            <w:tcBorders>
              <w:top w:val="nil"/>
              <w:left w:val="nil"/>
              <w:bottom w:val="single" w:sz="4" w:space="0" w:color="auto"/>
              <w:right w:val="single" w:sz="4" w:space="0" w:color="auto"/>
            </w:tcBorders>
            <w:shd w:val="clear" w:color="000000" w:fill="FFFFFF"/>
            <w:vAlign w:val="center"/>
            <w:hideMark/>
          </w:tcPr>
          <w:p w14:paraId="54D515A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182.7 </w:t>
            </w:r>
          </w:p>
        </w:tc>
        <w:tc>
          <w:tcPr>
            <w:tcW w:w="1030" w:type="dxa"/>
            <w:tcBorders>
              <w:top w:val="nil"/>
              <w:left w:val="nil"/>
              <w:bottom w:val="single" w:sz="4" w:space="0" w:color="auto"/>
              <w:right w:val="single" w:sz="4" w:space="0" w:color="auto"/>
            </w:tcBorders>
            <w:shd w:val="clear" w:color="000000" w:fill="FFFFFF"/>
            <w:vAlign w:val="center"/>
            <w:hideMark/>
          </w:tcPr>
          <w:p w14:paraId="0DADC44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61.5 </w:t>
            </w:r>
          </w:p>
        </w:tc>
        <w:tc>
          <w:tcPr>
            <w:tcW w:w="1064" w:type="dxa"/>
            <w:tcBorders>
              <w:top w:val="nil"/>
              <w:left w:val="nil"/>
              <w:bottom w:val="single" w:sz="4" w:space="0" w:color="auto"/>
              <w:right w:val="single" w:sz="4" w:space="0" w:color="auto"/>
            </w:tcBorders>
            <w:shd w:val="clear" w:color="000000" w:fill="FFFFFF"/>
            <w:vAlign w:val="center"/>
            <w:hideMark/>
          </w:tcPr>
          <w:p w14:paraId="5E507CC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407.4 </w:t>
            </w:r>
          </w:p>
        </w:tc>
        <w:tc>
          <w:tcPr>
            <w:tcW w:w="1194" w:type="dxa"/>
            <w:tcBorders>
              <w:top w:val="nil"/>
              <w:left w:val="nil"/>
              <w:bottom w:val="single" w:sz="4" w:space="0" w:color="auto"/>
              <w:right w:val="single" w:sz="4" w:space="0" w:color="auto"/>
            </w:tcBorders>
            <w:shd w:val="clear" w:color="000000" w:fill="FFFFFF"/>
            <w:vAlign w:val="center"/>
            <w:hideMark/>
          </w:tcPr>
          <w:p w14:paraId="50CF26E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145.7 </w:t>
            </w:r>
          </w:p>
        </w:tc>
        <w:tc>
          <w:tcPr>
            <w:tcW w:w="1194" w:type="dxa"/>
            <w:tcBorders>
              <w:top w:val="nil"/>
              <w:left w:val="nil"/>
              <w:bottom w:val="single" w:sz="4" w:space="0" w:color="auto"/>
              <w:right w:val="single" w:sz="4" w:space="0" w:color="auto"/>
            </w:tcBorders>
            <w:shd w:val="clear" w:color="000000" w:fill="FFFFFF"/>
            <w:vAlign w:val="center"/>
            <w:hideMark/>
          </w:tcPr>
          <w:p w14:paraId="3614FCA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219.7 </w:t>
            </w:r>
          </w:p>
        </w:tc>
      </w:tr>
      <w:tr w:rsidR="00EA4ED3" w:rsidRPr="004A785B" w14:paraId="10629916"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16653B4E"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44A0E758"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Behavioral Care</w:t>
            </w:r>
          </w:p>
        </w:tc>
        <w:tc>
          <w:tcPr>
            <w:tcW w:w="1103" w:type="dxa"/>
            <w:tcBorders>
              <w:top w:val="nil"/>
              <w:left w:val="nil"/>
              <w:bottom w:val="single" w:sz="4" w:space="0" w:color="auto"/>
              <w:right w:val="single" w:sz="4" w:space="0" w:color="auto"/>
            </w:tcBorders>
            <w:shd w:val="clear" w:color="000000" w:fill="FFFFFF"/>
            <w:vAlign w:val="center"/>
            <w:hideMark/>
          </w:tcPr>
          <w:p w14:paraId="6BD7E3C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0.0 </w:t>
            </w:r>
          </w:p>
        </w:tc>
        <w:tc>
          <w:tcPr>
            <w:tcW w:w="1030" w:type="dxa"/>
            <w:tcBorders>
              <w:top w:val="nil"/>
              <w:left w:val="nil"/>
              <w:bottom w:val="single" w:sz="4" w:space="0" w:color="auto"/>
              <w:right w:val="single" w:sz="4" w:space="0" w:color="auto"/>
            </w:tcBorders>
            <w:shd w:val="clear" w:color="000000" w:fill="FFFFFF"/>
            <w:vAlign w:val="center"/>
            <w:hideMark/>
          </w:tcPr>
          <w:p w14:paraId="544AF83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   </w:t>
            </w:r>
          </w:p>
        </w:tc>
        <w:tc>
          <w:tcPr>
            <w:tcW w:w="1064" w:type="dxa"/>
            <w:tcBorders>
              <w:top w:val="nil"/>
              <w:left w:val="nil"/>
              <w:bottom w:val="single" w:sz="4" w:space="0" w:color="auto"/>
              <w:right w:val="single" w:sz="4" w:space="0" w:color="auto"/>
            </w:tcBorders>
            <w:shd w:val="clear" w:color="000000" w:fill="FFFFFF"/>
            <w:vAlign w:val="center"/>
            <w:hideMark/>
          </w:tcPr>
          <w:p w14:paraId="5B21B14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0.5 </w:t>
            </w:r>
          </w:p>
        </w:tc>
        <w:tc>
          <w:tcPr>
            <w:tcW w:w="1194" w:type="dxa"/>
            <w:tcBorders>
              <w:top w:val="nil"/>
              <w:left w:val="nil"/>
              <w:bottom w:val="single" w:sz="4" w:space="0" w:color="auto"/>
              <w:right w:val="single" w:sz="4" w:space="0" w:color="auto"/>
            </w:tcBorders>
            <w:shd w:val="clear" w:color="000000" w:fill="FFFFFF"/>
            <w:vAlign w:val="center"/>
            <w:hideMark/>
          </w:tcPr>
          <w:p w14:paraId="369B7D7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0.0 </w:t>
            </w:r>
          </w:p>
        </w:tc>
        <w:tc>
          <w:tcPr>
            <w:tcW w:w="1194" w:type="dxa"/>
            <w:tcBorders>
              <w:top w:val="nil"/>
              <w:left w:val="nil"/>
              <w:bottom w:val="single" w:sz="4" w:space="0" w:color="auto"/>
              <w:right w:val="single" w:sz="4" w:space="0" w:color="auto"/>
            </w:tcBorders>
            <w:shd w:val="clear" w:color="000000" w:fill="FFFFFF"/>
            <w:vAlign w:val="center"/>
            <w:hideMark/>
          </w:tcPr>
          <w:p w14:paraId="0629E5D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0.1 </w:t>
            </w:r>
          </w:p>
        </w:tc>
      </w:tr>
      <w:tr w:rsidR="00EA4ED3" w:rsidRPr="004A785B" w14:paraId="526F16F1"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319794C5"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1F3310C0"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Home Health</w:t>
            </w:r>
          </w:p>
        </w:tc>
        <w:tc>
          <w:tcPr>
            <w:tcW w:w="1103" w:type="dxa"/>
            <w:tcBorders>
              <w:top w:val="nil"/>
              <w:left w:val="nil"/>
              <w:bottom w:val="single" w:sz="4" w:space="0" w:color="auto"/>
              <w:right w:val="single" w:sz="4" w:space="0" w:color="auto"/>
            </w:tcBorders>
            <w:shd w:val="clear" w:color="000000" w:fill="FFFFFF"/>
            <w:vAlign w:val="center"/>
            <w:hideMark/>
          </w:tcPr>
          <w:p w14:paraId="05165EA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0.5 </w:t>
            </w:r>
          </w:p>
        </w:tc>
        <w:tc>
          <w:tcPr>
            <w:tcW w:w="1030" w:type="dxa"/>
            <w:tcBorders>
              <w:top w:val="nil"/>
              <w:left w:val="nil"/>
              <w:bottom w:val="single" w:sz="4" w:space="0" w:color="auto"/>
              <w:right w:val="single" w:sz="4" w:space="0" w:color="auto"/>
            </w:tcBorders>
            <w:shd w:val="clear" w:color="000000" w:fill="FFFFFF"/>
            <w:vAlign w:val="center"/>
            <w:hideMark/>
          </w:tcPr>
          <w:p w14:paraId="463A22C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   </w:t>
            </w:r>
          </w:p>
        </w:tc>
        <w:tc>
          <w:tcPr>
            <w:tcW w:w="1064" w:type="dxa"/>
            <w:tcBorders>
              <w:top w:val="nil"/>
              <w:left w:val="nil"/>
              <w:bottom w:val="single" w:sz="4" w:space="0" w:color="auto"/>
              <w:right w:val="single" w:sz="4" w:space="0" w:color="auto"/>
            </w:tcBorders>
            <w:shd w:val="clear" w:color="000000" w:fill="FFFFFF"/>
            <w:vAlign w:val="center"/>
            <w:hideMark/>
          </w:tcPr>
          <w:p w14:paraId="3F542A2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1.9 </w:t>
            </w:r>
          </w:p>
        </w:tc>
        <w:tc>
          <w:tcPr>
            <w:tcW w:w="1194" w:type="dxa"/>
            <w:tcBorders>
              <w:top w:val="nil"/>
              <w:left w:val="nil"/>
              <w:bottom w:val="single" w:sz="4" w:space="0" w:color="auto"/>
              <w:right w:val="single" w:sz="4" w:space="0" w:color="auto"/>
            </w:tcBorders>
            <w:shd w:val="clear" w:color="000000" w:fill="FFFFFF"/>
            <w:vAlign w:val="center"/>
            <w:hideMark/>
          </w:tcPr>
          <w:p w14:paraId="1AE193B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0.2 </w:t>
            </w:r>
          </w:p>
        </w:tc>
        <w:tc>
          <w:tcPr>
            <w:tcW w:w="1194" w:type="dxa"/>
            <w:tcBorders>
              <w:top w:val="nil"/>
              <w:left w:val="nil"/>
              <w:bottom w:val="single" w:sz="4" w:space="0" w:color="auto"/>
              <w:right w:val="single" w:sz="4" w:space="0" w:color="auto"/>
            </w:tcBorders>
            <w:shd w:val="clear" w:color="000000" w:fill="FFFFFF"/>
            <w:vAlign w:val="center"/>
            <w:hideMark/>
          </w:tcPr>
          <w:p w14:paraId="5AED089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0.7 </w:t>
            </w:r>
          </w:p>
        </w:tc>
      </w:tr>
      <w:tr w:rsidR="00EA4ED3" w:rsidRPr="004A785B" w14:paraId="56A6EAA8"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0ACFFB17"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67E0452B"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vertAlign w:val="superscript"/>
              </w:rPr>
              <w:t>†</w:t>
            </w:r>
            <w:r w:rsidRPr="004A785B">
              <w:rPr>
                <w:rFonts w:ascii="Calibri" w:hAnsi="Calibri"/>
                <w:color w:val="000000"/>
                <w:sz w:val="20"/>
                <w:szCs w:val="20"/>
              </w:rPr>
              <w:t>Pre-Post-natal</w:t>
            </w:r>
          </w:p>
        </w:tc>
        <w:tc>
          <w:tcPr>
            <w:tcW w:w="1103" w:type="dxa"/>
            <w:tcBorders>
              <w:top w:val="nil"/>
              <w:left w:val="nil"/>
              <w:bottom w:val="single" w:sz="4" w:space="0" w:color="auto"/>
              <w:right w:val="single" w:sz="4" w:space="0" w:color="auto"/>
            </w:tcBorders>
            <w:shd w:val="clear" w:color="000000" w:fill="FFFFFF"/>
          </w:tcPr>
          <w:p w14:paraId="21CA7C1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167.2 </w:t>
            </w:r>
          </w:p>
        </w:tc>
        <w:tc>
          <w:tcPr>
            <w:tcW w:w="1030" w:type="dxa"/>
            <w:tcBorders>
              <w:top w:val="nil"/>
              <w:left w:val="nil"/>
              <w:bottom w:val="single" w:sz="4" w:space="0" w:color="auto"/>
              <w:right w:val="single" w:sz="4" w:space="0" w:color="auto"/>
            </w:tcBorders>
            <w:shd w:val="clear" w:color="000000" w:fill="FFFFFF"/>
          </w:tcPr>
          <w:p w14:paraId="7006F5F6"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54.0 </w:t>
            </w:r>
          </w:p>
        </w:tc>
        <w:tc>
          <w:tcPr>
            <w:tcW w:w="1064" w:type="dxa"/>
            <w:tcBorders>
              <w:top w:val="nil"/>
              <w:left w:val="nil"/>
              <w:bottom w:val="single" w:sz="4" w:space="0" w:color="auto"/>
              <w:right w:val="single" w:sz="4" w:space="0" w:color="auto"/>
            </w:tcBorders>
            <w:shd w:val="clear" w:color="000000" w:fill="FFFFFF"/>
          </w:tcPr>
          <w:p w14:paraId="5616D162"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305.3 </w:t>
            </w:r>
          </w:p>
        </w:tc>
        <w:tc>
          <w:tcPr>
            <w:tcW w:w="1194" w:type="dxa"/>
            <w:tcBorders>
              <w:top w:val="nil"/>
              <w:left w:val="nil"/>
              <w:bottom w:val="single" w:sz="4" w:space="0" w:color="auto"/>
              <w:right w:val="single" w:sz="4" w:space="0" w:color="auto"/>
            </w:tcBorders>
            <w:shd w:val="clear" w:color="000000" w:fill="FFFFFF"/>
          </w:tcPr>
          <w:p w14:paraId="446B6F8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139.5 </w:t>
            </w:r>
          </w:p>
        </w:tc>
        <w:tc>
          <w:tcPr>
            <w:tcW w:w="1194" w:type="dxa"/>
            <w:tcBorders>
              <w:top w:val="nil"/>
              <w:left w:val="nil"/>
              <w:bottom w:val="single" w:sz="4" w:space="0" w:color="auto"/>
              <w:right w:val="single" w:sz="4" w:space="0" w:color="auto"/>
            </w:tcBorders>
            <w:shd w:val="clear" w:color="000000" w:fill="FFFFFF"/>
          </w:tcPr>
          <w:p w14:paraId="68A32A9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195.0 </w:t>
            </w:r>
          </w:p>
        </w:tc>
      </w:tr>
      <w:tr w:rsidR="00EA4ED3" w:rsidRPr="004A785B" w14:paraId="7F0CB439"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5C850127"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758A1200"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Specialty Care</w:t>
            </w:r>
          </w:p>
        </w:tc>
        <w:tc>
          <w:tcPr>
            <w:tcW w:w="1103" w:type="dxa"/>
            <w:tcBorders>
              <w:top w:val="nil"/>
              <w:left w:val="nil"/>
              <w:bottom w:val="single" w:sz="4" w:space="0" w:color="auto"/>
              <w:right w:val="single" w:sz="4" w:space="0" w:color="auto"/>
            </w:tcBorders>
            <w:shd w:val="clear" w:color="000000" w:fill="FFFFFF"/>
            <w:vAlign w:val="center"/>
            <w:hideMark/>
          </w:tcPr>
          <w:p w14:paraId="4CE18C3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38.3 </w:t>
            </w:r>
          </w:p>
        </w:tc>
        <w:tc>
          <w:tcPr>
            <w:tcW w:w="1030" w:type="dxa"/>
            <w:tcBorders>
              <w:top w:val="nil"/>
              <w:left w:val="nil"/>
              <w:bottom w:val="single" w:sz="4" w:space="0" w:color="auto"/>
              <w:right w:val="single" w:sz="4" w:space="0" w:color="auto"/>
            </w:tcBorders>
            <w:shd w:val="clear" w:color="000000" w:fill="FFFFFF"/>
            <w:vAlign w:val="center"/>
            <w:hideMark/>
          </w:tcPr>
          <w:p w14:paraId="03CD5B3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9.6 </w:t>
            </w:r>
          </w:p>
        </w:tc>
        <w:tc>
          <w:tcPr>
            <w:tcW w:w="1064" w:type="dxa"/>
            <w:tcBorders>
              <w:top w:val="nil"/>
              <w:left w:val="nil"/>
              <w:bottom w:val="single" w:sz="4" w:space="0" w:color="auto"/>
              <w:right w:val="single" w:sz="4" w:space="0" w:color="auto"/>
            </w:tcBorders>
            <w:shd w:val="clear" w:color="000000" w:fill="FFFFFF"/>
            <w:vAlign w:val="center"/>
            <w:hideMark/>
          </w:tcPr>
          <w:p w14:paraId="78315E7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81.8 </w:t>
            </w:r>
          </w:p>
        </w:tc>
        <w:tc>
          <w:tcPr>
            <w:tcW w:w="1194" w:type="dxa"/>
            <w:tcBorders>
              <w:top w:val="nil"/>
              <w:left w:val="nil"/>
              <w:bottom w:val="single" w:sz="4" w:space="0" w:color="auto"/>
              <w:right w:val="single" w:sz="4" w:space="0" w:color="auto"/>
            </w:tcBorders>
            <w:shd w:val="clear" w:color="000000" w:fill="FFFFFF"/>
            <w:vAlign w:val="center"/>
            <w:hideMark/>
          </w:tcPr>
          <w:p w14:paraId="1902D7E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30.4 </w:t>
            </w:r>
          </w:p>
        </w:tc>
        <w:tc>
          <w:tcPr>
            <w:tcW w:w="1194" w:type="dxa"/>
            <w:tcBorders>
              <w:top w:val="nil"/>
              <w:left w:val="nil"/>
              <w:bottom w:val="single" w:sz="4" w:space="0" w:color="auto"/>
              <w:right w:val="single" w:sz="4" w:space="0" w:color="auto"/>
            </w:tcBorders>
            <w:shd w:val="clear" w:color="000000" w:fill="FFFFFF"/>
            <w:vAlign w:val="center"/>
            <w:hideMark/>
          </w:tcPr>
          <w:p w14:paraId="1D20669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46.2 </w:t>
            </w:r>
          </w:p>
        </w:tc>
      </w:tr>
      <w:tr w:rsidR="00EA4ED3" w:rsidRPr="004A785B" w14:paraId="420F3536" w14:textId="77777777" w:rsidTr="00EA4ED3">
        <w:tc>
          <w:tcPr>
            <w:tcW w:w="21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56AFB33" w14:textId="77777777" w:rsidR="00EA4ED3" w:rsidRPr="004A785B" w:rsidRDefault="00EA4ED3" w:rsidP="00EA4ED3">
            <w:pPr>
              <w:jc w:val="center"/>
              <w:rPr>
                <w:rFonts w:ascii="Calibri" w:hAnsi="Calibri"/>
                <w:b/>
                <w:color w:val="000000"/>
                <w:sz w:val="20"/>
                <w:szCs w:val="20"/>
              </w:rPr>
            </w:pPr>
            <w:r w:rsidRPr="004A785B">
              <w:rPr>
                <w:rFonts w:ascii="Calibri" w:hAnsi="Calibri"/>
                <w:b/>
                <w:color w:val="000000"/>
                <w:sz w:val="20"/>
                <w:szCs w:val="20"/>
              </w:rPr>
              <w:t>Sacramento Valley</w:t>
            </w:r>
          </w:p>
        </w:tc>
        <w:tc>
          <w:tcPr>
            <w:tcW w:w="1655" w:type="dxa"/>
            <w:tcBorders>
              <w:top w:val="nil"/>
              <w:left w:val="nil"/>
              <w:bottom w:val="single" w:sz="4" w:space="0" w:color="auto"/>
              <w:right w:val="single" w:sz="4" w:space="0" w:color="auto"/>
            </w:tcBorders>
            <w:shd w:val="clear" w:color="000000" w:fill="FFFFFF"/>
            <w:vAlign w:val="center"/>
            <w:hideMark/>
          </w:tcPr>
          <w:p w14:paraId="14339D2F"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Primary Care</w:t>
            </w:r>
          </w:p>
        </w:tc>
        <w:tc>
          <w:tcPr>
            <w:tcW w:w="1103" w:type="dxa"/>
            <w:tcBorders>
              <w:top w:val="nil"/>
              <w:left w:val="nil"/>
              <w:bottom w:val="single" w:sz="4" w:space="0" w:color="auto"/>
              <w:right w:val="single" w:sz="4" w:space="0" w:color="auto"/>
            </w:tcBorders>
            <w:shd w:val="clear" w:color="000000" w:fill="FFFFFF"/>
            <w:vAlign w:val="center"/>
            <w:hideMark/>
          </w:tcPr>
          <w:p w14:paraId="1B21DCC2"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160.2 </w:t>
            </w:r>
          </w:p>
        </w:tc>
        <w:tc>
          <w:tcPr>
            <w:tcW w:w="1030" w:type="dxa"/>
            <w:tcBorders>
              <w:top w:val="nil"/>
              <w:left w:val="nil"/>
              <w:bottom w:val="single" w:sz="4" w:space="0" w:color="auto"/>
              <w:right w:val="single" w:sz="4" w:space="0" w:color="auto"/>
            </w:tcBorders>
            <w:shd w:val="clear" w:color="000000" w:fill="FFFFFF"/>
            <w:vAlign w:val="center"/>
            <w:hideMark/>
          </w:tcPr>
          <w:p w14:paraId="7D1EB94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70.3 </w:t>
            </w:r>
          </w:p>
        </w:tc>
        <w:tc>
          <w:tcPr>
            <w:tcW w:w="1064" w:type="dxa"/>
            <w:tcBorders>
              <w:top w:val="nil"/>
              <w:left w:val="nil"/>
              <w:bottom w:val="single" w:sz="4" w:space="0" w:color="auto"/>
              <w:right w:val="single" w:sz="4" w:space="0" w:color="auto"/>
            </w:tcBorders>
            <w:shd w:val="clear" w:color="000000" w:fill="FFFFFF"/>
            <w:vAlign w:val="center"/>
            <w:hideMark/>
          </w:tcPr>
          <w:p w14:paraId="1EB762A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329.9 </w:t>
            </w:r>
          </w:p>
        </w:tc>
        <w:tc>
          <w:tcPr>
            <w:tcW w:w="1194" w:type="dxa"/>
            <w:tcBorders>
              <w:top w:val="nil"/>
              <w:left w:val="nil"/>
              <w:bottom w:val="single" w:sz="4" w:space="0" w:color="auto"/>
              <w:right w:val="single" w:sz="4" w:space="0" w:color="auto"/>
            </w:tcBorders>
            <w:shd w:val="clear" w:color="000000" w:fill="FFFFFF"/>
            <w:vAlign w:val="center"/>
            <w:hideMark/>
          </w:tcPr>
          <w:p w14:paraId="7C4FF2B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132.3 </w:t>
            </w:r>
          </w:p>
        </w:tc>
        <w:tc>
          <w:tcPr>
            <w:tcW w:w="1194" w:type="dxa"/>
            <w:tcBorders>
              <w:top w:val="nil"/>
              <w:left w:val="nil"/>
              <w:bottom w:val="single" w:sz="4" w:space="0" w:color="auto"/>
              <w:right w:val="single" w:sz="4" w:space="0" w:color="auto"/>
            </w:tcBorders>
            <w:shd w:val="clear" w:color="000000" w:fill="FFFFFF"/>
            <w:vAlign w:val="center"/>
            <w:hideMark/>
          </w:tcPr>
          <w:p w14:paraId="2220093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188.1 </w:t>
            </w:r>
          </w:p>
        </w:tc>
      </w:tr>
      <w:tr w:rsidR="00EA4ED3" w:rsidRPr="004A785B" w14:paraId="2266BCA0"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5C794077"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32AB0BFE"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Behavioral Care</w:t>
            </w:r>
          </w:p>
        </w:tc>
        <w:tc>
          <w:tcPr>
            <w:tcW w:w="1103" w:type="dxa"/>
            <w:tcBorders>
              <w:top w:val="nil"/>
              <w:left w:val="nil"/>
              <w:bottom w:val="single" w:sz="4" w:space="0" w:color="auto"/>
              <w:right w:val="single" w:sz="4" w:space="0" w:color="auto"/>
            </w:tcBorders>
            <w:shd w:val="clear" w:color="000000" w:fill="FFFFFF"/>
            <w:vAlign w:val="center"/>
            <w:hideMark/>
          </w:tcPr>
          <w:p w14:paraId="66F7E54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5.4 </w:t>
            </w:r>
          </w:p>
        </w:tc>
        <w:tc>
          <w:tcPr>
            <w:tcW w:w="1030" w:type="dxa"/>
            <w:tcBorders>
              <w:top w:val="nil"/>
              <w:left w:val="nil"/>
              <w:bottom w:val="single" w:sz="4" w:space="0" w:color="auto"/>
              <w:right w:val="single" w:sz="4" w:space="0" w:color="auto"/>
            </w:tcBorders>
            <w:shd w:val="clear" w:color="000000" w:fill="FFFFFF"/>
            <w:vAlign w:val="center"/>
            <w:hideMark/>
          </w:tcPr>
          <w:p w14:paraId="4F2435C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2.4 </w:t>
            </w:r>
          </w:p>
        </w:tc>
        <w:tc>
          <w:tcPr>
            <w:tcW w:w="1064" w:type="dxa"/>
            <w:tcBorders>
              <w:top w:val="nil"/>
              <w:left w:val="nil"/>
              <w:bottom w:val="single" w:sz="4" w:space="0" w:color="auto"/>
              <w:right w:val="single" w:sz="4" w:space="0" w:color="auto"/>
            </w:tcBorders>
            <w:shd w:val="clear" w:color="000000" w:fill="FFFFFF"/>
            <w:vAlign w:val="center"/>
            <w:hideMark/>
          </w:tcPr>
          <w:p w14:paraId="3B30E53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7.6 </w:t>
            </w:r>
          </w:p>
        </w:tc>
        <w:tc>
          <w:tcPr>
            <w:tcW w:w="1194" w:type="dxa"/>
            <w:tcBorders>
              <w:top w:val="nil"/>
              <w:left w:val="nil"/>
              <w:bottom w:val="single" w:sz="4" w:space="0" w:color="auto"/>
              <w:right w:val="single" w:sz="4" w:space="0" w:color="auto"/>
            </w:tcBorders>
            <w:shd w:val="clear" w:color="000000" w:fill="FFFFFF"/>
            <w:vAlign w:val="center"/>
            <w:hideMark/>
          </w:tcPr>
          <w:p w14:paraId="5DD676D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4.9 </w:t>
            </w:r>
          </w:p>
        </w:tc>
        <w:tc>
          <w:tcPr>
            <w:tcW w:w="1194" w:type="dxa"/>
            <w:tcBorders>
              <w:top w:val="nil"/>
              <w:left w:val="nil"/>
              <w:bottom w:val="single" w:sz="4" w:space="0" w:color="auto"/>
              <w:right w:val="single" w:sz="4" w:space="0" w:color="auto"/>
            </w:tcBorders>
            <w:shd w:val="clear" w:color="000000" w:fill="FFFFFF"/>
            <w:vAlign w:val="center"/>
            <w:hideMark/>
          </w:tcPr>
          <w:p w14:paraId="0799628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5.9 </w:t>
            </w:r>
          </w:p>
        </w:tc>
      </w:tr>
      <w:tr w:rsidR="00EA4ED3" w:rsidRPr="004A785B" w14:paraId="207DF8BE"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5A5F1433"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0C96CCB6"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Home Health</w:t>
            </w:r>
          </w:p>
        </w:tc>
        <w:tc>
          <w:tcPr>
            <w:tcW w:w="1103" w:type="dxa"/>
            <w:tcBorders>
              <w:top w:val="nil"/>
              <w:left w:val="nil"/>
              <w:bottom w:val="single" w:sz="4" w:space="0" w:color="auto"/>
              <w:right w:val="single" w:sz="4" w:space="0" w:color="auto"/>
            </w:tcBorders>
            <w:shd w:val="clear" w:color="000000" w:fill="FFFFFF"/>
            <w:vAlign w:val="center"/>
            <w:hideMark/>
          </w:tcPr>
          <w:p w14:paraId="10380FF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3.4 </w:t>
            </w:r>
          </w:p>
        </w:tc>
        <w:tc>
          <w:tcPr>
            <w:tcW w:w="1030" w:type="dxa"/>
            <w:tcBorders>
              <w:top w:val="nil"/>
              <w:left w:val="nil"/>
              <w:bottom w:val="single" w:sz="4" w:space="0" w:color="auto"/>
              <w:right w:val="single" w:sz="4" w:space="0" w:color="auto"/>
            </w:tcBorders>
            <w:shd w:val="clear" w:color="000000" w:fill="FFFFFF"/>
            <w:vAlign w:val="center"/>
            <w:hideMark/>
          </w:tcPr>
          <w:p w14:paraId="51C9A39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1.9 </w:t>
            </w:r>
          </w:p>
        </w:tc>
        <w:tc>
          <w:tcPr>
            <w:tcW w:w="1064" w:type="dxa"/>
            <w:tcBorders>
              <w:top w:val="nil"/>
              <w:left w:val="nil"/>
              <w:bottom w:val="single" w:sz="4" w:space="0" w:color="auto"/>
              <w:right w:val="single" w:sz="4" w:space="0" w:color="auto"/>
            </w:tcBorders>
            <w:shd w:val="clear" w:color="000000" w:fill="FFFFFF"/>
            <w:vAlign w:val="center"/>
            <w:hideMark/>
          </w:tcPr>
          <w:p w14:paraId="3F95B36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4.6 </w:t>
            </w:r>
          </w:p>
        </w:tc>
        <w:tc>
          <w:tcPr>
            <w:tcW w:w="1194" w:type="dxa"/>
            <w:tcBorders>
              <w:top w:val="nil"/>
              <w:left w:val="nil"/>
              <w:bottom w:val="single" w:sz="4" w:space="0" w:color="auto"/>
              <w:right w:val="single" w:sz="4" w:space="0" w:color="auto"/>
            </w:tcBorders>
            <w:shd w:val="clear" w:color="000000" w:fill="FFFFFF"/>
            <w:vAlign w:val="center"/>
            <w:hideMark/>
          </w:tcPr>
          <w:p w14:paraId="6D10E85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3.2 </w:t>
            </w:r>
          </w:p>
        </w:tc>
        <w:tc>
          <w:tcPr>
            <w:tcW w:w="1194" w:type="dxa"/>
            <w:tcBorders>
              <w:top w:val="nil"/>
              <w:left w:val="nil"/>
              <w:bottom w:val="single" w:sz="4" w:space="0" w:color="auto"/>
              <w:right w:val="single" w:sz="4" w:space="0" w:color="auto"/>
            </w:tcBorders>
            <w:shd w:val="clear" w:color="000000" w:fill="FFFFFF"/>
            <w:vAlign w:val="center"/>
            <w:hideMark/>
          </w:tcPr>
          <w:p w14:paraId="3CAEFF1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3.6 </w:t>
            </w:r>
          </w:p>
        </w:tc>
      </w:tr>
      <w:tr w:rsidR="00EA4ED3" w:rsidRPr="004A785B" w14:paraId="42DEA660"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1BBC5882"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239C31A5"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vertAlign w:val="superscript"/>
              </w:rPr>
              <w:t>†</w:t>
            </w:r>
            <w:r w:rsidRPr="004A785B">
              <w:rPr>
                <w:rFonts w:ascii="Calibri" w:hAnsi="Calibri"/>
                <w:color w:val="000000"/>
                <w:sz w:val="20"/>
                <w:szCs w:val="20"/>
              </w:rPr>
              <w:t>Pre-Post-natal</w:t>
            </w:r>
          </w:p>
        </w:tc>
        <w:tc>
          <w:tcPr>
            <w:tcW w:w="1103" w:type="dxa"/>
            <w:tcBorders>
              <w:top w:val="nil"/>
              <w:left w:val="nil"/>
              <w:bottom w:val="single" w:sz="4" w:space="0" w:color="auto"/>
              <w:right w:val="single" w:sz="4" w:space="0" w:color="auto"/>
            </w:tcBorders>
            <w:shd w:val="clear" w:color="000000" w:fill="FFFFFF"/>
          </w:tcPr>
          <w:p w14:paraId="3A29462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253.4 </w:t>
            </w:r>
          </w:p>
        </w:tc>
        <w:tc>
          <w:tcPr>
            <w:tcW w:w="1030" w:type="dxa"/>
            <w:tcBorders>
              <w:top w:val="nil"/>
              <w:left w:val="nil"/>
              <w:bottom w:val="single" w:sz="4" w:space="0" w:color="auto"/>
              <w:right w:val="single" w:sz="4" w:space="0" w:color="auto"/>
            </w:tcBorders>
            <w:shd w:val="clear" w:color="000000" w:fill="FFFFFF"/>
          </w:tcPr>
          <w:p w14:paraId="5C76383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176.9 </w:t>
            </w:r>
          </w:p>
        </w:tc>
        <w:tc>
          <w:tcPr>
            <w:tcW w:w="1064" w:type="dxa"/>
            <w:tcBorders>
              <w:top w:val="nil"/>
              <w:left w:val="nil"/>
              <w:bottom w:val="single" w:sz="4" w:space="0" w:color="auto"/>
              <w:right w:val="single" w:sz="4" w:space="0" w:color="auto"/>
            </w:tcBorders>
            <w:shd w:val="clear" w:color="000000" w:fill="FFFFFF"/>
          </w:tcPr>
          <w:p w14:paraId="3E585AB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425.0 </w:t>
            </w:r>
          </w:p>
        </w:tc>
        <w:tc>
          <w:tcPr>
            <w:tcW w:w="1194" w:type="dxa"/>
            <w:tcBorders>
              <w:top w:val="nil"/>
              <w:left w:val="nil"/>
              <w:bottom w:val="single" w:sz="4" w:space="0" w:color="auto"/>
              <w:right w:val="single" w:sz="4" w:space="0" w:color="auto"/>
            </w:tcBorders>
            <w:shd w:val="clear" w:color="000000" w:fill="FFFFFF"/>
          </w:tcPr>
          <w:p w14:paraId="5E9D2786"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234.3 </w:t>
            </w:r>
          </w:p>
        </w:tc>
        <w:tc>
          <w:tcPr>
            <w:tcW w:w="1194" w:type="dxa"/>
            <w:tcBorders>
              <w:top w:val="nil"/>
              <w:left w:val="nil"/>
              <w:bottom w:val="single" w:sz="4" w:space="0" w:color="auto"/>
              <w:right w:val="single" w:sz="4" w:space="0" w:color="auto"/>
            </w:tcBorders>
            <w:shd w:val="clear" w:color="000000" w:fill="FFFFFF"/>
          </w:tcPr>
          <w:p w14:paraId="4E0221F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272.5 </w:t>
            </w:r>
          </w:p>
        </w:tc>
      </w:tr>
      <w:tr w:rsidR="00EA4ED3" w:rsidRPr="004A785B" w14:paraId="19683566"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72A184F1"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39760A1C"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Specialty Care</w:t>
            </w:r>
          </w:p>
        </w:tc>
        <w:tc>
          <w:tcPr>
            <w:tcW w:w="1103" w:type="dxa"/>
            <w:tcBorders>
              <w:top w:val="nil"/>
              <w:left w:val="nil"/>
              <w:bottom w:val="single" w:sz="4" w:space="0" w:color="auto"/>
              <w:right w:val="single" w:sz="4" w:space="0" w:color="auto"/>
            </w:tcBorders>
            <w:shd w:val="clear" w:color="000000" w:fill="FFFFFF"/>
            <w:vAlign w:val="center"/>
            <w:hideMark/>
          </w:tcPr>
          <w:p w14:paraId="006EB80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84.7 </w:t>
            </w:r>
          </w:p>
        </w:tc>
        <w:tc>
          <w:tcPr>
            <w:tcW w:w="1030" w:type="dxa"/>
            <w:tcBorders>
              <w:top w:val="nil"/>
              <w:left w:val="nil"/>
              <w:bottom w:val="single" w:sz="4" w:space="0" w:color="auto"/>
              <w:right w:val="single" w:sz="4" w:space="0" w:color="auto"/>
            </w:tcBorders>
            <w:shd w:val="clear" w:color="000000" w:fill="FFFFFF"/>
            <w:vAlign w:val="center"/>
            <w:hideMark/>
          </w:tcPr>
          <w:p w14:paraId="3297A96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39.5 </w:t>
            </w:r>
          </w:p>
        </w:tc>
        <w:tc>
          <w:tcPr>
            <w:tcW w:w="1064" w:type="dxa"/>
            <w:tcBorders>
              <w:top w:val="nil"/>
              <w:left w:val="nil"/>
              <w:bottom w:val="single" w:sz="4" w:space="0" w:color="auto"/>
              <w:right w:val="single" w:sz="4" w:space="0" w:color="auto"/>
            </w:tcBorders>
            <w:shd w:val="clear" w:color="000000" w:fill="FFFFFF"/>
            <w:vAlign w:val="center"/>
            <w:hideMark/>
          </w:tcPr>
          <w:p w14:paraId="7F4BD19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119.4 </w:t>
            </w:r>
          </w:p>
        </w:tc>
        <w:tc>
          <w:tcPr>
            <w:tcW w:w="1194" w:type="dxa"/>
            <w:tcBorders>
              <w:top w:val="nil"/>
              <w:left w:val="nil"/>
              <w:bottom w:val="single" w:sz="4" w:space="0" w:color="auto"/>
              <w:right w:val="single" w:sz="4" w:space="0" w:color="auto"/>
            </w:tcBorders>
            <w:shd w:val="clear" w:color="000000" w:fill="FFFFFF"/>
            <w:vAlign w:val="center"/>
            <w:hideMark/>
          </w:tcPr>
          <w:p w14:paraId="1AB4005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74.6 </w:t>
            </w:r>
          </w:p>
        </w:tc>
        <w:tc>
          <w:tcPr>
            <w:tcW w:w="1194" w:type="dxa"/>
            <w:tcBorders>
              <w:top w:val="nil"/>
              <w:left w:val="nil"/>
              <w:bottom w:val="single" w:sz="4" w:space="0" w:color="auto"/>
              <w:right w:val="single" w:sz="4" w:space="0" w:color="auto"/>
            </w:tcBorders>
            <w:shd w:val="clear" w:color="000000" w:fill="FFFFFF"/>
            <w:vAlign w:val="center"/>
            <w:hideMark/>
          </w:tcPr>
          <w:p w14:paraId="067D8BC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94.8 </w:t>
            </w:r>
          </w:p>
        </w:tc>
      </w:tr>
      <w:tr w:rsidR="00EA4ED3" w:rsidRPr="004A785B" w14:paraId="61C1F900" w14:textId="77777777" w:rsidTr="00EA4ED3">
        <w:tc>
          <w:tcPr>
            <w:tcW w:w="21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D5574E" w14:textId="77777777" w:rsidR="00EA4ED3" w:rsidRPr="004A785B" w:rsidRDefault="00EA4ED3" w:rsidP="00EA4ED3">
            <w:pPr>
              <w:jc w:val="center"/>
              <w:rPr>
                <w:rFonts w:ascii="Calibri" w:hAnsi="Calibri"/>
                <w:b/>
                <w:color w:val="000000"/>
                <w:sz w:val="20"/>
                <w:szCs w:val="20"/>
              </w:rPr>
            </w:pPr>
            <w:r w:rsidRPr="004A785B">
              <w:rPr>
                <w:rFonts w:ascii="Calibri" w:hAnsi="Calibri"/>
                <w:b/>
                <w:color w:val="000000"/>
                <w:sz w:val="20"/>
                <w:szCs w:val="20"/>
              </w:rPr>
              <w:t>Sierra Range/Foothills</w:t>
            </w:r>
          </w:p>
        </w:tc>
        <w:tc>
          <w:tcPr>
            <w:tcW w:w="1655" w:type="dxa"/>
            <w:tcBorders>
              <w:top w:val="nil"/>
              <w:left w:val="nil"/>
              <w:bottom w:val="single" w:sz="4" w:space="0" w:color="auto"/>
              <w:right w:val="single" w:sz="4" w:space="0" w:color="auto"/>
            </w:tcBorders>
            <w:shd w:val="clear" w:color="000000" w:fill="FFFFFF"/>
            <w:vAlign w:val="center"/>
            <w:hideMark/>
          </w:tcPr>
          <w:p w14:paraId="0C832F98"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Primary Care</w:t>
            </w:r>
          </w:p>
        </w:tc>
        <w:tc>
          <w:tcPr>
            <w:tcW w:w="1103" w:type="dxa"/>
            <w:tcBorders>
              <w:top w:val="nil"/>
              <w:left w:val="nil"/>
              <w:bottom w:val="single" w:sz="4" w:space="0" w:color="auto"/>
              <w:right w:val="single" w:sz="4" w:space="0" w:color="auto"/>
            </w:tcBorders>
            <w:shd w:val="clear" w:color="000000" w:fill="FFFFFF"/>
            <w:vAlign w:val="center"/>
            <w:hideMark/>
          </w:tcPr>
          <w:p w14:paraId="1FC58F0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161.5 </w:t>
            </w:r>
          </w:p>
        </w:tc>
        <w:tc>
          <w:tcPr>
            <w:tcW w:w="1030" w:type="dxa"/>
            <w:tcBorders>
              <w:top w:val="nil"/>
              <w:left w:val="nil"/>
              <w:bottom w:val="single" w:sz="4" w:space="0" w:color="auto"/>
              <w:right w:val="single" w:sz="4" w:space="0" w:color="auto"/>
            </w:tcBorders>
            <w:shd w:val="clear" w:color="000000" w:fill="FFFFFF"/>
            <w:vAlign w:val="center"/>
            <w:hideMark/>
          </w:tcPr>
          <w:p w14:paraId="790D750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74.6 </w:t>
            </w:r>
          </w:p>
        </w:tc>
        <w:tc>
          <w:tcPr>
            <w:tcW w:w="1064" w:type="dxa"/>
            <w:tcBorders>
              <w:top w:val="nil"/>
              <w:left w:val="nil"/>
              <w:bottom w:val="single" w:sz="4" w:space="0" w:color="auto"/>
              <w:right w:val="single" w:sz="4" w:space="0" w:color="auto"/>
            </w:tcBorders>
            <w:shd w:val="clear" w:color="000000" w:fill="FFFFFF"/>
            <w:vAlign w:val="center"/>
            <w:hideMark/>
          </w:tcPr>
          <w:p w14:paraId="144EA9A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305.2 </w:t>
            </w:r>
          </w:p>
        </w:tc>
        <w:tc>
          <w:tcPr>
            <w:tcW w:w="1194" w:type="dxa"/>
            <w:tcBorders>
              <w:top w:val="nil"/>
              <w:left w:val="nil"/>
              <w:bottom w:val="single" w:sz="4" w:space="0" w:color="auto"/>
              <w:right w:val="single" w:sz="4" w:space="0" w:color="auto"/>
            </w:tcBorders>
            <w:shd w:val="clear" w:color="000000" w:fill="FFFFFF"/>
            <w:vAlign w:val="center"/>
            <w:hideMark/>
          </w:tcPr>
          <w:p w14:paraId="28CFB3C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140.4 </w:t>
            </w:r>
          </w:p>
        </w:tc>
        <w:tc>
          <w:tcPr>
            <w:tcW w:w="1194" w:type="dxa"/>
            <w:tcBorders>
              <w:top w:val="nil"/>
              <w:left w:val="nil"/>
              <w:bottom w:val="single" w:sz="4" w:space="0" w:color="auto"/>
              <w:right w:val="single" w:sz="4" w:space="0" w:color="auto"/>
            </w:tcBorders>
            <w:shd w:val="clear" w:color="000000" w:fill="FFFFFF"/>
            <w:vAlign w:val="center"/>
            <w:hideMark/>
          </w:tcPr>
          <w:p w14:paraId="43319F88"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182.6 </w:t>
            </w:r>
          </w:p>
        </w:tc>
      </w:tr>
      <w:tr w:rsidR="00EA4ED3" w:rsidRPr="004A785B" w14:paraId="7310FC58"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697A519C"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1499BAFF"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Behavioral Care</w:t>
            </w:r>
          </w:p>
        </w:tc>
        <w:tc>
          <w:tcPr>
            <w:tcW w:w="1103" w:type="dxa"/>
            <w:tcBorders>
              <w:top w:val="nil"/>
              <w:left w:val="nil"/>
              <w:bottom w:val="single" w:sz="4" w:space="0" w:color="auto"/>
              <w:right w:val="single" w:sz="4" w:space="0" w:color="auto"/>
            </w:tcBorders>
            <w:shd w:val="clear" w:color="000000" w:fill="FFFFFF"/>
            <w:vAlign w:val="center"/>
            <w:hideMark/>
          </w:tcPr>
          <w:p w14:paraId="68A77CA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6.0 </w:t>
            </w:r>
          </w:p>
        </w:tc>
        <w:tc>
          <w:tcPr>
            <w:tcW w:w="1030" w:type="dxa"/>
            <w:tcBorders>
              <w:top w:val="nil"/>
              <w:left w:val="nil"/>
              <w:bottom w:val="single" w:sz="4" w:space="0" w:color="auto"/>
              <w:right w:val="single" w:sz="4" w:space="0" w:color="auto"/>
            </w:tcBorders>
            <w:shd w:val="clear" w:color="000000" w:fill="FFFFFF"/>
            <w:vAlign w:val="center"/>
            <w:hideMark/>
          </w:tcPr>
          <w:p w14:paraId="7C65554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3.2 </w:t>
            </w:r>
          </w:p>
        </w:tc>
        <w:tc>
          <w:tcPr>
            <w:tcW w:w="1064" w:type="dxa"/>
            <w:tcBorders>
              <w:top w:val="nil"/>
              <w:left w:val="nil"/>
              <w:bottom w:val="single" w:sz="4" w:space="0" w:color="auto"/>
              <w:right w:val="single" w:sz="4" w:space="0" w:color="auto"/>
            </w:tcBorders>
            <w:shd w:val="clear" w:color="000000" w:fill="FFFFFF"/>
            <w:vAlign w:val="center"/>
            <w:hideMark/>
          </w:tcPr>
          <w:p w14:paraId="56864DE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10.0 </w:t>
            </w:r>
          </w:p>
        </w:tc>
        <w:tc>
          <w:tcPr>
            <w:tcW w:w="1194" w:type="dxa"/>
            <w:tcBorders>
              <w:top w:val="nil"/>
              <w:left w:val="nil"/>
              <w:bottom w:val="single" w:sz="4" w:space="0" w:color="auto"/>
              <w:right w:val="single" w:sz="4" w:space="0" w:color="auto"/>
            </w:tcBorders>
            <w:shd w:val="clear" w:color="000000" w:fill="FFFFFF"/>
            <w:vAlign w:val="center"/>
            <w:hideMark/>
          </w:tcPr>
          <w:p w14:paraId="7966819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5.4 </w:t>
            </w:r>
          </w:p>
        </w:tc>
        <w:tc>
          <w:tcPr>
            <w:tcW w:w="1194" w:type="dxa"/>
            <w:tcBorders>
              <w:top w:val="nil"/>
              <w:left w:val="nil"/>
              <w:bottom w:val="single" w:sz="4" w:space="0" w:color="auto"/>
              <w:right w:val="single" w:sz="4" w:space="0" w:color="auto"/>
            </w:tcBorders>
            <w:shd w:val="clear" w:color="000000" w:fill="FFFFFF"/>
            <w:vAlign w:val="center"/>
            <w:hideMark/>
          </w:tcPr>
          <w:p w14:paraId="6C8630F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6.6 </w:t>
            </w:r>
          </w:p>
        </w:tc>
      </w:tr>
      <w:tr w:rsidR="00EA4ED3" w:rsidRPr="004A785B" w14:paraId="704F6061"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6DADB7F9"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3C77BCF9"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Home Health</w:t>
            </w:r>
          </w:p>
        </w:tc>
        <w:tc>
          <w:tcPr>
            <w:tcW w:w="1103" w:type="dxa"/>
            <w:tcBorders>
              <w:top w:val="nil"/>
              <w:left w:val="nil"/>
              <w:bottom w:val="single" w:sz="4" w:space="0" w:color="auto"/>
              <w:right w:val="single" w:sz="4" w:space="0" w:color="auto"/>
            </w:tcBorders>
            <w:shd w:val="clear" w:color="000000" w:fill="FFFFFF"/>
            <w:vAlign w:val="center"/>
            <w:hideMark/>
          </w:tcPr>
          <w:p w14:paraId="58997D7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2.4 </w:t>
            </w:r>
          </w:p>
        </w:tc>
        <w:tc>
          <w:tcPr>
            <w:tcW w:w="1030" w:type="dxa"/>
            <w:tcBorders>
              <w:top w:val="nil"/>
              <w:left w:val="nil"/>
              <w:bottom w:val="single" w:sz="4" w:space="0" w:color="auto"/>
              <w:right w:val="single" w:sz="4" w:space="0" w:color="auto"/>
            </w:tcBorders>
            <w:shd w:val="clear" w:color="000000" w:fill="FFFFFF"/>
            <w:vAlign w:val="center"/>
            <w:hideMark/>
          </w:tcPr>
          <w:p w14:paraId="137006D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0.6 </w:t>
            </w:r>
          </w:p>
        </w:tc>
        <w:tc>
          <w:tcPr>
            <w:tcW w:w="1064" w:type="dxa"/>
            <w:tcBorders>
              <w:top w:val="nil"/>
              <w:left w:val="nil"/>
              <w:bottom w:val="single" w:sz="4" w:space="0" w:color="auto"/>
              <w:right w:val="single" w:sz="4" w:space="0" w:color="auto"/>
            </w:tcBorders>
            <w:shd w:val="clear" w:color="000000" w:fill="FFFFFF"/>
            <w:vAlign w:val="center"/>
            <w:hideMark/>
          </w:tcPr>
          <w:p w14:paraId="4BC4400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4.7 </w:t>
            </w:r>
          </w:p>
        </w:tc>
        <w:tc>
          <w:tcPr>
            <w:tcW w:w="1194" w:type="dxa"/>
            <w:tcBorders>
              <w:top w:val="nil"/>
              <w:left w:val="nil"/>
              <w:bottom w:val="single" w:sz="4" w:space="0" w:color="auto"/>
              <w:right w:val="single" w:sz="4" w:space="0" w:color="auto"/>
            </w:tcBorders>
            <w:shd w:val="clear" w:color="000000" w:fill="FFFFFF"/>
            <w:vAlign w:val="center"/>
            <w:hideMark/>
          </w:tcPr>
          <w:p w14:paraId="42D9FE8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1.9 </w:t>
            </w:r>
          </w:p>
        </w:tc>
        <w:tc>
          <w:tcPr>
            <w:tcW w:w="1194" w:type="dxa"/>
            <w:tcBorders>
              <w:top w:val="nil"/>
              <w:left w:val="nil"/>
              <w:bottom w:val="single" w:sz="4" w:space="0" w:color="auto"/>
              <w:right w:val="single" w:sz="4" w:space="0" w:color="auto"/>
            </w:tcBorders>
            <w:shd w:val="clear" w:color="000000" w:fill="FFFFFF"/>
            <w:vAlign w:val="center"/>
            <w:hideMark/>
          </w:tcPr>
          <w:p w14:paraId="40073A2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2.8 </w:t>
            </w:r>
          </w:p>
        </w:tc>
      </w:tr>
      <w:tr w:rsidR="00EA4ED3" w:rsidRPr="004A785B" w14:paraId="0011DDE9"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3031647F"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71E92E55"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vertAlign w:val="superscript"/>
              </w:rPr>
              <w:t>†</w:t>
            </w:r>
            <w:r w:rsidRPr="004A785B">
              <w:rPr>
                <w:rFonts w:ascii="Calibri" w:hAnsi="Calibri"/>
                <w:color w:val="000000"/>
                <w:sz w:val="20"/>
                <w:szCs w:val="20"/>
              </w:rPr>
              <w:t>Pre-Post-natal</w:t>
            </w:r>
          </w:p>
        </w:tc>
        <w:tc>
          <w:tcPr>
            <w:tcW w:w="1103" w:type="dxa"/>
            <w:tcBorders>
              <w:top w:val="nil"/>
              <w:left w:val="nil"/>
              <w:bottom w:val="single" w:sz="4" w:space="0" w:color="auto"/>
              <w:right w:val="single" w:sz="4" w:space="0" w:color="auto"/>
            </w:tcBorders>
            <w:shd w:val="clear" w:color="000000" w:fill="FFFFFF"/>
          </w:tcPr>
          <w:p w14:paraId="19A356B0"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285.0 </w:t>
            </w:r>
          </w:p>
        </w:tc>
        <w:tc>
          <w:tcPr>
            <w:tcW w:w="1030" w:type="dxa"/>
            <w:tcBorders>
              <w:top w:val="nil"/>
              <w:left w:val="nil"/>
              <w:bottom w:val="single" w:sz="4" w:space="0" w:color="auto"/>
              <w:right w:val="single" w:sz="4" w:space="0" w:color="auto"/>
            </w:tcBorders>
            <w:shd w:val="clear" w:color="000000" w:fill="FFFFFF"/>
          </w:tcPr>
          <w:p w14:paraId="2A414F5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140.8 </w:t>
            </w:r>
          </w:p>
        </w:tc>
        <w:tc>
          <w:tcPr>
            <w:tcW w:w="1064" w:type="dxa"/>
            <w:tcBorders>
              <w:top w:val="nil"/>
              <w:left w:val="nil"/>
              <w:bottom w:val="single" w:sz="4" w:space="0" w:color="auto"/>
              <w:right w:val="single" w:sz="4" w:space="0" w:color="auto"/>
            </w:tcBorders>
            <w:shd w:val="clear" w:color="000000" w:fill="FFFFFF"/>
          </w:tcPr>
          <w:p w14:paraId="268CA4C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561.9 </w:t>
            </w:r>
          </w:p>
        </w:tc>
        <w:tc>
          <w:tcPr>
            <w:tcW w:w="1194" w:type="dxa"/>
            <w:tcBorders>
              <w:top w:val="nil"/>
              <w:left w:val="nil"/>
              <w:bottom w:val="single" w:sz="4" w:space="0" w:color="auto"/>
              <w:right w:val="single" w:sz="4" w:space="0" w:color="auto"/>
            </w:tcBorders>
            <w:shd w:val="clear" w:color="000000" w:fill="FFFFFF"/>
          </w:tcPr>
          <w:p w14:paraId="7C9B262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249.0 </w:t>
            </w:r>
          </w:p>
        </w:tc>
        <w:tc>
          <w:tcPr>
            <w:tcW w:w="1194" w:type="dxa"/>
            <w:tcBorders>
              <w:top w:val="nil"/>
              <w:left w:val="nil"/>
              <w:bottom w:val="single" w:sz="4" w:space="0" w:color="auto"/>
              <w:right w:val="single" w:sz="4" w:space="0" w:color="auto"/>
            </w:tcBorders>
            <w:shd w:val="clear" w:color="000000" w:fill="FFFFFF"/>
          </w:tcPr>
          <w:p w14:paraId="6713DCF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321.1 </w:t>
            </w:r>
          </w:p>
        </w:tc>
      </w:tr>
      <w:tr w:rsidR="00EA4ED3" w:rsidRPr="004A785B" w14:paraId="5ABD20CF"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487ADAC2" w14:textId="77777777" w:rsidR="00EA4ED3" w:rsidRPr="004A785B" w:rsidRDefault="00EA4ED3" w:rsidP="00EA4ED3">
            <w:pPr>
              <w:jc w:val="center"/>
              <w:rPr>
                <w:rFonts w:ascii="Calibri" w:hAnsi="Calibri"/>
                <w:b/>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2C271746"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Specialty Care</w:t>
            </w:r>
          </w:p>
        </w:tc>
        <w:tc>
          <w:tcPr>
            <w:tcW w:w="1103" w:type="dxa"/>
            <w:tcBorders>
              <w:top w:val="nil"/>
              <w:left w:val="nil"/>
              <w:bottom w:val="single" w:sz="4" w:space="0" w:color="auto"/>
              <w:right w:val="single" w:sz="4" w:space="0" w:color="auto"/>
            </w:tcBorders>
            <w:shd w:val="clear" w:color="000000" w:fill="FFFFFF"/>
            <w:vAlign w:val="center"/>
            <w:hideMark/>
          </w:tcPr>
          <w:p w14:paraId="72B4B4E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73.3 </w:t>
            </w:r>
          </w:p>
        </w:tc>
        <w:tc>
          <w:tcPr>
            <w:tcW w:w="1030" w:type="dxa"/>
            <w:tcBorders>
              <w:top w:val="nil"/>
              <w:left w:val="nil"/>
              <w:bottom w:val="single" w:sz="4" w:space="0" w:color="auto"/>
              <w:right w:val="single" w:sz="4" w:space="0" w:color="auto"/>
            </w:tcBorders>
            <w:shd w:val="clear" w:color="000000" w:fill="FFFFFF"/>
            <w:vAlign w:val="center"/>
            <w:hideMark/>
          </w:tcPr>
          <w:p w14:paraId="198C6E3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47.5 </w:t>
            </w:r>
          </w:p>
        </w:tc>
        <w:tc>
          <w:tcPr>
            <w:tcW w:w="1064" w:type="dxa"/>
            <w:tcBorders>
              <w:top w:val="nil"/>
              <w:left w:val="nil"/>
              <w:bottom w:val="single" w:sz="4" w:space="0" w:color="auto"/>
              <w:right w:val="single" w:sz="4" w:space="0" w:color="auto"/>
            </w:tcBorders>
            <w:shd w:val="clear" w:color="000000" w:fill="FFFFFF"/>
            <w:vAlign w:val="center"/>
            <w:hideMark/>
          </w:tcPr>
          <w:p w14:paraId="3B6CF04C"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112.6 </w:t>
            </w:r>
          </w:p>
        </w:tc>
        <w:tc>
          <w:tcPr>
            <w:tcW w:w="1194" w:type="dxa"/>
            <w:tcBorders>
              <w:top w:val="nil"/>
              <w:left w:val="nil"/>
              <w:bottom w:val="single" w:sz="4" w:space="0" w:color="auto"/>
              <w:right w:val="single" w:sz="4" w:space="0" w:color="auto"/>
            </w:tcBorders>
            <w:shd w:val="clear" w:color="000000" w:fill="FFFFFF"/>
            <w:vAlign w:val="center"/>
            <w:hideMark/>
          </w:tcPr>
          <w:p w14:paraId="5D4B75E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66.4 </w:t>
            </w:r>
          </w:p>
        </w:tc>
        <w:tc>
          <w:tcPr>
            <w:tcW w:w="1194" w:type="dxa"/>
            <w:tcBorders>
              <w:top w:val="nil"/>
              <w:left w:val="nil"/>
              <w:bottom w:val="single" w:sz="4" w:space="0" w:color="auto"/>
              <w:right w:val="single" w:sz="4" w:space="0" w:color="auto"/>
            </w:tcBorders>
            <w:shd w:val="clear" w:color="000000" w:fill="FFFFFF"/>
            <w:vAlign w:val="center"/>
            <w:hideMark/>
          </w:tcPr>
          <w:p w14:paraId="32F777D6"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80.2 </w:t>
            </w:r>
          </w:p>
        </w:tc>
      </w:tr>
      <w:tr w:rsidR="00EA4ED3" w:rsidRPr="004A785B" w14:paraId="3869A1C6" w14:textId="77777777" w:rsidTr="00EA4ED3">
        <w:tc>
          <w:tcPr>
            <w:tcW w:w="21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4A09DC3" w14:textId="77777777" w:rsidR="00EA4ED3" w:rsidRPr="004A785B" w:rsidRDefault="00EA4ED3" w:rsidP="00EA4ED3">
            <w:pPr>
              <w:jc w:val="center"/>
              <w:rPr>
                <w:rFonts w:ascii="Calibri" w:hAnsi="Calibri"/>
                <w:b/>
                <w:color w:val="000000"/>
                <w:sz w:val="20"/>
                <w:szCs w:val="20"/>
              </w:rPr>
            </w:pPr>
            <w:r w:rsidRPr="004A785B">
              <w:rPr>
                <w:rFonts w:ascii="Calibri" w:hAnsi="Calibri"/>
                <w:b/>
                <w:color w:val="000000"/>
                <w:sz w:val="20"/>
                <w:szCs w:val="20"/>
              </w:rPr>
              <w:t>Southern California</w:t>
            </w:r>
          </w:p>
        </w:tc>
        <w:tc>
          <w:tcPr>
            <w:tcW w:w="1655" w:type="dxa"/>
            <w:tcBorders>
              <w:top w:val="nil"/>
              <w:left w:val="nil"/>
              <w:bottom w:val="single" w:sz="4" w:space="0" w:color="auto"/>
              <w:right w:val="single" w:sz="4" w:space="0" w:color="auto"/>
            </w:tcBorders>
            <w:shd w:val="clear" w:color="000000" w:fill="FFFFFF"/>
            <w:vAlign w:val="center"/>
            <w:hideMark/>
          </w:tcPr>
          <w:p w14:paraId="40D0FF48"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Primary Care</w:t>
            </w:r>
          </w:p>
        </w:tc>
        <w:tc>
          <w:tcPr>
            <w:tcW w:w="1103" w:type="dxa"/>
            <w:tcBorders>
              <w:top w:val="nil"/>
              <w:left w:val="nil"/>
              <w:bottom w:val="single" w:sz="4" w:space="0" w:color="auto"/>
              <w:right w:val="single" w:sz="4" w:space="0" w:color="auto"/>
            </w:tcBorders>
            <w:shd w:val="clear" w:color="000000" w:fill="FFFFFF"/>
            <w:vAlign w:val="center"/>
            <w:hideMark/>
          </w:tcPr>
          <w:p w14:paraId="2CDE44E6"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167.1 </w:t>
            </w:r>
          </w:p>
        </w:tc>
        <w:tc>
          <w:tcPr>
            <w:tcW w:w="1030" w:type="dxa"/>
            <w:tcBorders>
              <w:top w:val="nil"/>
              <w:left w:val="nil"/>
              <w:bottom w:val="single" w:sz="4" w:space="0" w:color="auto"/>
              <w:right w:val="single" w:sz="4" w:space="0" w:color="auto"/>
            </w:tcBorders>
            <w:shd w:val="clear" w:color="000000" w:fill="FFFFFF"/>
            <w:vAlign w:val="center"/>
            <w:hideMark/>
          </w:tcPr>
          <w:p w14:paraId="6605F9E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111.6 </w:t>
            </w:r>
          </w:p>
        </w:tc>
        <w:tc>
          <w:tcPr>
            <w:tcW w:w="1064" w:type="dxa"/>
            <w:tcBorders>
              <w:top w:val="nil"/>
              <w:left w:val="nil"/>
              <w:bottom w:val="single" w:sz="4" w:space="0" w:color="auto"/>
              <w:right w:val="single" w:sz="4" w:space="0" w:color="auto"/>
            </w:tcBorders>
            <w:shd w:val="clear" w:color="000000" w:fill="FFFFFF"/>
            <w:vAlign w:val="center"/>
            <w:hideMark/>
          </w:tcPr>
          <w:p w14:paraId="0E51F92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231.3 </w:t>
            </w:r>
          </w:p>
        </w:tc>
        <w:tc>
          <w:tcPr>
            <w:tcW w:w="1194" w:type="dxa"/>
            <w:tcBorders>
              <w:top w:val="nil"/>
              <w:left w:val="nil"/>
              <w:bottom w:val="single" w:sz="4" w:space="0" w:color="auto"/>
              <w:right w:val="single" w:sz="4" w:space="0" w:color="auto"/>
            </w:tcBorders>
            <w:shd w:val="clear" w:color="000000" w:fill="FFFFFF"/>
            <w:vAlign w:val="center"/>
            <w:hideMark/>
          </w:tcPr>
          <w:p w14:paraId="79D010E6"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155.9 </w:t>
            </w:r>
          </w:p>
        </w:tc>
        <w:tc>
          <w:tcPr>
            <w:tcW w:w="1194" w:type="dxa"/>
            <w:tcBorders>
              <w:top w:val="nil"/>
              <w:left w:val="nil"/>
              <w:bottom w:val="single" w:sz="4" w:space="0" w:color="auto"/>
              <w:right w:val="single" w:sz="4" w:space="0" w:color="auto"/>
            </w:tcBorders>
            <w:shd w:val="clear" w:color="000000" w:fill="FFFFFF"/>
            <w:vAlign w:val="center"/>
            <w:hideMark/>
          </w:tcPr>
          <w:p w14:paraId="3E254F8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178.4 </w:t>
            </w:r>
          </w:p>
        </w:tc>
      </w:tr>
      <w:tr w:rsidR="00EA4ED3" w:rsidRPr="004A785B" w14:paraId="6B6B85A4"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477002B2" w14:textId="77777777" w:rsidR="00EA4ED3" w:rsidRPr="004A785B" w:rsidRDefault="00EA4ED3" w:rsidP="00EA4ED3">
            <w:pPr>
              <w:rPr>
                <w:rFonts w:ascii="Calibri" w:hAnsi="Calibri"/>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2F24315E"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Behavioral Care</w:t>
            </w:r>
          </w:p>
        </w:tc>
        <w:tc>
          <w:tcPr>
            <w:tcW w:w="1103" w:type="dxa"/>
            <w:tcBorders>
              <w:top w:val="nil"/>
              <w:left w:val="nil"/>
              <w:bottom w:val="single" w:sz="4" w:space="0" w:color="auto"/>
              <w:right w:val="single" w:sz="4" w:space="0" w:color="auto"/>
            </w:tcBorders>
            <w:shd w:val="clear" w:color="000000" w:fill="FFFFFF"/>
            <w:vAlign w:val="center"/>
            <w:hideMark/>
          </w:tcPr>
          <w:p w14:paraId="1A86C0A9"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1.3 </w:t>
            </w:r>
          </w:p>
        </w:tc>
        <w:tc>
          <w:tcPr>
            <w:tcW w:w="1030" w:type="dxa"/>
            <w:tcBorders>
              <w:top w:val="nil"/>
              <w:left w:val="nil"/>
              <w:bottom w:val="single" w:sz="4" w:space="0" w:color="auto"/>
              <w:right w:val="single" w:sz="4" w:space="0" w:color="auto"/>
            </w:tcBorders>
            <w:shd w:val="clear" w:color="000000" w:fill="FFFFFF"/>
            <w:vAlign w:val="center"/>
            <w:hideMark/>
          </w:tcPr>
          <w:p w14:paraId="3E99E13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0.9 </w:t>
            </w:r>
          </w:p>
        </w:tc>
        <w:tc>
          <w:tcPr>
            <w:tcW w:w="1064" w:type="dxa"/>
            <w:tcBorders>
              <w:top w:val="nil"/>
              <w:left w:val="nil"/>
              <w:bottom w:val="single" w:sz="4" w:space="0" w:color="auto"/>
              <w:right w:val="single" w:sz="4" w:space="0" w:color="auto"/>
            </w:tcBorders>
            <w:shd w:val="clear" w:color="000000" w:fill="FFFFFF"/>
            <w:vAlign w:val="center"/>
            <w:hideMark/>
          </w:tcPr>
          <w:p w14:paraId="3062FD2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1.5 </w:t>
            </w:r>
          </w:p>
        </w:tc>
        <w:tc>
          <w:tcPr>
            <w:tcW w:w="1194" w:type="dxa"/>
            <w:tcBorders>
              <w:top w:val="nil"/>
              <w:left w:val="nil"/>
              <w:bottom w:val="single" w:sz="4" w:space="0" w:color="auto"/>
              <w:right w:val="single" w:sz="4" w:space="0" w:color="auto"/>
            </w:tcBorders>
            <w:shd w:val="clear" w:color="000000" w:fill="FFFFFF"/>
            <w:vAlign w:val="center"/>
            <w:hideMark/>
          </w:tcPr>
          <w:p w14:paraId="6096EE7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1.2 </w:t>
            </w:r>
          </w:p>
        </w:tc>
        <w:tc>
          <w:tcPr>
            <w:tcW w:w="1194" w:type="dxa"/>
            <w:tcBorders>
              <w:top w:val="nil"/>
              <w:left w:val="nil"/>
              <w:bottom w:val="single" w:sz="4" w:space="0" w:color="auto"/>
              <w:right w:val="single" w:sz="4" w:space="0" w:color="auto"/>
            </w:tcBorders>
            <w:shd w:val="clear" w:color="000000" w:fill="FFFFFF"/>
            <w:vAlign w:val="center"/>
            <w:hideMark/>
          </w:tcPr>
          <w:p w14:paraId="19479D5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1.3 </w:t>
            </w:r>
          </w:p>
        </w:tc>
      </w:tr>
      <w:tr w:rsidR="00EA4ED3" w:rsidRPr="004A785B" w14:paraId="7F98448B"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16F2D486" w14:textId="77777777" w:rsidR="00EA4ED3" w:rsidRPr="004A785B" w:rsidRDefault="00EA4ED3" w:rsidP="00EA4ED3">
            <w:pPr>
              <w:rPr>
                <w:rFonts w:ascii="Calibri" w:hAnsi="Calibri"/>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7CCFDA8A"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Home Health</w:t>
            </w:r>
          </w:p>
        </w:tc>
        <w:tc>
          <w:tcPr>
            <w:tcW w:w="1103" w:type="dxa"/>
            <w:tcBorders>
              <w:top w:val="nil"/>
              <w:left w:val="nil"/>
              <w:bottom w:val="single" w:sz="4" w:space="0" w:color="auto"/>
              <w:right w:val="single" w:sz="4" w:space="0" w:color="auto"/>
            </w:tcBorders>
            <w:shd w:val="clear" w:color="000000" w:fill="FFFFFF"/>
            <w:vAlign w:val="center"/>
            <w:hideMark/>
          </w:tcPr>
          <w:p w14:paraId="4CFFD35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1.9 </w:t>
            </w:r>
          </w:p>
        </w:tc>
        <w:tc>
          <w:tcPr>
            <w:tcW w:w="1030" w:type="dxa"/>
            <w:tcBorders>
              <w:top w:val="nil"/>
              <w:left w:val="nil"/>
              <w:bottom w:val="single" w:sz="4" w:space="0" w:color="auto"/>
              <w:right w:val="single" w:sz="4" w:space="0" w:color="auto"/>
            </w:tcBorders>
            <w:shd w:val="clear" w:color="000000" w:fill="FFFFFF"/>
            <w:vAlign w:val="center"/>
            <w:hideMark/>
          </w:tcPr>
          <w:p w14:paraId="0D5CCB7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0.6 </w:t>
            </w:r>
          </w:p>
        </w:tc>
        <w:tc>
          <w:tcPr>
            <w:tcW w:w="1064" w:type="dxa"/>
            <w:tcBorders>
              <w:top w:val="nil"/>
              <w:left w:val="nil"/>
              <w:bottom w:val="single" w:sz="4" w:space="0" w:color="auto"/>
              <w:right w:val="single" w:sz="4" w:space="0" w:color="auto"/>
            </w:tcBorders>
            <w:shd w:val="clear" w:color="000000" w:fill="FFFFFF"/>
            <w:vAlign w:val="center"/>
            <w:hideMark/>
          </w:tcPr>
          <w:p w14:paraId="3BF55F0E"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5.7 </w:t>
            </w:r>
          </w:p>
        </w:tc>
        <w:tc>
          <w:tcPr>
            <w:tcW w:w="1194" w:type="dxa"/>
            <w:tcBorders>
              <w:top w:val="nil"/>
              <w:left w:val="nil"/>
              <w:bottom w:val="single" w:sz="4" w:space="0" w:color="auto"/>
              <w:right w:val="single" w:sz="4" w:space="0" w:color="auto"/>
            </w:tcBorders>
            <w:shd w:val="clear" w:color="000000" w:fill="FFFFFF"/>
            <w:vAlign w:val="center"/>
            <w:hideMark/>
          </w:tcPr>
          <w:p w14:paraId="4F4C6DFB"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1.3 </w:t>
            </w:r>
          </w:p>
        </w:tc>
        <w:tc>
          <w:tcPr>
            <w:tcW w:w="1194" w:type="dxa"/>
            <w:tcBorders>
              <w:top w:val="nil"/>
              <w:left w:val="nil"/>
              <w:bottom w:val="single" w:sz="4" w:space="0" w:color="auto"/>
              <w:right w:val="single" w:sz="4" w:space="0" w:color="auto"/>
            </w:tcBorders>
            <w:shd w:val="clear" w:color="000000" w:fill="FFFFFF"/>
            <w:vAlign w:val="center"/>
            <w:hideMark/>
          </w:tcPr>
          <w:p w14:paraId="4224247A"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2.5 </w:t>
            </w:r>
          </w:p>
        </w:tc>
      </w:tr>
      <w:tr w:rsidR="00EA4ED3" w:rsidRPr="004A785B" w14:paraId="218E45DA"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0F8A7BBD" w14:textId="77777777" w:rsidR="00EA4ED3" w:rsidRPr="004A785B" w:rsidRDefault="00EA4ED3" w:rsidP="00EA4ED3">
            <w:pPr>
              <w:rPr>
                <w:rFonts w:ascii="Calibri" w:hAnsi="Calibri"/>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4EB9C339"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vertAlign w:val="superscript"/>
              </w:rPr>
              <w:t>†</w:t>
            </w:r>
            <w:r w:rsidRPr="004A785B">
              <w:rPr>
                <w:rFonts w:ascii="Calibri" w:hAnsi="Calibri"/>
                <w:color w:val="000000"/>
                <w:sz w:val="20"/>
                <w:szCs w:val="20"/>
              </w:rPr>
              <w:t>Pre-Post-natal</w:t>
            </w:r>
          </w:p>
        </w:tc>
        <w:tc>
          <w:tcPr>
            <w:tcW w:w="1103" w:type="dxa"/>
            <w:tcBorders>
              <w:top w:val="nil"/>
              <w:left w:val="nil"/>
              <w:bottom w:val="single" w:sz="4" w:space="0" w:color="auto"/>
              <w:right w:val="single" w:sz="4" w:space="0" w:color="auto"/>
            </w:tcBorders>
            <w:shd w:val="clear" w:color="000000" w:fill="FFFFFF"/>
          </w:tcPr>
          <w:p w14:paraId="47833913"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342.6 </w:t>
            </w:r>
          </w:p>
        </w:tc>
        <w:tc>
          <w:tcPr>
            <w:tcW w:w="1030" w:type="dxa"/>
            <w:tcBorders>
              <w:top w:val="nil"/>
              <w:left w:val="nil"/>
              <w:bottom w:val="single" w:sz="4" w:space="0" w:color="auto"/>
              <w:right w:val="single" w:sz="4" w:space="0" w:color="auto"/>
            </w:tcBorders>
            <w:shd w:val="clear" w:color="000000" w:fill="FFFFFF"/>
          </w:tcPr>
          <w:p w14:paraId="10315FC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168.8 </w:t>
            </w:r>
          </w:p>
        </w:tc>
        <w:tc>
          <w:tcPr>
            <w:tcW w:w="1064" w:type="dxa"/>
            <w:tcBorders>
              <w:top w:val="nil"/>
              <w:left w:val="nil"/>
              <w:bottom w:val="single" w:sz="4" w:space="0" w:color="auto"/>
              <w:right w:val="single" w:sz="4" w:space="0" w:color="auto"/>
            </w:tcBorders>
            <w:shd w:val="clear" w:color="000000" w:fill="FFFFFF"/>
          </w:tcPr>
          <w:p w14:paraId="5135036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699.4 </w:t>
            </w:r>
          </w:p>
        </w:tc>
        <w:tc>
          <w:tcPr>
            <w:tcW w:w="1194" w:type="dxa"/>
            <w:tcBorders>
              <w:top w:val="nil"/>
              <w:left w:val="nil"/>
              <w:bottom w:val="single" w:sz="4" w:space="0" w:color="auto"/>
              <w:right w:val="single" w:sz="4" w:space="0" w:color="auto"/>
            </w:tcBorders>
            <w:shd w:val="clear" w:color="000000" w:fill="FFFFFF"/>
          </w:tcPr>
          <w:p w14:paraId="79D06EA4"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289.0 </w:t>
            </w:r>
          </w:p>
        </w:tc>
        <w:tc>
          <w:tcPr>
            <w:tcW w:w="1194" w:type="dxa"/>
            <w:tcBorders>
              <w:top w:val="nil"/>
              <w:left w:val="nil"/>
              <w:bottom w:val="single" w:sz="4" w:space="0" w:color="auto"/>
              <w:right w:val="single" w:sz="4" w:space="0" w:color="auto"/>
            </w:tcBorders>
            <w:shd w:val="clear" w:color="000000" w:fill="FFFFFF"/>
          </w:tcPr>
          <w:p w14:paraId="4C317CD1"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396.2 </w:t>
            </w:r>
          </w:p>
        </w:tc>
      </w:tr>
      <w:tr w:rsidR="00EA4ED3" w:rsidRPr="004A785B" w14:paraId="0AE5F8AF" w14:textId="77777777" w:rsidTr="00EA4ED3">
        <w:tc>
          <w:tcPr>
            <w:tcW w:w="2120" w:type="dxa"/>
            <w:vMerge/>
            <w:tcBorders>
              <w:top w:val="nil"/>
              <w:left w:val="single" w:sz="4" w:space="0" w:color="auto"/>
              <w:bottom w:val="single" w:sz="4" w:space="0" w:color="auto"/>
              <w:right w:val="single" w:sz="4" w:space="0" w:color="auto"/>
            </w:tcBorders>
            <w:vAlign w:val="center"/>
            <w:hideMark/>
          </w:tcPr>
          <w:p w14:paraId="6A1A938F" w14:textId="77777777" w:rsidR="00EA4ED3" w:rsidRPr="004A785B" w:rsidRDefault="00EA4ED3" w:rsidP="00EA4ED3">
            <w:pPr>
              <w:rPr>
                <w:rFonts w:ascii="Calibri" w:hAnsi="Calibri"/>
                <w:color w:val="000000"/>
                <w:sz w:val="20"/>
                <w:szCs w:val="20"/>
              </w:rPr>
            </w:pPr>
          </w:p>
        </w:tc>
        <w:tc>
          <w:tcPr>
            <w:tcW w:w="1655" w:type="dxa"/>
            <w:tcBorders>
              <w:top w:val="nil"/>
              <w:left w:val="nil"/>
              <w:bottom w:val="single" w:sz="4" w:space="0" w:color="auto"/>
              <w:right w:val="single" w:sz="4" w:space="0" w:color="auto"/>
            </w:tcBorders>
            <w:shd w:val="clear" w:color="000000" w:fill="FFFFFF"/>
            <w:vAlign w:val="center"/>
            <w:hideMark/>
          </w:tcPr>
          <w:p w14:paraId="189BCD36" w14:textId="77777777" w:rsidR="00EA4ED3" w:rsidRPr="004A785B" w:rsidRDefault="00EA4ED3" w:rsidP="00EA4ED3">
            <w:pPr>
              <w:rPr>
                <w:rFonts w:ascii="Calibri" w:hAnsi="Calibri"/>
                <w:color w:val="000000"/>
                <w:sz w:val="20"/>
                <w:szCs w:val="20"/>
              </w:rPr>
            </w:pPr>
            <w:r w:rsidRPr="004A785B">
              <w:rPr>
                <w:rFonts w:ascii="Calibri" w:hAnsi="Calibri"/>
                <w:color w:val="000000"/>
                <w:sz w:val="20"/>
                <w:szCs w:val="20"/>
              </w:rPr>
              <w:t>Specialty Care</w:t>
            </w:r>
          </w:p>
        </w:tc>
        <w:tc>
          <w:tcPr>
            <w:tcW w:w="1103" w:type="dxa"/>
            <w:tcBorders>
              <w:top w:val="nil"/>
              <w:left w:val="nil"/>
              <w:bottom w:val="single" w:sz="4" w:space="0" w:color="auto"/>
              <w:right w:val="single" w:sz="4" w:space="0" w:color="auto"/>
            </w:tcBorders>
            <w:shd w:val="clear" w:color="000000" w:fill="FFFFFF"/>
            <w:vAlign w:val="center"/>
            <w:hideMark/>
          </w:tcPr>
          <w:p w14:paraId="2C1C588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76.2 </w:t>
            </w:r>
          </w:p>
        </w:tc>
        <w:tc>
          <w:tcPr>
            <w:tcW w:w="1030" w:type="dxa"/>
            <w:tcBorders>
              <w:top w:val="nil"/>
              <w:left w:val="nil"/>
              <w:bottom w:val="single" w:sz="4" w:space="0" w:color="auto"/>
              <w:right w:val="single" w:sz="4" w:space="0" w:color="auto"/>
            </w:tcBorders>
            <w:shd w:val="clear" w:color="000000" w:fill="FFFFFF"/>
            <w:vAlign w:val="center"/>
            <w:hideMark/>
          </w:tcPr>
          <w:p w14:paraId="567DDB15"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55.5 </w:t>
            </w:r>
          </w:p>
        </w:tc>
        <w:tc>
          <w:tcPr>
            <w:tcW w:w="1064" w:type="dxa"/>
            <w:tcBorders>
              <w:top w:val="nil"/>
              <w:left w:val="nil"/>
              <w:bottom w:val="single" w:sz="4" w:space="0" w:color="auto"/>
              <w:right w:val="single" w:sz="4" w:space="0" w:color="auto"/>
            </w:tcBorders>
            <w:shd w:val="clear" w:color="000000" w:fill="FFFFFF"/>
            <w:vAlign w:val="center"/>
            <w:hideMark/>
          </w:tcPr>
          <w:p w14:paraId="354AA7DF"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104.0 </w:t>
            </w:r>
          </w:p>
        </w:tc>
        <w:tc>
          <w:tcPr>
            <w:tcW w:w="1194" w:type="dxa"/>
            <w:tcBorders>
              <w:top w:val="nil"/>
              <w:left w:val="nil"/>
              <w:bottom w:val="single" w:sz="4" w:space="0" w:color="auto"/>
              <w:right w:val="single" w:sz="4" w:space="0" w:color="auto"/>
            </w:tcBorders>
            <w:shd w:val="clear" w:color="000000" w:fill="FFFFFF"/>
            <w:vAlign w:val="center"/>
            <w:hideMark/>
          </w:tcPr>
          <w:p w14:paraId="0C16D76D"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71.4 </w:t>
            </w:r>
          </w:p>
        </w:tc>
        <w:tc>
          <w:tcPr>
            <w:tcW w:w="1194" w:type="dxa"/>
            <w:tcBorders>
              <w:top w:val="nil"/>
              <w:left w:val="nil"/>
              <w:bottom w:val="single" w:sz="4" w:space="0" w:color="auto"/>
              <w:right w:val="single" w:sz="4" w:space="0" w:color="auto"/>
            </w:tcBorders>
            <w:shd w:val="clear" w:color="000000" w:fill="FFFFFF"/>
            <w:vAlign w:val="center"/>
            <w:hideMark/>
          </w:tcPr>
          <w:p w14:paraId="63533A07" w14:textId="77777777" w:rsidR="00EA4ED3" w:rsidRPr="004A785B" w:rsidRDefault="00EA4ED3" w:rsidP="00EA4ED3">
            <w:pPr>
              <w:jc w:val="right"/>
              <w:rPr>
                <w:rFonts w:ascii="Calibri" w:hAnsi="Calibri"/>
                <w:color w:val="000000"/>
                <w:sz w:val="20"/>
                <w:szCs w:val="20"/>
              </w:rPr>
            </w:pPr>
            <w:r w:rsidRPr="004A785B">
              <w:rPr>
                <w:rFonts w:ascii="Calibri" w:hAnsi="Calibri"/>
                <w:color w:val="000000"/>
                <w:sz w:val="20"/>
                <w:szCs w:val="20"/>
              </w:rPr>
              <w:t xml:space="preserve">                     81.0 </w:t>
            </w:r>
          </w:p>
        </w:tc>
      </w:tr>
    </w:tbl>
    <w:p w14:paraId="338218C2" w14:textId="77777777" w:rsidR="00EA4ED3" w:rsidRPr="004A785B" w:rsidRDefault="00EA4ED3" w:rsidP="00EA4ED3">
      <w:pPr>
        <w:rPr>
          <w:rFonts w:asciiTheme="minorHAnsi" w:eastAsiaTheme="minorHAnsi" w:hAnsiTheme="minorHAnsi" w:cs="Tahoma"/>
          <w:sz w:val="16"/>
          <w:szCs w:val="16"/>
        </w:rPr>
      </w:pPr>
      <w:r w:rsidRPr="004A785B">
        <w:rPr>
          <w:rFonts w:asciiTheme="minorHAnsi" w:eastAsiaTheme="minorHAnsi" w:hAnsiTheme="minorHAnsi" w:cs="Tahoma"/>
          <w:b/>
          <w:sz w:val="16"/>
          <w:szCs w:val="16"/>
        </w:rPr>
        <w:t>Source:</w:t>
      </w:r>
      <w:r w:rsidRPr="004A785B">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provider, and enrollment tables.</w:t>
      </w:r>
    </w:p>
    <w:p w14:paraId="20FC9362" w14:textId="77777777" w:rsidR="00EA4ED3" w:rsidRPr="004A785B" w:rsidRDefault="00EA4ED3" w:rsidP="00EA4ED3">
      <w:pPr>
        <w:rPr>
          <w:rFonts w:asciiTheme="minorHAnsi" w:eastAsiaTheme="minorHAnsi" w:hAnsiTheme="minorHAnsi" w:cs="Tahoma"/>
          <w:sz w:val="20"/>
          <w:szCs w:val="20"/>
        </w:rPr>
      </w:pPr>
      <w:r w:rsidRPr="004A785B">
        <w:rPr>
          <w:rFonts w:asciiTheme="minorHAnsi" w:eastAsiaTheme="minorHAnsi" w:hAnsiTheme="minorHAnsi" w:cs="Tahoma"/>
          <w:sz w:val="16"/>
          <w:szCs w:val="16"/>
          <w:vertAlign w:val="superscript"/>
        </w:rPr>
        <w:t>†</w:t>
      </w:r>
      <w:r w:rsidRPr="004A785B">
        <w:rPr>
          <w:rFonts w:asciiTheme="minorHAnsi" w:eastAsiaTheme="minorHAnsi" w:hAnsiTheme="minorHAnsi" w:cs="Tahoma"/>
          <w:sz w:val="16"/>
          <w:szCs w:val="16"/>
        </w:rPr>
        <w:t>The Pre-Post-natal service category includes services for women ages 15-44 enrolled in FFS for any length of period. It is not limited to only those women with at least 11 months of enrollment in FFS.</w:t>
      </w:r>
    </w:p>
    <w:p w14:paraId="14AEE654" w14:textId="77777777" w:rsidR="00EA4ED3" w:rsidRPr="004A785B" w:rsidRDefault="00EA4ED3" w:rsidP="00EA4ED3">
      <w:pPr>
        <w:spacing w:line="276" w:lineRule="auto"/>
        <w:rPr>
          <w:rFonts w:asciiTheme="minorHAnsi" w:eastAsiaTheme="minorHAnsi" w:hAnsiTheme="minorHAnsi" w:cstheme="minorBidi"/>
        </w:rPr>
      </w:pPr>
      <w:r w:rsidRPr="004A785B">
        <w:rPr>
          <w:rFonts w:asciiTheme="minorHAnsi" w:eastAsiaTheme="minorHAnsi" w:hAnsiTheme="minorHAnsi" w:cstheme="minorBidi"/>
        </w:rPr>
        <w:t xml:space="preserve"> </w:t>
      </w:r>
    </w:p>
    <w:p w14:paraId="14C6E22F" w14:textId="77777777" w:rsidR="00EA4ED3" w:rsidRPr="004A785B" w:rsidRDefault="00EA4ED3" w:rsidP="00EA4ED3">
      <w:pPr>
        <w:rPr>
          <w:rFonts w:asciiTheme="minorHAnsi" w:eastAsiaTheme="minorHAnsi" w:hAnsiTheme="minorHAnsi" w:cstheme="minorBidi"/>
          <w:bCs/>
          <w:sz w:val="20"/>
          <w:szCs w:val="20"/>
        </w:rPr>
      </w:pPr>
    </w:p>
    <w:p w14:paraId="2CDFEB5C" w14:textId="77777777" w:rsidR="00EA4ED3" w:rsidRPr="004A785B" w:rsidRDefault="00EA4ED3" w:rsidP="00EA4ED3">
      <w:pPr>
        <w:pStyle w:val="Heading4"/>
        <w:spacing w:before="0"/>
      </w:pPr>
      <w:r w:rsidRPr="004A785B">
        <w:t>Service Category by Age Group</w:t>
      </w:r>
    </w:p>
    <w:p w14:paraId="2554EA70" w14:textId="77777777" w:rsidR="00EA4ED3" w:rsidRPr="004A785B" w:rsidRDefault="00EA4ED3" w:rsidP="00EA4ED3">
      <w:pPr>
        <w:rPr>
          <w:rFonts w:asciiTheme="minorHAnsi" w:eastAsiaTheme="minorHAnsi" w:hAnsiTheme="minorHAnsi" w:cstheme="minorBidi"/>
          <w:b/>
          <w:bCs/>
          <w:sz w:val="20"/>
          <w:szCs w:val="20"/>
        </w:rPr>
      </w:pPr>
    </w:p>
    <w:p w14:paraId="45B27F23" w14:textId="77777777" w:rsidR="00EA4ED3" w:rsidRPr="004A785B" w:rsidRDefault="00EA4ED3" w:rsidP="00EA4ED3">
      <w:pPr>
        <w:spacing w:line="276" w:lineRule="auto"/>
        <w:rPr>
          <w:rFonts w:asciiTheme="minorHAnsi" w:eastAsiaTheme="minorHAnsi" w:hAnsiTheme="minorHAnsi" w:cstheme="minorBidi"/>
        </w:rPr>
      </w:pPr>
      <w:r w:rsidRPr="004A785B">
        <w:rPr>
          <w:rFonts w:asciiTheme="minorHAnsi" w:eastAsiaTheme="minorHAnsi" w:hAnsiTheme="minorHAnsi" w:cstheme="minorBidi"/>
          <w:bCs/>
        </w:rPr>
        <w:t>The table below displays utilization for all service categories, by age group, for fiscal years 2012-13, 2013-14, and 2014-15. The table lists the mean visit rate per 1,000 member months, minimum and maximum rates over the three-year baseline period, and the lower and upper confidence levels, for each service category.</w:t>
      </w:r>
    </w:p>
    <w:p w14:paraId="6BC4413F" w14:textId="77777777" w:rsidR="00EA4ED3" w:rsidRPr="004A785B" w:rsidRDefault="00EA4ED3" w:rsidP="00EA4ED3">
      <w:pPr>
        <w:rPr>
          <w:rFonts w:asciiTheme="minorHAnsi" w:eastAsiaTheme="minorHAnsi" w:hAnsiTheme="minorHAnsi" w:cstheme="minorBidi"/>
          <w:b/>
          <w:bCs/>
          <w:sz w:val="20"/>
          <w:szCs w:val="20"/>
        </w:rPr>
      </w:pPr>
      <w:bookmarkStart w:id="414" w:name="_Toc457999699"/>
    </w:p>
    <w:p w14:paraId="6307FE6D" w14:textId="77777777" w:rsidR="00EA4ED3" w:rsidRPr="004A785B" w:rsidRDefault="00EA4ED3" w:rsidP="00EA4ED3">
      <w:pPr>
        <w:rPr>
          <w:rFonts w:asciiTheme="minorHAnsi" w:eastAsiaTheme="minorHAnsi" w:hAnsiTheme="minorHAnsi" w:cstheme="minorBidi"/>
          <w:bCs/>
          <w:sz w:val="20"/>
          <w:szCs w:val="20"/>
        </w:rPr>
      </w:pPr>
      <w:bookmarkStart w:id="415" w:name="_Toc459037248"/>
      <w:bookmarkStart w:id="416" w:name="_Toc459285187"/>
      <w:r w:rsidRPr="004A785B">
        <w:rPr>
          <w:rFonts w:asciiTheme="minorHAnsi" w:eastAsiaTheme="minorHAnsi" w:hAnsiTheme="minorHAnsi" w:cstheme="minorBidi"/>
          <w:b/>
          <w:bCs/>
          <w:sz w:val="20"/>
          <w:szCs w:val="20"/>
        </w:rPr>
        <w:t xml:space="preserve">Table </w:t>
      </w:r>
      <w:r w:rsidRPr="004A785B">
        <w:rPr>
          <w:rFonts w:asciiTheme="minorHAnsi" w:eastAsiaTheme="minorHAnsi" w:hAnsiTheme="minorHAnsi" w:cstheme="minorBidi"/>
          <w:b/>
          <w:bCs/>
          <w:sz w:val="20"/>
          <w:szCs w:val="20"/>
        </w:rPr>
        <w:fldChar w:fldCharType="begin"/>
      </w:r>
      <w:r w:rsidRPr="004A785B">
        <w:rPr>
          <w:rFonts w:asciiTheme="minorHAnsi" w:eastAsiaTheme="minorHAnsi" w:hAnsiTheme="minorHAnsi" w:cstheme="minorBidi"/>
          <w:b/>
          <w:bCs/>
          <w:sz w:val="20"/>
          <w:szCs w:val="20"/>
        </w:rPr>
        <w:instrText xml:space="preserve"> SEQ Table \* ARABIC </w:instrText>
      </w:r>
      <w:r w:rsidRPr="004A785B">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42</w:t>
      </w:r>
      <w:r w:rsidRPr="004A785B">
        <w:rPr>
          <w:rFonts w:asciiTheme="minorHAnsi" w:eastAsiaTheme="minorHAnsi" w:hAnsiTheme="minorHAnsi" w:cstheme="minorBidi"/>
          <w:b/>
          <w:bCs/>
          <w:sz w:val="20"/>
          <w:szCs w:val="20"/>
        </w:rPr>
        <w:fldChar w:fldCharType="end"/>
      </w:r>
      <w:r w:rsidRPr="004A785B">
        <w:rPr>
          <w:rFonts w:asciiTheme="minorHAnsi" w:eastAsiaTheme="minorHAnsi" w:hAnsiTheme="minorHAnsi" w:cstheme="minorBidi"/>
          <w:b/>
          <w:bCs/>
          <w:sz w:val="20"/>
          <w:szCs w:val="20"/>
        </w:rPr>
        <w:t xml:space="preserve">: </w:t>
      </w:r>
      <w:r w:rsidRPr="004A785B">
        <w:rPr>
          <w:rFonts w:asciiTheme="minorHAnsi" w:eastAsiaTheme="minorHAnsi" w:hAnsiTheme="minorHAnsi" w:cstheme="minorBidi"/>
          <w:bCs/>
          <w:sz w:val="20"/>
          <w:szCs w:val="20"/>
        </w:rPr>
        <w:t>Visit Rates by Service Category and Age Group Per 1,000 Member Months in SFYs 2012-13, 2013-14 and 2014-15</w:t>
      </w:r>
      <w:bookmarkEnd w:id="415"/>
      <w:bookmarkEnd w:id="416"/>
    </w:p>
    <w:tbl>
      <w:tblPr>
        <w:tblW w:w="9360" w:type="dxa"/>
        <w:tblInd w:w="-5" w:type="dxa"/>
        <w:tblLook w:val="04A0" w:firstRow="1" w:lastRow="0" w:firstColumn="1" w:lastColumn="0" w:noHBand="0" w:noVBand="1"/>
      </w:tblPr>
      <w:tblGrid>
        <w:gridCol w:w="1560"/>
        <w:gridCol w:w="1590"/>
        <w:gridCol w:w="1220"/>
        <w:gridCol w:w="1030"/>
        <w:gridCol w:w="1194"/>
        <w:gridCol w:w="1303"/>
        <w:gridCol w:w="1463"/>
      </w:tblGrid>
      <w:tr w:rsidR="00EA4ED3" w:rsidRPr="004A785B" w14:paraId="6D32EE8F" w14:textId="77777777" w:rsidTr="00EA4ED3">
        <w:trPr>
          <w:trHeight w:val="244"/>
          <w:tblHeader/>
        </w:trPr>
        <w:tc>
          <w:tcPr>
            <w:tcW w:w="1560" w:type="dxa"/>
            <w:vMerge w:val="restart"/>
            <w:tcBorders>
              <w:top w:val="single" w:sz="4" w:space="0" w:color="auto"/>
              <w:left w:val="single" w:sz="4" w:space="0" w:color="auto"/>
              <w:bottom w:val="single" w:sz="4" w:space="0" w:color="auto"/>
              <w:right w:val="single" w:sz="4" w:space="0" w:color="auto"/>
            </w:tcBorders>
            <w:shd w:val="clear" w:color="000000" w:fill="EDF2F9"/>
            <w:vAlign w:val="center"/>
            <w:hideMark/>
          </w:tcPr>
          <w:p w14:paraId="44B89535"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Age Group</w:t>
            </w:r>
          </w:p>
        </w:tc>
        <w:tc>
          <w:tcPr>
            <w:tcW w:w="1590" w:type="dxa"/>
            <w:vMerge w:val="restart"/>
            <w:tcBorders>
              <w:top w:val="single" w:sz="8" w:space="0" w:color="auto"/>
              <w:left w:val="single" w:sz="8" w:space="0" w:color="auto"/>
              <w:bottom w:val="single" w:sz="8" w:space="0" w:color="000000"/>
              <w:right w:val="single" w:sz="8" w:space="0" w:color="auto"/>
            </w:tcBorders>
            <w:shd w:val="clear" w:color="000000" w:fill="EDF2F9"/>
            <w:vAlign w:val="center"/>
            <w:hideMark/>
          </w:tcPr>
          <w:p w14:paraId="7840E486" w14:textId="77777777" w:rsidR="00EA4ED3" w:rsidRPr="004A785B" w:rsidRDefault="00EA4ED3" w:rsidP="00EA4ED3">
            <w:pPr>
              <w:jc w:val="center"/>
              <w:rPr>
                <w:rFonts w:asciiTheme="minorHAnsi" w:hAnsiTheme="minorHAnsi"/>
                <w:b/>
                <w:bCs/>
                <w:color w:val="112277"/>
                <w:sz w:val="20"/>
                <w:szCs w:val="20"/>
              </w:rPr>
            </w:pPr>
            <w:r w:rsidRPr="004A785B">
              <w:rPr>
                <w:rFonts w:asciiTheme="minorHAnsi" w:hAnsiTheme="minorHAnsi"/>
                <w:b/>
                <w:bCs/>
                <w:color w:val="112277"/>
                <w:sz w:val="20"/>
                <w:szCs w:val="20"/>
              </w:rPr>
              <w:t>Service Category</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EDF2F9"/>
            <w:vAlign w:val="center"/>
            <w:hideMark/>
          </w:tcPr>
          <w:p w14:paraId="6C8BD373" w14:textId="77777777" w:rsidR="00EA4ED3" w:rsidRPr="004A785B" w:rsidRDefault="00EA4ED3" w:rsidP="00EA4ED3">
            <w:pPr>
              <w:jc w:val="center"/>
              <w:rPr>
                <w:rFonts w:asciiTheme="minorHAnsi" w:hAnsiTheme="minorHAnsi"/>
                <w:b/>
                <w:bCs/>
                <w:color w:val="112277"/>
                <w:sz w:val="20"/>
                <w:szCs w:val="20"/>
              </w:rPr>
            </w:pPr>
            <w:r w:rsidRPr="004A785B">
              <w:rPr>
                <w:rFonts w:asciiTheme="minorHAnsi" w:hAnsiTheme="minorHAnsi"/>
                <w:b/>
                <w:bCs/>
                <w:color w:val="112277"/>
                <w:sz w:val="20"/>
                <w:szCs w:val="20"/>
              </w:rPr>
              <w:t>Mean rate per 1,000 MM</w:t>
            </w:r>
          </w:p>
        </w:tc>
        <w:tc>
          <w:tcPr>
            <w:tcW w:w="1030" w:type="dxa"/>
            <w:vMerge w:val="restart"/>
            <w:tcBorders>
              <w:top w:val="single" w:sz="8" w:space="0" w:color="auto"/>
              <w:left w:val="single" w:sz="8" w:space="0" w:color="auto"/>
              <w:bottom w:val="single" w:sz="8" w:space="0" w:color="000000"/>
              <w:right w:val="single" w:sz="8" w:space="0" w:color="auto"/>
            </w:tcBorders>
            <w:shd w:val="clear" w:color="000000" w:fill="EDF2F9"/>
            <w:vAlign w:val="center"/>
            <w:hideMark/>
          </w:tcPr>
          <w:p w14:paraId="4B3BDCD6" w14:textId="77777777" w:rsidR="00EA4ED3" w:rsidRPr="004A785B" w:rsidRDefault="00EA4ED3" w:rsidP="00EA4ED3">
            <w:pPr>
              <w:jc w:val="center"/>
              <w:rPr>
                <w:rFonts w:asciiTheme="minorHAnsi" w:hAnsiTheme="minorHAnsi"/>
                <w:b/>
                <w:bCs/>
                <w:color w:val="112277"/>
                <w:sz w:val="20"/>
                <w:szCs w:val="20"/>
              </w:rPr>
            </w:pPr>
            <w:r w:rsidRPr="004A785B">
              <w:rPr>
                <w:rFonts w:asciiTheme="minorHAnsi" w:hAnsiTheme="minorHAnsi"/>
                <w:b/>
                <w:bCs/>
                <w:color w:val="112277"/>
                <w:sz w:val="20"/>
                <w:szCs w:val="20"/>
              </w:rPr>
              <w:t>Minimum Rate</w:t>
            </w:r>
          </w:p>
        </w:tc>
        <w:tc>
          <w:tcPr>
            <w:tcW w:w="1194" w:type="dxa"/>
            <w:vMerge w:val="restart"/>
            <w:tcBorders>
              <w:top w:val="single" w:sz="8" w:space="0" w:color="auto"/>
              <w:left w:val="single" w:sz="8" w:space="0" w:color="auto"/>
              <w:bottom w:val="single" w:sz="8" w:space="0" w:color="000000"/>
              <w:right w:val="single" w:sz="8" w:space="0" w:color="auto"/>
            </w:tcBorders>
            <w:shd w:val="clear" w:color="000000" w:fill="EDF2F9"/>
            <w:vAlign w:val="center"/>
            <w:hideMark/>
          </w:tcPr>
          <w:p w14:paraId="5293D389" w14:textId="77777777" w:rsidR="00EA4ED3" w:rsidRPr="004A785B" w:rsidRDefault="00EA4ED3" w:rsidP="00EA4ED3">
            <w:pPr>
              <w:jc w:val="center"/>
              <w:rPr>
                <w:rFonts w:asciiTheme="minorHAnsi" w:hAnsiTheme="minorHAnsi"/>
                <w:b/>
                <w:bCs/>
                <w:color w:val="112277"/>
                <w:sz w:val="20"/>
                <w:szCs w:val="20"/>
              </w:rPr>
            </w:pPr>
            <w:r w:rsidRPr="004A785B">
              <w:rPr>
                <w:rFonts w:asciiTheme="minorHAnsi" w:hAnsiTheme="minorHAnsi"/>
                <w:b/>
                <w:bCs/>
                <w:color w:val="112277"/>
                <w:sz w:val="20"/>
                <w:szCs w:val="20"/>
              </w:rPr>
              <w:t>Maximum Rate</w:t>
            </w:r>
          </w:p>
        </w:tc>
        <w:tc>
          <w:tcPr>
            <w:tcW w:w="1303" w:type="dxa"/>
            <w:vMerge w:val="restart"/>
            <w:tcBorders>
              <w:top w:val="single" w:sz="8" w:space="0" w:color="auto"/>
              <w:left w:val="single" w:sz="8" w:space="0" w:color="auto"/>
              <w:bottom w:val="single" w:sz="8" w:space="0" w:color="000000"/>
              <w:right w:val="single" w:sz="8" w:space="0" w:color="auto"/>
            </w:tcBorders>
            <w:shd w:val="clear" w:color="000000" w:fill="EDF2F9"/>
            <w:vAlign w:val="center"/>
            <w:hideMark/>
          </w:tcPr>
          <w:p w14:paraId="0C2707CA" w14:textId="77777777" w:rsidR="00EA4ED3" w:rsidRPr="004A785B" w:rsidRDefault="00EA4ED3" w:rsidP="00EA4ED3">
            <w:pPr>
              <w:jc w:val="center"/>
              <w:rPr>
                <w:rFonts w:asciiTheme="minorHAnsi" w:hAnsiTheme="minorHAnsi"/>
                <w:b/>
                <w:bCs/>
                <w:color w:val="112277"/>
                <w:sz w:val="20"/>
                <w:szCs w:val="20"/>
              </w:rPr>
            </w:pPr>
            <w:r w:rsidRPr="004A785B">
              <w:rPr>
                <w:rFonts w:asciiTheme="minorHAnsi" w:hAnsiTheme="minorHAnsi"/>
                <w:b/>
                <w:bCs/>
                <w:color w:val="112277"/>
                <w:sz w:val="20"/>
                <w:szCs w:val="20"/>
              </w:rPr>
              <w:t>Lower Confidence Level</w:t>
            </w:r>
          </w:p>
        </w:tc>
        <w:tc>
          <w:tcPr>
            <w:tcW w:w="1463" w:type="dxa"/>
            <w:vMerge w:val="restart"/>
            <w:tcBorders>
              <w:top w:val="single" w:sz="8" w:space="0" w:color="auto"/>
              <w:left w:val="single" w:sz="8" w:space="0" w:color="auto"/>
              <w:bottom w:val="single" w:sz="8" w:space="0" w:color="000000"/>
              <w:right w:val="single" w:sz="8" w:space="0" w:color="auto"/>
            </w:tcBorders>
            <w:shd w:val="clear" w:color="000000" w:fill="EDF2F9"/>
            <w:vAlign w:val="center"/>
            <w:hideMark/>
          </w:tcPr>
          <w:p w14:paraId="50627BC4" w14:textId="77777777" w:rsidR="00EA4ED3" w:rsidRPr="004A785B" w:rsidRDefault="00EA4ED3" w:rsidP="00EA4ED3">
            <w:pPr>
              <w:jc w:val="center"/>
              <w:rPr>
                <w:rFonts w:asciiTheme="minorHAnsi" w:hAnsiTheme="minorHAnsi"/>
                <w:b/>
                <w:bCs/>
                <w:color w:val="112277"/>
                <w:sz w:val="20"/>
                <w:szCs w:val="20"/>
              </w:rPr>
            </w:pPr>
            <w:r w:rsidRPr="004A785B">
              <w:rPr>
                <w:rFonts w:asciiTheme="minorHAnsi" w:hAnsiTheme="minorHAnsi"/>
                <w:b/>
                <w:bCs/>
                <w:color w:val="112277"/>
                <w:sz w:val="20"/>
                <w:szCs w:val="20"/>
              </w:rPr>
              <w:t>Upper Confidence Level</w:t>
            </w:r>
          </w:p>
        </w:tc>
      </w:tr>
      <w:tr w:rsidR="00EA4ED3" w:rsidRPr="004A785B" w14:paraId="545FDC3E" w14:textId="77777777" w:rsidTr="00EA4ED3">
        <w:trPr>
          <w:trHeight w:val="48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5F6D46A" w14:textId="77777777" w:rsidR="00EA4ED3" w:rsidRPr="004A785B" w:rsidRDefault="00EA4ED3" w:rsidP="00EA4ED3">
            <w:pPr>
              <w:rPr>
                <w:rFonts w:asciiTheme="minorHAnsi" w:hAnsiTheme="minorHAnsi" w:cs="Arial"/>
                <w:b/>
                <w:bCs/>
                <w:color w:val="112277"/>
                <w:sz w:val="20"/>
                <w:szCs w:val="20"/>
              </w:rPr>
            </w:pPr>
          </w:p>
        </w:tc>
        <w:tc>
          <w:tcPr>
            <w:tcW w:w="1590" w:type="dxa"/>
            <w:vMerge/>
            <w:tcBorders>
              <w:top w:val="single" w:sz="8" w:space="0" w:color="auto"/>
              <w:left w:val="single" w:sz="8" w:space="0" w:color="auto"/>
              <w:bottom w:val="single" w:sz="8" w:space="0" w:color="000000"/>
              <w:right w:val="single" w:sz="8" w:space="0" w:color="auto"/>
            </w:tcBorders>
            <w:vAlign w:val="center"/>
            <w:hideMark/>
          </w:tcPr>
          <w:p w14:paraId="793FD912" w14:textId="77777777" w:rsidR="00EA4ED3" w:rsidRPr="004A785B" w:rsidRDefault="00EA4ED3" w:rsidP="00EA4ED3">
            <w:pPr>
              <w:rPr>
                <w:rFonts w:asciiTheme="minorHAnsi" w:hAnsiTheme="minorHAnsi"/>
                <w:b/>
                <w:bCs/>
                <w:color w:val="112277"/>
                <w:sz w:val="20"/>
                <w:szCs w:val="20"/>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14:paraId="21777D54" w14:textId="77777777" w:rsidR="00EA4ED3" w:rsidRPr="004A785B" w:rsidRDefault="00EA4ED3" w:rsidP="00EA4ED3">
            <w:pPr>
              <w:rPr>
                <w:rFonts w:asciiTheme="minorHAnsi" w:hAnsiTheme="minorHAnsi"/>
                <w:b/>
                <w:bCs/>
                <w:color w:val="112277"/>
                <w:sz w:val="20"/>
                <w:szCs w:val="20"/>
              </w:rPr>
            </w:pPr>
          </w:p>
        </w:tc>
        <w:tc>
          <w:tcPr>
            <w:tcW w:w="1030" w:type="dxa"/>
            <w:vMerge/>
            <w:tcBorders>
              <w:top w:val="single" w:sz="8" w:space="0" w:color="auto"/>
              <w:left w:val="single" w:sz="8" w:space="0" w:color="auto"/>
              <w:bottom w:val="single" w:sz="8" w:space="0" w:color="000000"/>
              <w:right w:val="single" w:sz="8" w:space="0" w:color="auto"/>
            </w:tcBorders>
            <w:vAlign w:val="center"/>
            <w:hideMark/>
          </w:tcPr>
          <w:p w14:paraId="000FC7AD" w14:textId="77777777" w:rsidR="00EA4ED3" w:rsidRPr="004A785B" w:rsidRDefault="00EA4ED3" w:rsidP="00EA4ED3">
            <w:pPr>
              <w:rPr>
                <w:rFonts w:asciiTheme="minorHAnsi" w:hAnsiTheme="minorHAnsi"/>
                <w:b/>
                <w:bCs/>
                <w:color w:val="112277"/>
                <w:sz w:val="20"/>
                <w:szCs w:val="20"/>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786BE840" w14:textId="77777777" w:rsidR="00EA4ED3" w:rsidRPr="004A785B" w:rsidRDefault="00EA4ED3" w:rsidP="00EA4ED3">
            <w:pPr>
              <w:rPr>
                <w:rFonts w:asciiTheme="minorHAnsi" w:hAnsiTheme="minorHAnsi"/>
                <w:b/>
                <w:bCs/>
                <w:color w:val="112277"/>
                <w:sz w:val="20"/>
                <w:szCs w:val="20"/>
              </w:rPr>
            </w:pPr>
          </w:p>
        </w:tc>
        <w:tc>
          <w:tcPr>
            <w:tcW w:w="1303" w:type="dxa"/>
            <w:vMerge/>
            <w:tcBorders>
              <w:top w:val="single" w:sz="8" w:space="0" w:color="auto"/>
              <w:left w:val="single" w:sz="8" w:space="0" w:color="auto"/>
              <w:bottom w:val="single" w:sz="8" w:space="0" w:color="000000"/>
              <w:right w:val="single" w:sz="8" w:space="0" w:color="auto"/>
            </w:tcBorders>
            <w:vAlign w:val="center"/>
            <w:hideMark/>
          </w:tcPr>
          <w:p w14:paraId="5EB9C620" w14:textId="77777777" w:rsidR="00EA4ED3" w:rsidRPr="004A785B" w:rsidRDefault="00EA4ED3" w:rsidP="00EA4ED3">
            <w:pPr>
              <w:rPr>
                <w:rFonts w:asciiTheme="minorHAnsi" w:hAnsiTheme="minorHAnsi"/>
                <w:b/>
                <w:bCs/>
                <w:color w:val="112277"/>
                <w:sz w:val="20"/>
                <w:szCs w:val="20"/>
              </w:rPr>
            </w:pPr>
          </w:p>
        </w:tc>
        <w:tc>
          <w:tcPr>
            <w:tcW w:w="1463" w:type="dxa"/>
            <w:vMerge/>
            <w:tcBorders>
              <w:top w:val="single" w:sz="8" w:space="0" w:color="auto"/>
              <w:left w:val="single" w:sz="8" w:space="0" w:color="auto"/>
              <w:bottom w:val="single" w:sz="8" w:space="0" w:color="000000"/>
              <w:right w:val="single" w:sz="8" w:space="0" w:color="auto"/>
            </w:tcBorders>
            <w:vAlign w:val="center"/>
            <w:hideMark/>
          </w:tcPr>
          <w:p w14:paraId="17F2B03D" w14:textId="77777777" w:rsidR="00EA4ED3" w:rsidRPr="004A785B" w:rsidRDefault="00EA4ED3" w:rsidP="00EA4ED3">
            <w:pPr>
              <w:rPr>
                <w:rFonts w:asciiTheme="minorHAnsi" w:hAnsiTheme="minorHAnsi"/>
                <w:b/>
                <w:bCs/>
                <w:color w:val="112277"/>
                <w:sz w:val="20"/>
                <w:szCs w:val="20"/>
              </w:rPr>
            </w:pPr>
          </w:p>
        </w:tc>
      </w:tr>
      <w:tr w:rsidR="00EA4ED3" w:rsidRPr="004A785B" w14:paraId="1F2EB457" w14:textId="77777777" w:rsidTr="00EA4ED3">
        <w:tc>
          <w:tcPr>
            <w:tcW w:w="15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C910652" w14:textId="77777777" w:rsidR="00EA4ED3" w:rsidRPr="004A785B" w:rsidRDefault="00EA4ED3" w:rsidP="00EA4ED3">
            <w:pPr>
              <w:jc w:val="center"/>
              <w:rPr>
                <w:rFonts w:asciiTheme="minorHAnsi" w:hAnsiTheme="minorHAnsi" w:cs="Arial"/>
                <w:b/>
                <w:color w:val="000000"/>
                <w:sz w:val="20"/>
                <w:szCs w:val="20"/>
              </w:rPr>
            </w:pPr>
            <w:r w:rsidRPr="004A785B">
              <w:rPr>
                <w:rFonts w:asciiTheme="minorHAnsi" w:hAnsiTheme="minorHAnsi" w:cs="Arial"/>
                <w:b/>
                <w:color w:val="000000"/>
                <w:sz w:val="20"/>
                <w:szCs w:val="20"/>
              </w:rPr>
              <w:t>Age 0-18</w:t>
            </w:r>
          </w:p>
        </w:tc>
        <w:tc>
          <w:tcPr>
            <w:tcW w:w="1590" w:type="dxa"/>
            <w:tcBorders>
              <w:top w:val="single" w:sz="4" w:space="0" w:color="auto"/>
              <w:left w:val="nil"/>
              <w:bottom w:val="single" w:sz="4" w:space="0" w:color="auto"/>
              <w:right w:val="single" w:sz="4" w:space="0" w:color="auto"/>
            </w:tcBorders>
            <w:shd w:val="clear" w:color="000000" w:fill="FFFFFF"/>
            <w:vAlign w:val="center"/>
            <w:hideMark/>
          </w:tcPr>
          <w:p w14:paraId="62AC62C9"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Primary Care</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14:paraId="0A56A18C"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172.6 </w:t>
            </w:r>
          </w:p>
        </w:tc>
        <w:tc>
          <w:tcPr>
            <w:tcW w:w="1030" w:type="dxa"/>
            <w:tcBorders>
              <w:top w:val="single" w:sz="4" w:space="0" w:color="auto"/>
              <w:left w:val="nil"/>
              <w:bottom w:val="single" w:sz="4" w:space="0" w:color="auto"/>
              <w:right w:val="single" w:sz="4" w:space="0" w:color="auto"/>
            </w:tcBorders>
            <w:shd w:val="clear" w:color="000000" w:fill="FFFFFF"/>
            <w:vAlign w:val="bottom"/>
            <w:hideMark/>
          </w:tcPr>
          <w:p w14:paraId="38803A3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134.4 </w:t>
            </w:r>
          </w:p>
        </w:tc>
        <w:tc>
          <w:tcPr>
            <w:tcW w:w="1194" w:type="dxa"/>
            <w:tcBorders>
              <w:top w:val="single" w:sz="4" w:space="0" w:color="auto"/>
              <w:left w:val="nil"/>
              <w:bottom w:val="single" w:sz="4" w:space="0" w:color="auto"/>
              <w:right w:val="single" w:sz="4" w:space="0" w:color="auto"/>
            </w:tcBorders>
            <w:shd w:val="clear" w:color="000000" w:fill="FFFFFF"/>
            <w:vAlign w:val="bottom"/>
            <w:hideMark/>
          </w:tcPr>
          <w:p w14:paraId="2A475A2E"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259.2 </w:t>
            </w:r>
          </w:p>
        </w:tc>
        <w:tc>
          <w:tcPr>
            <w:tcW w:w="1303" w:type="dxa"/>
            <w:tcBorders>
              <w:top w:val="single" w:sz="4" w:space="0" w:color="auto"/>
              <w:left w:val="nil"/>
              <w:bottom w:val="single" w:sz="4" w:space="0" w:color="auto"/>
              <w:right w:val="single" w:sz="4" w:space="0" w:color="auto"/>
            </w:tcBorders>
            <w:shd w:val="clear" w:color="000000" w:fill="FFFFFF"/>
            <w:vAlign w:val="bottom"/>
            <w:hideMark/>
          </w:tcPr>
          <w:p w14:paraId="0E5B61A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163.2 </w:t>
            </w:r>
          </w:p>
        </w:tc>
        <w:tc>
          <w:tcPr>
            <w:tcW w:w="1463" w:type="dxa"/>
            <w:tcBorders>
              <w:top w:val="single" w:sz="4" w:space="0" w:color="auto"/>
              <w:left w:val="nil"/>
              <w:bottom w:val="single" w:sz="4" w:space="0" w:color="auto"/>
              <w:right w:val="single" w:sz="4" w:space="0" w:color="auto"/>
            </w:tcBorders>
            <w:shd w:val="clear" w:color="000000" w:fill="FFFFFF"/>
            <w:vAlign w:val="bottom"/>
            <w:hideMark/>
          </w:tcPr>
          <w:p w14:paraId="62BD9CA1"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182.1 </w:t>
            </w:r>
          </w:p>
        </w:tc>
      </w:tr>
      <w:tr w:rsidR="00EA4ED3" w:rsidRPr="004A785B" w14:paraId="31C81B73" w14:textId="77777777" w:rsidTr="00EA4ED3">
        <w:tc>
          <w:tcPr>
            <w:tcW w:w="1560" w:type="dxa"/>
            <w:vMerge/>
            <w:tcBorders>
              <w:top w:val="nil"/>
              <w:left w:val="single" w:sz="4" w:space="0" w:color="auto"/>
              <w:bottom w:val="single" w:sz="4" w:space="0" w:color="auto"/>
              <w:right w:val="single" w:sz="4" w:space="0" w:color="auto"/>
            </w:tcBorders>
            <w:vAlign w:val="center"/>
            <w:hideMark/>
          </w:tcPr>
          <w:p w14:paraId="5DC93E01" w14:textId="77777777" w:rsidR="00EA4ED3" w:rsidRPr="004A785B" w:rsidRDefault="00EA4ED3" w:rsidP="00EA4ED3">
            <w:pPr>
              <w:jc w:val="center"/>
              <w:rPr>
                <w:rFonts w:asciiTheme="minorHAnsi" w:hAnsiTheme="minorHAnsi" w:cs="Arial"/>
                <w:b/>
                <w:color w:val="000000"/>
                <w:sz w:val="20"/>
                <w:szCs w:val="20"/>
              </w:rPr>
            </w:pPr>
          </w:p>
        </w:tc>
        <w:tc>
          <w:tcPr>
            <w:tcW w:w="1590" w:type="dxa"/>
            <w:tcBorders>
              <w:top w:val="nil"/>
              <w:left w:val="nil"/>
              <w:bottom w:val="single" w:sz="4" w:space="0" w:color="auto"/>
              <w:right w:val="single" w:sz="4" w:space="0" w:color="auto"/>
            </w:tcBorders>
            <w:shd w:val="clear" w:color="000000" w:fill="FFFFFF"/>
            <w:vAlign w:val="center"/>
            <w:hideMark/>
          </w:tcPr>
          <w:p w14:paraId="0C5C8262"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Behavioral Care</w:t>
            </w:r>
          </w:p>
        </w:tc>
        <w:tc>
          <w:tcPr>
            <w:tcW w:w="1220" w:type="dxa"/>
            <w:tcBorders>
              <w:top w:val="nil"/>
              <w:left w:val="nil"/>
              <w:bottom w:val="single" w:sz="4" w:space="0" w:color="auto"/>
              <w:right w:val="single" w:sz="4" w:space="0" w:color="auto"/>
            </w:tcBorders>
            <w:shd w:val="clear" w:color="000000" w:fill="FFFFFF"/>
            <w:vAlign w:val="bottom"/>
            <w:hideMark/>
          </w:tcPr>
          <w:p w14:paraId="5402B12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2.3 </w:t>
            </w:r>
          </w:p>
        </w:tc>
        <w:tc>
          <w:tcPr>
            <w:tcW w:w="1030" w:type="dxa"/>
            <w:tcBorders>
              <w:top w:val="nil"/>
              <w:left w:val="nil"/>
              <w:bottom w:val="single" w:sz="4" w:space="0" w:color="auto"/>
              <w:right w:val="single" w:sz="4" w:space="0" w:color="auto"/>
            </w:tcBorders>
            <w:shd w:val="clear" w:color="000000" w:fill="FFFFFF"/>
            <w:vAlign w:val="bottom"/>
            <w:hideMark/>
          </w:tcPr>
          <w:p w14:paraId="0653374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1.7 </w:t>
            </w:r>
          </w:p>
        </w:tc>
        <w:tc>
          <w:tcPr>
            <w:tcW w:w="1194" w:type="dxa"/>
            <w:tcBorders>
              <w:top w:val="nil"/>
              <w:left w:val="nil"/>
              <w:bottom w:val="single" w:sz="4" w:space="0" w:color="auto"/>
              <w:right w:val="single" w:sz="4" w:space="0" w:color="auto"/>
            </w:tcBorders>
            <w:shd w:val="clear" w:color="000000" w:fill="FFFFFF"/>
            <w:vAlign w:val="bottom"/>
            <w:hideMark/>
          </w:tcPr>
          <w:p w14:paraId="417C8046"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3.3 </w:t>
            </w:r>
          </w:p>
        </w:tc>
        <w:tc>
          <w:tcPr>
            <w:tcW w:w="1303" w:type="dxa"/>
            <w:tcBorders>
              <w:top w:val="nil"/>
              <w:left w:val="nil"/>
              <w:bottom w:val="single" w:sz="4" w:space="0" w:color="auto"/>
              <w:right w:val="single" w:sz="4" w:space="0" w:color="auto"/>
            </w:tcBorders>
            <w:shd w:val="clear" w:color="000000" w:fill="FFFFFF"/>
            <w:vAlign w:val="bottom"/>
            <w:hideMark/>
          </w:tcPr>
          <w:p w14:paraId="6051E35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2.2 </w:t>
            </w:r>
          </w:p>
        </w:tc>
        <w:tc>
          <w:tcPr>
            <w:tcW w:w="1463" w:type="dxa"/>
            <w:tcBorders>
              <w:top w:val="nil"/>
              <w:left w:val="nil"/>
              <w:bottom w:val="single" w:sz="4" w:space="0" w:color="auto"/>
              <w:right w:val="single" w:sz="4" w:space="0" w:color="auto"/>
            </w:tcBorders>
            <w:shd w:val="clear" w:color="000000" w:fill="FFFFFF"/>
            <w:vAlign w:val="bottom"/>
            <w:hideMark/>
          </w:tcPr>
          <w:p w14:paraId="408B0EE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2.5 </w:t>
            </w:r>
          </w:p>
        </w:tc>
      </w:tr>
      <w:tr w:rsidR="00EA4ED3" w:rsidRPr="004A785B" w14:paraId="40E35866" w14:textId="77777777" w:rsidTr="00EA4ED3">
        <w:tc>
          <w:tcPr>
            <w:tcW w:w="1560" w:type="dxa"/>
            <w:vMerge/>
            <w:tcBorders>
              <w:top w:val="nil"/>
              <w:left w:val="single" w:sz="4" w:space="0" w:color="auto"/>
              <w:bottom w:val="single" w:sz="4" w:space="0" w:color="auto"/>
              <w:right w:val="single" w:sz="4" w:space="0" w:color="auto"/>
            </w:tcBorders>
            <w:vAlign w:val="center"/>
            <w:hideMark/>
          </w:tcPr>
          <w:p w14:paraId="64D1C897" w14:textId="77777777" w:rsidR="00EA4ED3" w:rsidRPr="004A785B" w:rsidRDefault="00EA4ED3" w:rsidP="00EA4ED3">
            <w:pPr>
              <w:jc w:val="center"/>
              <w:rPr>
                <w:rFonts w:asciiTheme="minorHAnsi" w:hAnsiTheme="minorHAnsi" w:cs="Arial"/>
                <w:b/>
                <w:color w:val="000000"/>
                <w:sz w:val="20"/>
                <w:szCs w:val="20"/>
              </w:rPr>
            </w:pPr>
          </w:p>
        </w:tc>
        <w:tc>
          <w:tcPr>
            <w:tcW w:w="1590" w:type="dxa"/>
            <w:tcBorders>
              <w:top w:val="nil"/>
              <w:left w:val="nil"/>
              <w:bottom w:val="single" w:sz="4" w:space="0" w:color="auto"/>
              <w:right w:val="single" w:sz="4" w:space="0" w:color="auto"/>
            </w:tcBorders>
            <w:shd w:val="clear" w:color="000000" w:fill="FFFFFF"/>
            <w:vAlign w:val="center"/>
            <w:hideMark/>
          </w:tcPr>
          <w:p w14:paraId="5F094370"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Home Health</w:t>
            </w:r>
          </w:p>
        </w:tc>
        <w:tc>
          <w:tcPr>
            <w:tcW w:w="1220" w:type="dxa"/>
            <w:tcBorders>
              <w:top w:val="nil"/>
              <w:left w:val="nil"/>
              <w:bottom w:val="single" w:sz="4" w:space="0" w:color="auto"/>
              <w:right w:val="single" w:sz="4" w:space="0" w:color="auto"/>
            </w:tcBorders>
            <w:shd w:val="clear" w:color="000000" w:fill="FFFFFF"/>
            <w:vAlign w:val="bottom"/>
            <w:hideMark/>
          </w:tcPr>
          <w:p w14:paraId="016CFFD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5.8 </w:t>
            </w:r>
          </w:p>
        </w:tc>
        <w:tc>
          <w:tcPr>
            <w:tcW w:w="1030" w:type="dxa"/>
            <w:tcBorders>
              <w:top w:val="nil"/>
              <w:left w:val="nil"/>
              <w:bottom w:val="single" w:sz="4" w:space="0" w:color="auto"/>
              <w:right w:val="single" w:sz="4" w:space="0" w:color="auto"/>
            </w:tcBorders>
            <w:shd w:val="clear" w:color="000000" w:fill="FFFFFF"/>
            <w:vAlign w:val="bottom"/>
            <w:hideMark/>
          </w:tcPr>
          <w:p w14:paraId="4D9EF6D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2.6 </w:t>
            </w:r>
          </w:p>
        </w:tc>
        <w:tc>
          <w:tcPr>
            <w:tcW w:w="1194" w:type="dxa"/>
            <w:tcBorders>
              <w:top w:val="nil"/>
              <w:left w:val="nil"/>
              <w:bottom w:val="single" w:sz="4" w:space="0" w:color="auto"/>
              <w:right w:val="single" w:sz="4" w:space="0" w:color="auto"/>
            </w:tcBorders>
            <w:shd w:val="clear" w:color="000000" w:fill="FFFFFF"/>
            <w:vAlign w:val="bottom"/>
            <w:hideMark/>
          </w:tcPr>
          <w:p w14:paraId="6670E1A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14.7 </w:t>
            </w:r>
          </w:p>
        </w:tc>
        <w:tc>
          <w:tcPr>
            <w:tcW w:w="1303" w:type="dxa"/>
            <w:tcBorders>
              <w:top w:val="nil"/>
              <w:left w:val="nil"/>
              <w:bottom w:val="single" w:sz="4" w:space="0" w:color="auto"/>
              <w:right w:val="single" w:sz="4" w:space="0" w:color="auto"/>
            </w:tcBorders>
            <w:shd w:val="clear" w:color="000000" w:fill="FFFFFF"/>
            <w:vAlign w:val="bottom"/>
            <w:hideMark/>
          </w:tcPr>
          <w:p w14:paraId="138EEFBC"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4.4 </w:t>
            </w:r>
          </w:p>
        </w:tc>
        <w:tc>
          <w:tcPr>
            <w:tcW w:w="1463" w:type="dxa"/>
            <w:tcBorders>
              <w:top w:val="nil"/>
              <w:left w:val="nil"/>
              <w:bottom w:val="single" w:sz="4" w:space="0" w:color="auto"/>
              <w:right w:val="single" w:sz="4" w:space="0" w:color="auto"/>
            </w:tcBorders>
            <w:shd w:val="clear" w:color="000000" w:fill="FFFFFF"/>
            <w:vAlign w:val="bottom"/>
            <w:hideMark/>
          </w:tcPr>
          <w:p w14:paraId="6D8FCE1E"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7.1 </w:t>
            </w:r>
          </w:p>
        </w:tc>
      </w:tr>
      <w:tr w:rsidR="00EA4ED3" w:rsidRPr="004A785B" w14:paraId="54AEEB9E" w14:textId="77777777" w:rsidTr="00EA4ED3">
        <w:tc>
          <w:tcPr>
            <w:tcW w:w="1560" w:type="dxa"/>
            <w:vMerge/>
            <w:tcBorders>
              <w:top w:val="nil"/>
              <w:left w:val="single" w:sz="4" w:space="0" w:color="auto"/>
              <w:bottom w:val="single" w:sz="4" w:space="0" w:color="auto"/>
              <w:right w:val="single" w:sz="4" w:space="0" w:color="auto"/>
            </w:tcBorders>
            <w:vAlign w:val="center"/>
            <w:hideMark/>
          </w:tcPr>
          <w:p w14:paraId="6CC31280" w14:textId="77777777" w:rsidR="00EA4ED3" w:rsidRPr="004A785B" w:rsidRDefault="00EA4ED3" w:rsidP="00EA4ED3">
            <w:pPr>
              <w:jc w:val="center"/>
              <w:rPr>
                <w:rFonts w:asciiTheme="minorHAnsi" w:hAnsiTheme="minorHAnsi" w:cs="Arial"/>
                <w:b/>
                <w:color w:val="000000"/>
                <w:sz w:val="20"/>
                <w:szCs w:val="20"/>
              </w:rPr>
            </w:pPr>
          </w:p>
        </w:tc>
        <w:tc>
          <w:tcPr>
            <w:tcW w:w="1590" w:type="dxa"/>
            <w:tcBorders>
              <w:top w:val="nil"/>
              <w:left w:val="nil"/>
              <w:bottom w:val="single" w:sz="4" w:space="0" w:color="auto"/>
              <w:right w:val="single" w:sz="4" w:space="0" w:color="auto"/>
            </w:tcBorders>
            <w:shd w:val="clear" w:color="000000" w:fill="FFFFFF"/>
            <w:vAlign w:val="center"/>
            <w:hideMark/>
          </w:tcPr>
          <w:p w14:paraId="12A9A35A"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Specialty Care</w:t>
            </w:r>
          </w:p>
        </w:tc>
        <w:tc>
          <w:tcPr>
            <w:tcW w:w="1220" w:type="dxa"/>
            <w:tcBorders>
              <w:top w:val="nil"/>
              <w:left w:val="nil"/>
              <w:bottom w:val="single" w:sz="4" w:space="0" w:color="auto"/>
              <w:right w:val="single" w:sz="4" w:space="0" w:color="auto"/>
            </w:tcBorders>
            <w:shd w:val="clear" w:color="000000" w:fill="FFFFFF"/>
            <w:vAlign w:val="bottom"/>
            <w:hideMark/>
          </w:tcPr>
          <w:p w14:paraId="10EC681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62.3 </w:t>
            </w:r>
          </w:p>
        </w:tc>
        <w:tc>
          <w:tcPr>
            <w:tcW w:w="1030" w:type="dxa"/>
            <w:tcBorders>
              <w:top w:val="nil"/>
              <w:left w:val="nil"/>
              <w:bottom w:val="single" w:sz="4" w:space="0" w:color="auto"/>
              <w:right w:val="single" w:sz="4" w:space="0" w:color="auto"/>
            </w:tcBorders>
            <w:shd w:val="clear" w:color="000000" w:fill="FFFFFF"/>
            <w:vAlign w:val="bottom"/>
            <w:hideMark/>
          </w:tcPr>
          <w:p w14:paraId="5861531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53.4 </w:t>
            </w:r>
          </w:p>
        </w:tc>
        <w:tc>
          <w:tcPr>
            <w:tcW w:w="1194" w:type="dxa"/>
            <w:tcBorders>
              <w:top w:val="nil"/>
              <w:left w:val="nil"/>
              <w:bottom w:val="single" w:sz="4" w:space="0" w:color="auto"/>
              <w:right w:val="single" w:sz="4" w:space="0" w:color="auto"/>
            </w:tcBorders>
            <w:shd w:val="clear" w:color="000000" w:fill="FFFFFF"/>
            <w:vAlign w:val="bottom"/>
            <w:hideMark/>
          </w:tcPr>
          <w:p w14:paraId="28BE011C"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70.0 </w:t>
            </w:r>
          </w:p>
        </w:tc>
        <w:tc>
          <w:tcPr>
            <w:tcW w:w="1303" w:type="dxa"/>
            <w:tcBorders>
              <w:top w:val="nil"/>
              <w:left w:val="nil"/>
              <w:bottom w:val="single" w:sz="4" w:space="0" w:color="auto"/>
              <w:right w:val="single" w:sz="4" w:space="0" w:color="auto"/>
            </w:tcBorders>
            <w:shd w:val="clear" w:color="000000" w:fill="FFFFFF"/>
            <w:vAlign w:val="bottom"/>
            <w:hideMark/>
          </w:tcPr>
          <w:p w14:paraId="1C3D61E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60.7 </w:t>
            </w:r>
          </w:p>
        </w:tc>
        <w:tc>
          <w:tcPr>
            <w:tcW w:w="1463" w:type="dxa"/>
            <w:tcBorders>
              <w:top w:val="nil"/>
              <w:left w:val="nil"/>
              <w:bottom w:val="single" w:sz="4" w:space="0" w:color="auto"/>
              <w:right w:val="single" w:sz="4" w:space="0" w:color="auto"/>
            </w:tcBorders>
            <w:shd w:val="clear" w:color="000000" w:fill="FFFFFF"/>
            <w:vAlign w:val="bottom"/>
            <w:hideMark/>
          </w:tcPr>
          <w:p w14:paraId="79E1560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63.9 </w:t>
            </w:r>
          </w:p>
        </w:tc>
      </w:tr>
      <w:tr w:rsidR="00EA4ED3" w:rsidRPr="004A785B" w14:paraId="455A8854" w14:textId="77777777" w:rsidTr="00EA4ED3">
        <w:tc>
          <w:tcPr>
            <w:tcW w:w="15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591DD8B" w14:textId="77777777" w:rsidR="00EA4ED3" w:rsidRPr="004A785B" w:rsidRDefault="00EA4ED3" w:rsidP="00EA4ED3">
            <w:pPr>
              <w:jc w:val="center"/>
              <w:rPr>
                <w:rFonts w:asciiTheme="minorHAnsi" w:hAnsiTheme="minorHAnsi" w:cs="Arial"/>
                <w:b/>
                <w:color w:val="000000"/>
                <w:sz w:val="20"/>
                <w:szCs w:val="20"/>
              </w:rPr>
            </w:pPr>
            <w:r w:rsidRPr="004A785B">
              <w:rPr>
                <w:rFonts w:asciiTheme="minorHAnsi" w:hAnsiTheme="minorHAnsi" w:cs="Arial"/>
                <w:b/>
                <w:color w:val="000000"/>
                <w:sz w:val="20"/>
                <w:szCs w:val="20"/>
              </w:rPr>
              <w:t>Age 19-64</w:t>
            </w:r>
          </w:p>
        </w:tc>
        <w:tc>
          <w:tcPr>
            <w:tcW w:w="1590" w:type="dxa"/>
            <w:tcBorders>
              <w:top w:val="nil"/>
              <w:left w:val="nil"/>
              <w:bottom w:val="single" w:sz="4" w:space="0" w:color="auto"/>
              <w:right w:val="single" w:sz="4" w:space="0" w:color="auto"/>
            </w:tcBorders>
            <w:shd w:val="clear" w:color="000000" w:fill="FFFFFF"/>
            <w:vAlign w:val="center"/>
            <w:hideMark/>
          </w:tcPr>
          <w:p w14:paraId="57ED12D5"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Primary Care</w:t>
            </w:r>
          </w:p>
        </w:tc>
        <w:tc>
          <w:tcPr>
            <w:tcW w:w="1220" w:type="dxa"/>
            <w:tcBorders>
              <w:top w:val="nil"/>
              <w:left w:val="nil"/>
              <w:bottom w:val="single" w:sz="4" w:space="0" w:color="auto"/>
              <w:right w:val="single" w:sz="4" w:space="0" w:color="auto"/>
            </w:tcBorders>
            <w:shd w:val="clear" w:color="000000" w:fill="FFFFFF"/>
            <w:vAlign w:val="bottom"/>
            <w:hideMark/>
          </w:tcPr>
          <w:p w14:paraId="3CF8607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189.9 </w:t>
            </w:r>
          </w:p>
        </w:tc>
        <w:tc>
          <w:tcPr>
            <w:tcW w:w="1030" w:type="dxa"/>
            <w:tcBorders>
              <w:top w:val="nil"/>
              <w:left w:val="nil"/>
              <w:bottom w:val="single" w:sz="4" w:space="0" w:color="auto"/>
              <w:right w:val="single" w:sz="4" w:space="0" w:color="auto"/>
            </w:tcBorders>
            <w:shd w:val="clear" w:color="000000" w:fill="FFFFFF"/>
            <w:vAlign w:val="bottom"/>
            <w:hideMark/>
          </w:tcPr>
          <w:p w14:paraId="1F990B46"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137.9 </w:t>
            </w:r>
          </w:p>
        </w:tc>
        <w:tc>
          <w:tcPr>
            <w:tcW w:w="1194" w:type="dxa"/>
            <w:tcBorders>
              <w:top w:val="nil"/>
              <w:left w:val="nil"/>
              <w:bottom w:val="single" w:sz="4" w:space="0" w:color="auto"/>
              <w:right w:val="single" w:sz="4" w:space="0" w:color="auto"/>
            </w:tcBorders>
            <w:shd w:val="clear" w:color="000000" w:fill="FFFFFF"/>
            <w:vAlign w:val="bottom"/>
            <w:hideMark/>
          </w:tcPr>
          <w:p w14:paraId="4D523AB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232.0 </w:t>
            </w:r>
          </w:p>
        </w:tc>
        <w:tc>
          <w:tcPr>
            <w:tcW w:w="1303" w:type="dxa"/>
            <w:tcBorders>
              <w:top w:val="nil"/>
              <w:left w:val="nil"/>
              <w:bottom w:val="single" w:sz="4" w:space="0" w:color="auto"/>
              <w:right w:val="single" w:sz="4" w:space="0" w:color="auto"/>
            </w:tcBorders>
            <w:shd w:val="clear" w:color="000000" w:fill="FFFFFF"/>
            <w:vAlign w:val="bottom"/>
            <w:hideMark/>
          </w:tcPr>
          <w:p w14:paraId="66A2965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181.2 </w:t>
            </w:r>
          </w:p>
        </w:tc>
        <w:tc>
          <w:tcPr>
            <w:tcW w:w="1463" w:type="dxa"/>
            <w:tcBorders>
              <w:top w:val="nil"/>
              <w:left w:val="nil"/>
              <w:bottom w:val="single" w:sz="4" w:space="0" w:color="auto"/>
              <w:right w:val="single" w:sz="4" w:space="0" w:color="auto"/>
            </w:tcBorders>
            <w:shd w:val="clear" w:color="000000" w:fill="FFFFFF"/>
            <w:vAlign w:val="bottom"/>
            <w:hideMark/>
          </w:tcPr>
          <w:p w14:paraId="066E024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198.5 </w:t>
            </w:r>
          </w:p>
        </w:tc>
      </w:tr>
      <w:tr w:rsidR="00EA4ED3" w:rsidRPr="004A785B" w14:paraId="28CA5D38" w14:textId="77777777" w:rsidTr="00EA4ED3">
        <w:tc>
          <w:tcPr>
            <w:tcW w:w="1560" w:type="dxa"/>
            <w:vMerge/>
            <w:tcBorders>
              <w:top w:val="nil"/>
              <w:left w:val="single" w:sz="4" w:space="0" w:color="auto"/>
              <w:bottom w:val="single" w:sz="4" w:space="0" w:color="auto"/>
              <w:right w:val="single" w:sz="4" w:space="0" w:color="auto"/>
            </w:tcBorders>
            <w:vAlign w:val="center"/>
            <w:hideMark/>
          </w:tcPr>
          <w:p w14:paraId="3D2CE83D" w14:textId="77777777" w:rsidR="00EA4ED3" w:rsidRPr="004A785B" w:rsidRDefault="00EA4ED3" w:rsidP="00EA4ED3">
            <w:pPr>
              <w:jc w:val="center"/>
              <w:rPr>
                <w:rFonts w:asciiTheme="minorHAnsi" w:hAnsiTheme="minorHAnsi" w:cs="Arial"/>
                <w:b/>
                <w:color w:val="000000"/>
                <w:sz w:val="20"/>
                <w:szCs w:val="20"/>
              </w:rPr>
            </w:pPr>
          </w:p>
        </w:tc>
        <w:tc>
          <w:tcPr>
            <w:tcW w:w="1590" w:type="dxa"/>
            <w:tcBorders>
              <w:top w:val="nil"/>
              <w:left w:val="nil"/>
              <w:bottom w:val="single" w:sz="4" w:space="0" w:color="auto"/>
              <w:right w:val="single" w:sz="4" w:space="0" w:color="auto"/>
            </w:tcBorders>
            <w:shd w:val="clear" w:color="000000" w:fill="FFFFFF"/>
            <w:vAlign w:val="center"/>
            <w:hideMark/>
          </w:tcPr>
          <w:p w14:paraId="7ED6514F"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Behavioral Care</w:t>
            </w:r>
          </w:p>
        </w:tc>
        <w:tc>
          <w:tcPr>
            <w:tcW w:w="1220" w:type="dxa"/>
            <w:tcBorders>
              <w:top w:val="nil"/>
              <w:left w:val="nil"/>
              <w:bottom w:val="single" w:sz="4" w:space="0" w:color="auto"/>
              <w:right w:val="single" w:sz="4" w:space="0" w:color="auto"/>
            </w:tcBorders>
            <w:shd w:val="clear" w:color="000000" w:fill="FFFFFF"/>
            <w:vAlign w:val="bottom"/>
            <w:hideMark/>
          </w:tcPr>
          <w:p w14:paraId="7EFA4C2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1.5 </w:t>
            </w:r>
          </w:p>
        </w:tc>
        <w:tc>
          <w:tcPr>
            <w:tcW w:w="1030" w:type="dxa"/>
            <w:tcBorders>
              <w:top w:val="nil"/>
              <w:left w:val="nil"/>
              <w:bottom w:val="single" w:sz="4" w:space="0" w:color="auto"/>
              <w:right w:val="single" w:sz="4" w:space="0" w:color="auto"/>
            </w:tcBorders>
            <w:shd w:val="clear" w:color="000000" w:fill="FFFFFF"/>
            <w:vAlign w:val="bottom"/>
            <w:hideMark/>
          </w:tcPr>
          <w:p w14:paraId="6347F87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0.9 </w:t>
            </w:r>
          </w:p>
        </w:tc>
        <w:tc>
          <w:tcPr>
            <w:tcW w:w="1194" w:type="dxa"/>
            <w:tcBorders>
              <w:top w:val="nil"/>
              <w:left w:val="nil"/>
              <w:bottom w:val="single" w:sz="4" w:space="0" w:color="auto"/>
              <w:right w:val="single" w:sz="4" w:space="0" w:color="auto"/>
            </w:tcBorders>
            <w:shd w:val="clear" w:color="000000" w:fill="FFFFFF"/>
            <w:vAlign w:val="bottom"/>
            <w:hideMark/>
          </w:tcPr>
          <w:p w14:paraId="5B12C82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2.3 </w:t>
            </w:r>
          </w:p>
        </w:tc>
        <w:tc>
          <w:tcPr>
            <w:tcW w:w="1303" w:type="dxa"/>
            <w:tcBorders>
              <w:top w:val="nil"/>
              <w:left w:val="nil"/>
              <w:bottom w:val="single" w:sz="4" w:space="0" w:color="auto"/>
              <w:right w:val="single" w:sz="4" w:space="0" w:color="auto"/>
            </w:tcBorders>
            <w:shd w:val="clear" w:color="000000" w:fill="FFFFFF"/>
            <w:vAlign w:val="bottom"/>
            <w:hideMark/>
          </w:tcPr>
          <w:p w14:paraId="7A95C72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1.4 </w:t>
            </w:r>
          </w:p>
        </w:tc>
        <w:tc>
          <w:tcPr>
            <w:tcW w:w="1463" w:type="dxa"/>
            <w:tcBorders>
              <w:top w:val="nil"/>
              <w:left w:val="nil"/>
              <w:bottom w:val="single" w:sz="4" w:space="0" w:color="auto"/>
              <w:right w:val="single" w:sz="4" w:space="0" w:color="auto"/>
            </w:tcBorders>
            <w:shd w:val="clear" w:color="000000" w:fill="FFFFFF"/>
            <w:vAlign w:val="bottom"/>
            <w:hideMark/>
          </w:tcPr>
          <w:p w14:paraId="5F06F3F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1.6 </w:t>
            </w:r>
          </w:p>
        </w:tc>
      </w:tr>
      <w:tr w:rsidR="00EA4ED3" w:rsidRPr="004A785B" w14:paraId="4385D64F" w14:textId="77777777" w:rsidTr="00EA4ED3">
        <w:tc>
          <w:tcPr>
            <w:tcW w:w="1560" w:type="dxa"/>
            <w:vMerge/>
            <w:tcBorders>
              <w:top w:val="nil"/>
              <w:left w:val="single" w:sz="4" w:space="0" w:color="auto"/>
              <w:bottom w:val="single" w:sz="4" w:space="0" w:color="auto"/>
              <w:right w:val="single" w:sz="4" w:space="0" w:color="auto"/>
            </w:tcBorders>
            <w:vAlign w:val="center"/>
            <w:hideMark/>
          </w:tcPr>
          <w:p w14:paraId="7666E4F0" w14:textId="77777777" w:rsidR="00EA4ED3" w:rsidRPr="004A785B" w:rsidRDefault="00EA4ED3" w:rsidP="00EA4ED3">
            <w:pPr>
              <w:jc w:val="center"/>
              <w:rPr>
                <w:rFonts w:asciiTheme="minorHAnsi" w:hAnsiTheme="minorHAnsi" w:cs="Arial"/>
                <w:b/>
                <w:color w:val="000000"/>
                <w:sz w:val="20"/>
                <w:szCs w:val="20"/>
              </w:rPr>
            </w:pPr>
          </w:p>
        </w:tc>
        <w:tc>
          <w:tcPr>
            <w:tcW w:w="1590" w:type="dxa"/>
            <w:tcBorders>
              <w:top w:val="nil"/>
              <w:left w:val="nil"/>
              <w:bottom w:val="single" w:sz="4" w:space="0" w:color="auto"/>
              <w:right w:val="single" w:sz="4" w:space="0" w:color="auto"/>
            </w:tcBorders>
            <w:shd w:val="clear" w:color="000000" w:fill="FFFFFF"/>
            <w:vAlign w:val="center"/>
            <w:hideMark/>
          </w:tcPr>
          <w:p w14:paraId="6469C2D9"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Home Health</w:t>
            </w:r>
          </w:p>
        </w:tc>
        <w:tc>
          <w:tcPr>
            <w:tcW w:w="1220" w:type="dxa"/>
            <w:tcBorders>
              <w:top w:val="nil"/>
              <w:left w:val="nil"/>
              <w:bottom w:val="single" w:sz="4" w:space="0" w:color="auto"/>
              <w:right w:val="single" w:sz="4" w:space="0" w:color="auto"/>
            </w:tcBorders>
            <w:shd w:val="clear" w:color="000000" w:fill="FFFFFF"/>
            <w:vAlign w:val="bottom"/>
            <w:hideMark/>
          </w:tcPr>
          <w:p w14:paraId="4864DBD1"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0.9 </w:t>
            </w:r>
          </w:p>
        </w:tc>
        <w:tc>
          <w:tcPr>
            <w:tcW w:w="1030" w:type="dxa"/>
            <w:tcBorders>
              <w:top w:val="nil"/>
              <w:left w:val="nil"/>
              <w:bottom w:val="single" w:sz="4" w:space="0" w:color="auto"/>
              <w:right w:val="single" w:sz="4" w:space="0" w:color="auto"/>
            </w:tcBorders>
            <w:shd w:val="clear" w:color="000000" w:fill="FFFFFF"/>
            <w:vAlign w:val="bottom"/>
            <w:hideMark/>
          </w:tcPr>
          <w:p w14:paraId="6051CAB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0.5 </w:t>
            </w:r>
          </w:p>
        </w:tc>
        <w:tc>
          <w:tcPr>
            <w:tcW w:w="1194" w:type="dxa"/>
            <w:tcBorders>
              <w:top w:val="nil"/>
              <w:left w:val="nil"/>
              <w:bottom w:val="single" w:sz="4" w:space="0" w:color="auto"/>
              <w:right w:val="single" w:sz="4" w:space="0" w:color="auto"/>
            </w:tcBorders>
            <w:shd w:val="clear" w:color="000000" w:fill="FFFFFF"/>
            <w:vAlign w:val="bottom"/>
            <w:hideMark/>
          </w:tcPr>
          <w:p w14:paraId="3CDB075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2.2 </w:t>
            </w:r>
          </w:p>
        </w:tc>
        <w:tc>
          <w:tcPr>
            <w:tcW w:w="1303" w:type="dxa"/>
            <w:tcBorders>
              <w:top w:val="nil"/>
              <w:left w:val="nil"/>
              <w:bottom w:val="single" w:sz="4" w:space="0" w:color="auto"/>
              <w:right w:val="single" w:sz="4" w:space="0" w:color="auto"/>
            </w:tcBorders>
            <w:shd w:val="clear" w:color="000000" w:fill="FFFFFF"/>
            <w:vAlign w:val="bottom"/>
            <w:hideMark/>
          </w:tcPr>
          <w:p w14:paraId="39B4FF7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0.7 </w:t>
            </w:r>
          </w:p>
        </w:tc>
        <w:tc>
          <w:tcPr>
            <w:tcW w:w="1463" w:type="dxa"/>
            <w:tcBorders>
              <w:top w:val="nil"/>
              <w:left w:val="nil"/>
              <w:bottom w:val="single" w:sz="4" w:space="0" w:color="auto"/>
              <w:right w:val="single" w:sz="4" w:space="0" w:color="auto"/>
            </w:tcBorders>
            <w:shd w:val="clear" w:color="000000" w:fill="FFFFFF"/>
            <w:vAlign w:val="bottom"/>
            <w:hideMark/>
          </w:tcPr>
          <w:p w14:paraId="6FB9BC9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1.1 </w:t>
            </w:r>
          </w:p>
        </w:tc>
      </w:tr>
      <w:tr w:rsidR="00EA4ED3" w:rsidRPr="004A785B" w14:paraId="3A1A3B96" w14:textId="77777777" w:rsidTr="00EA4ED3">
        <w:tc>
          <w:tcPr>
            <w:tcW w:w="1560" w:type="dxa"/>
            <w:vMerge/>
            <w:tcBorders>
              <w:top w:val="nil"/>
              <w:left w:val="single" w:sz="4" w:space="0" w:color="auto"/>
              <w:bottom w:val="single" w:sz="4" w:space="0" w:color="auto"/>
              <w:right w:val="single" w:sz="4" w:space="0" w:color="auto"/>
            </w:tcBorders>
            <w:vAlign w:val="center"/>
            <w:hideMark/>
          </w:tcPr>
          <w:p w14:paraId="007B7789" w14:textId="77777777" w:rsidR="00EA4ED3" w:rsidRPr="004A785B" w:rsidRDefault="00EA4ED3" w:rsidP="00EA4ED3">
            <w:pPr>
              <w:jc w:val="center"/>
              <w:rPr>
                <w:rFonts w:asciiTheme="minorHAnsi" w:hAnsiTheme="minorHAnsi" w:cs="Arial"/>
                <w:b/>
                <w:color w:val="000000"/>
                <w:sz w:val="20"/>
                <w:szCs w:val="20"/>
              </w:rPr>
            </w:pPr>
          </w:p>
        </w:tc>
        <w:tc>
          <w:tcPr>
            <w:tcW w:w="1590" w:type="dxa"/>
            <w:tcBorders>
              <w:top w:val="nil"/>
              <w:left w:val="nil"/>
              <w:bottom w:val="single" w:sz="4" w:space="0" w:color="auto"/>
              <w:right w:val="single" w:sz="4" w:space="0" w:color="auto"/>
            </w:tcBorders>
            <w:shd w:val="clear" w:color="000000" w:fill="FFFFFF"/>
            <w:vAlign w:val="center"/>
            <w:hideMark/>
          </w:tcPr>
          <w:p w14:paraId="1BA5664A"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Specialty Care</w:t>
            </w:r>
          </w:p>
        </w:tc>
        <w:tc>
          <w:tcPr>
            <w:tcW w:w="1220" w:type="dxa"/>
            <w:tcBorders>
              <w:top w:val="nil"/>
              <w:left w:val="nil"/>
              <w:bottom w:val="single" w:sz="4" w:space="0" w:color="auto"/>
              <w:right w:val="single" w:sz="4" w:space="0" w:color="auto"/>
            </w:tcBorders>
            <w:shd w:val="clear" w:color="000000" w:fill="FFFFFF"/>
            <w:vAlign w:val="bottom"/>
            <w:hideMark/>
          </w:tcPr>
          <w:p w14:paraId="3351DC1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88.2 </w:t>
            </w:r>
          </w:p>
        </w:tc>
        <w:tc>
          <w:tcPr>
            <w:tcW w:w="1030" w:type="dxa"/>
            <w:tcBorders>
              <w:top w:val="nil"/>
              <w:left w:val="nil"/>
              <w:bottom w:val="single" w:sz="4" w:space="0" w:color="auto"/>
              <w:right w:val="single" w:sz="4" w:space="0" w:color="auto"/>
            </w:tcBorders>
            <w:shd w:val="clear" w:color="000000" w:fill="FFFFFF"/>
            <w:vAlign w:val="bottom"/>
            <w:hideMark/>
          </w:tcPr>
          <w:p w14:paraId="6675D82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70.8 </w:t>
            </w:r>
          </w:p>
        </w:tc>
        <w:tc>
          <w:tcPr>
            <w:tcW w:w="1194" w:type="dxa"/>
            <w:tcBorders>
              <w:top w:val="nil"/>
              <w:left w:val="nil"/>
              <w:bottom w:val="single" w:sz="4" w:space="0" w:color="auto"/>
              <w:right w:val="single" w:sz="4" w:space="0" w:color="auto"/>
            </w:tcBorders>
            <w:shd w:val="clear" w:color="000000" w:fill="FFFFFF"/>
            <w:vAlign w:val="bottom"/>
            <w:hideMark/>
          </w:tcPr>
          <w:p w14:paraId="51F143C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107.7 </w:t>
            </w:r>
          </w:p>
        </w:tc>
        <w:tc>
          <w:tcPr>
            <w:tcW w:w="1303" w:type="dxa"/>
            <w:tcBorders>
              <w:top w:val="nil"/>
              <w:left w:val="nil"/>
              <w:bottom w:val="single" w:sz="4" w:space="0" w:color="auto"/>
              <w:right w:val="single" w:sz="4" w:space="0" w:color="auto"/>
            </w:tcBorders>
            <w:shd w:val="clear" w:color="000000" w:fill="FFFFFF"/>
            <w:vAlign w:val="bottom"/>
            <w:hideMark/>
          </w:tcPr>
          <w:p w14:paraId="2FC27DC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85.3 </w:t>
            </w:r>
          </w:p>
        </w:tc>
        <w:tc>
          <w:tcPr>
            <w:tcW w:w="1463" w:type="dxa"/>
            <w:tcBorders>
              <w:top w:val="nil"/>
              <w:left w:val="nil"/>
              <w:bottom w:val="single" w:sz="4" w:space="0" w:color="auto"/>
              <w:right w:val="single" w:sz="4" w:space="0" w:color="auto"/>
            </w:tcBorders>
            <w:shd w:val="clear" w:color="000000" w:fill="FFFFFF"/>
            <w:vAlign w:val="bottom"/>
            <w:hideMark/>
          </w:tcPr>
          <w:p w14:paraId="53608D51"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91.1 </w:t>
            </w:r>
          </w:p>
        </w:tc>
      </w:tr>
      <w:tr w:rsidR="00EA4ED3" w:rsidRPr="004A785B" w14:paraId="71B800D5" w14:textId="77777777" w:rsidTr="00EA4ED3">
        <w:tc>
          <w:tcPr>
            <w:tcW w:w="15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6CB732" w14:textId="77777777" w:rsidR="00EA4ED3" w:rsidRPr="004A785B" w:rsidRDefault="00EA4ED3" w:rsidP="00EA4ED3">
            <w:pPr>
              <w:jc w:val="center"/>
              <w:rPr>
                <w:rFonts w:asciiTheme="minorHAnsi" w:hAnsiTheme="minorHAnsi" w:cs="Arial"/>
                <w:b/>
                <w:color w:val="000000"/>
                <w:sz w:val="20"/>
                <w:szCs w:val="20"/>
              </w:rPr>
            </w:pPr>
            <w:r w:rsidRPr="004A785B">
              <w:rPr>
                <w:rFonts w:asciiTheme="minorHAnsi" w:hAnsiTheme="minorHAnsi" w:cs="Arial"/>
                <w:b/>
                <w:color w:val="000000"/>
                <w:sz w:val="20"/>
                <w:szCs w:val="20"/>
              </w:rPr>
              <w:t>Age 65 and over</w:t>
            </w:r>
          </w:p>
        </w:tc>
        <w:tc>
          <w:tcPr>
            <w:tcW w:w="1590" w:type="dxa"/>
            <w:tcBorders>
              <w:top w:val="nil"/>
              <w:left w:val="nil"/>
              <w:bottom w:val="single" w:sz="4" w:space="0" w:color="auto"/>
              <w:right w:val="single" w:sz="4" w:space="0" w:color="auto"/>
            </w:tcBorders>
            <w:shd w:val="clear" w:color="000000" w:fill="FFFFFF"/>
            <w:vAlign w:val="center"/>
            <w:hideMark/>
          </w:tcPr>
          <w:p w14:paraId="34BCBA81"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Primary Care</w:t>
            </w:r>
          </w:p>
        </w:tc>
        <w:tc>
          <w:tcPr>
            <w:tcW w:w="1220" w:type="dxa"/>
            <w:tcBorders>
              <w:top w:val="nil"/>
              <w:left w:val="nil"/>
              <w:bottom w:val="single" w:sz="4" w:space="0" w:color="auto"/>
              <w:right w:val="single" w:sz="4" w:space="0" w:color="auto"/>
            </w:tcBorders>
            <w:shd w:val="clear" w:color="000000" w:fill="FFFFFF"/>
            <w:vAlign w:val="bottom"/>
            <w:hideMark/>
          </w:tcPr>
          <w:p w14:paraId="474BA95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18.4 </w:t>
            </w:r>
          </w:p>
        </w:tc>
        <w:tc>
          <w:tcPr>
            <w:tcW w:w="1030" w:type="dxa"/>
            <w:tcBorders>
              <w:top w:val="nil"/>
              <w:left w:val="nil"/>
              <w:bottom w:val="single" w:sz="4" w:space="0" w:color="auto"/>
              <w:right w:val="single" w:sz="4" w:space="0" w:color="auto"/>
            </w:tcBorders>
            <w:shd w:val="clear" w:color="000000" w:fill="FFFFFF"/>
            <w:vAlign w:val="bottom"/>
            <w:hideMark/>
          </w:tcPr>
          <w:p w14:paraId="3CABB36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10.1 </w:t>
            </w:r>
          </w:p>
        </w:tc>
        <w:tc>
          <w:tcPr>
            <w:tcW w:w="1194" w:type="dxa"/>
            <w:tcBorders>
              <w:top w:val="nil"/>
              <w:left w:val="nil"/>
              <w:bottom w:val="single" w:sz="4" w:space="0" w:color="auto"/>
              <w:right w:val="single" w:sz="4" w:space="0" w:color="auto"/>
            </w:tcBorders>
            <w:shd w:val="clear" w:color="000000" w:fill="FFFFFF"/>
            <w:vAlign w:val="bottom"/>
            <w:hideMark/>
          </w:tcPr>
          <w:p w14:paraId="220EB051"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31.3 </w:t>
            </w:r>
          </w:p>
        </w:tc>
        <w:tc>
          <w:tcPr>
            <w:tcW w:w="1303" w:type="dxa"/>
            <w:tcBorders>
              <w:top w:val="nil"/>
              <w:left w:val="nil"/>
              <w:bottom w:val="single" w:sz="4" w:space="0" w:color="auto"/>
              <w:right w:val="single" w:sz="4" w:space="0" w:color="auto"/>
            </w:tcBorders>
            <w:shd w:val="clear" w:color="000000" w:fill="FFFFFF"/>
            <w:vAlign w:val="bottom"/>
            <w:hideMark/>
          </w:tcPr>
          <w:p w14:paraId="288EDFD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15.7 </w:t>
            </w:r>
          </w:p>
        </w:tc>
        <w:tc>
          <w:tcPr>
            <w:tcW w:w="1463" w:type="dxa"/>
            <w:tcBorders>
              <w:top w:val="nil"/>
              <w:left w:val="nil"/>
              <w:bottom w:val="single" w:sz="4" w:space="0" w:color="auto"/>
              <w:right w:val="single" w:sz="4" w:space="0" w:color="auto"/>
            </w:tcBorders>
            <w:shd w:val="clear" w:color="000000" w:fill="FFFFFF"/>
            <w:vAlign w:val="bottom"/>
            <w:hideMark/>
          </w:tcPr>
          <w:p w14:paraId="0C2E928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21.0 </w:t>
            </w:r>
          </w:p>
        </w:tc>
      </w:tr>
      <w:tr w:rsidR="00EA4ED3" w:rsidRPr="004A785B" w14:paraId="3907ABC8" w14:textId="77777777" w:rsidTr="00EA4ED3">
        <w:tc>
          <w:tcPr>
            <w:tcW w:w="1560" w:type="dxa"/>
            <w:vMerge/>
            <w:tcBorders>
              <w:top w:val="nil"/>
              <w:left w:val="single" w:sz="4" w:space="0" w:color="auto"/>
              <w:bottom w:val="single" w:sz="4" w:space="0" w:color="auto"/>
              <w:right w:val="single" w:sz="4" w:space="0" w:color="auto"/>
            </w:tcBorders>
            <w:vAlign w:val="center"/>
            <w:hideMark/>
          </w:tcPr>
          <w:p w14:paraId="3B04E9A2" w14:textId="77777777" w:rsidR="00EA4ED3" w:rsidRPr="004A785B" w:rsidRDefault="00EA4ED3" w:rsidP="00EA4ED3">
            <w:pPr>
              <w:rPr>
                <w:rFonts w:asciiTheme="minorHAnsi" w:hAnsiTheme="minorHAnsi" w:cs="Arial"/>
                <w:color w:val="000000"/>
                <w:sz w:val="20"/>
                <w:szCs w:val="20"/>
              </w:rPr>
            </w:pPr>
          </w:p>
        </w:tc>
        <w:tc>
          <w:tcPr>
            <w:tcW w:w="1590" w:type="dxa"/>
            <w:tcBorders>
              <w:top w:val="nil"/>
              <w:left w:val="nil"/>
              <w:bottom w:val="single" w:sz="4" w:space="0" w:color="auto"/>
              <w:right w:val="single" w:sz="4" w:space="0" w:color="auto"/>
            </w:tcBorders>
            <w:shd w:val="clear" w:color="000000" w:fill="FFFFFF"/>
            <w:vAlign w:val="center"/>
            <w:hideMark/>
          </w:tcPr>
          <w:p w14:paraId="4683C83D"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Behavioral Care</w:t>
            </w:r>
          </w:p>
        </w:tc>
        <w:tc>
          <w:tcPr>
            <w:tcW w:w="1220" w:type="dxa"/>
            <w:tcBorders>
              <w:top w:val="nil"/>
              <w:left w:val="nil"/>
              <w:bottom w:val="single" w:sz="4" w:space="0" w:color="auto"/>
              <w:right w:val="single" w:sz="4" w:space="0" w:color="auto"/>
            </w:tcBorders>
            <w:shd w:val="clear" w:color="000000" w:fill="FFFFFF"/>
            <w:vAlign w:val="bottom"/>
            <w:hideMark/>
          </w:tcPr>
          <w:p w14:paraId="48A5A49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0.2 </w:t>
            </w:r>
          </w:p>
        </w:tc>
        <w:tc>
          <w:tcPr>
            <w:tcW w:w="1030" w:type="dxa"/>
            <w:tcBorders>
              <w:top w:val="nil"/>
              <w:left w:val="nil"/>
              <w:bottom w:val="single" w:sz="4" w:space="0" w:color="auto"/>
              <w:right w:val="single" w:sz="4" w:space="0" w:color="auto"/>
            </w:tcBorders>
            <w:shd w:val="clear" w:color="000000" w:fill="FFFFFF"/>
            <w:vAlign w:val="bottom"/>
            <w:hideMark/>
          </w:tcPr>
          <w:p w14:paraId="15A7822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194" w:type="dxa"/>
            <w:tcBorders>
              <w:top w:val="nil"/>
              <w:left w:val="nil"/>
              <w:bottom w:val="single" w:sz="4" w:space="0" w:color="auto"/>
              <w:right w:val="single" w:sz="4" w:space="0" w:color="auto"/>
            </w:tcBorders>
            <w:shd w:val="clear" w:color="000000" w:fill="FFFFFF"/>
            <w:vAlign w:val="bottom"/>
            <w:hideMark/>
          </w:tcPr>
          <w:p w14:paraId="563806F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0.3 </w:t>
            </w:r>
          </w:p>
        </w:tc>
        <w:tc>
          <w:tcPr>
            <w:tcW w:w="1303" w:type="dxa"/>
            <w:tcBorders>
              <w:top w:val="nil"/>
              <w:left w:val="nil"/>
              <w:bottom w:val="single" w:sz="4" w:space="0" w:color="auto"/>
              <w:right w:val="single" w:sz="4" w:space="0" w:color="auto"/>
            </w:tcBorders>
            <w:shd w:val="clear" w:color="000000" w:fill="FFFFFF"/>
            <w:vAlign w:val="bottom"/>
            <w:hideMark/>
          </w:tcPr>
          <w:p w14:paraId="3E6F85B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0.2 </w:t>
            </w:r>
          </w:p>
        </w:tc>
        <w:tc>
          <w:tcPr>
            <w:tcW w:w="1463" w:type="dxa"/>
            <w:tcBorders>
              <w:top w:val="nil"/>
              <w:left w:val="nil"/>
              <w:bottom w:val="single" w:sz="4" w:space="0" w:color="auto"/>
              <w:right w:val="single" w:sz="4" w:space="0" w:color="auto"/>
            </w:tcBorders>
            <w:shd w:val="clear" w:color="000000" w:fill="FFFFFF"/>
            <w:vAlign w:val="bottom"/>
            <w:hideMark/>
          </w:tcPr>
          <w:p w14:paraId="576AD8B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0.2 </w:t>
            </w:r>
          </w:p>
        </w:tc>
      </w:tr>
      <w:tr w:rsidR="00EA4ED3" w:rsidRPr="004A785B" w14:paraId="4AB8377E" w14:textId="77777777" w:rsidTr="00EA4ED3">
        <w:tc>
          <w:tcPr>
            <w:tcW w:w="1560" w:type="dxa"/>
            <w:vMerge/>
            <w:tcBorders>
              <w:top w:val="nil"/>
              <w:left w:val="single" w:sz="4" w:space="0" w:color="auto"/>
              <w:bottom w:val="single" w:sz="4" w:space="0" w:color="auto"/>
              <w:right w:val="single" w:sz="4" w:space="0" w:color="auto"/>
            </w:tcBorders>
            <w:vAlign w:val="center"/>
            <w:hideMark/>
          </w:tcPr>
          <w:p w14:paraId="7655FB4F" w14:textId="77777777" w:rsidR="00EA4ED3" w:rsidRPr="004A785B" w:rsidRDefault="00EA4ED3" w:rsidP="00EA4ED3">
            <w:pPr>
              <w:rPr>
                <w:rFonts w:asciiTheme="minorHAnsi" w:hAnsiTheme="minorHAnsi" w:cs="Arial"/>
                <w:color w:val="000000"/>
                <w:sz w:val="20"/>
                <w:szCs w:val="20"/>
              </w:rPr>
            </w:pPr>
          </w:p>
        </w:tc>
        <w:tc>
          <w:tcPr>
            <w:tcW w:w="1590" w:type="dxa"/>
            <w:tcBorders>
              <w:top w:val="nil"/>
              <w:left w:val="nil"/>
              <w:bottom w:val="single" w:sz="4" w:space="0" w:color="auto"/>
              <w:right w:val="single" w:sz="4" w:space="0" w:color="auto"/>
            </w:tcBorders>
            <w:shd w:val="clear" w:color="000000" w:fill="FFFFFF"/>
            <w:vAlign w:val="center"/>
            <w:hideMark/>
          </w:tcPr>
          <w:p w14:paraId="5B96F5DE"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Home Health</w:t>
            </w:r>
          </w:p>
        </w:tc>
        <w:tc>
          <w:tcPr>
            <w:tcW w:w="1220" w:type="dxa"/>
            <w:tcBorders>
              <w:top w:val="nil"/>
              <w:left w:val="nil"/>
              <w:bottom w:val="single" w:sz="4" w:space="0" w:color="auto"/>
              <w:right w:val="single" w:sz="4" w:space="0" w:color="auto"/>
            </w:tcBorders>
            <w:shd w:val="clear" w:color="000000" w:fill="FFFFFF"/>
            <w:vAlign w:val="bottom"/>
            <w:hideMark/>
          </w:tcPr>
          <w:p w14:paraId="49631C5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030" w:type="dxa"/>
            <w:tcBorders>
              <w:top w:val="nil"/>
              <w:left w:val="nil"/>
              <w:bottom w:val="single" w:sz="4" w:space="0" w:color="auto"/>
              <w:right w:val="single" w:sz="4" w:space="0" w:color="auto"/>
            </w:tcBorders>
            <w:shd w:val="clear" w:color="000000" w:fill="FFFFFF"/>
            <w:vAlign w:val="bottom"/>
            <w:hideMark/>
          </w:tcPr>
          <w:p w14:paraId="7A43158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0.0 </w:t>
            </w:r>
          </w:p>
        </w:tc>
        <w:tc>
          <w:tcPr>
            <w:tcW w:w="1194" w:type="dxa"/>
            <w:tcBorders>
              <w:top w:val="nil"/>
              <w:left w:val="nil"/>
              <w:bottom w:val="single" w:sz="4" w:space="0" w:color="auto"/>
              <w:right w:val="single" w:sz="4" w:space="0" w:color="auto"/>
            </w:tcBorders>
            <w:shd w:val="clear" w:color="000000" w:fill="FFFFFF"/>
            <w:vAlign w:val="bottom"/>
            <w:hideMark/>
          </w:tcPr>
          <w:p w14:paraId="7A9D2F9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303" w:type="dxa"/>
            <w:tcBorders>
              <w:top w:val="nil"/>
              <w:left w:val="nil"/>
              <w:bottom w:val="single" w:sz="4" w:space="0" w:color="auto"/>
              <w:right w:val="single" w:sz="4" w:space="0" w:color="auto"/>
            </w:tcBorders>
            <w:shd w:val="clear" w:color="000000" w:fill="FFFFFF"/>
            <w:vAlign w:val="bottom"/>
            <w:hideMark/>
          </w:tcPr>
          <w:p w14:paraId="7B38589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463" w:type="dxa"/>
            <w:tcBorders>
              <w:top w:val="nil"/>
              <w:left w:val="nil"/>
              <w:bottom w:val="single" w:sz="4" w:space="0" w:color="auto"/>
              <w:right w:val="single" w:sz="4" w:space="0" w:color="auto"/>
            </w:tcBorders>
            <w:shd w:val="clear" w:color="000000" w:fill="FFFFFF"/>
            <w:vAlign w:val="bottom"/>
            <w:hideMark/>
          </w:tcPr>
          <w:p w14:paraId="3BABD93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r>
      <w:tr w:rsidR="00EA4ED3" w:rsidRPr="004A785B" w14:paraId="68FE95BF" w14:textId="77777777" w:rsidTr="00EA4ED3">
        <w:tc>
          <w:tcPr>
            <w:tcW w:w="1560" w:type="dxa"/>
            <w:vMerge/>
            <w:tcBorders>
              <w:top w:val="nil"/>
              <w:left w:val="single" w:sz="4" w:space="0" w:color="auto"/>
              <w:bottom w:val="single" w:sz="4" w:space="0" w:color="auto"/>
              <w:right w:val="single" w:sz="4" w:space="0" w:color="auto"/>
            </w:tcBorders>
            <w:vAlign w:val="center"/>
            <w:hideMark/>
          </w:tcPr>
          <w:p w14:paraId="1835BEEF" w14:textId="77777777" w:rsidR="00EA4ED3" w:rsidRPr="004A785B" w:rsidRDefault="00EA4ED3" w:rsidP="00EA4ED3">
            <w:pPr>
              <w:rPr>
                <w:rFonts w:asciiTheme="minorHAnsi" w:hAnsiTheme="minorHAnsi" w:cs="Arial"/>
                <w:color w:val="000000"/>
                <w:sz w:val="20"/>
                <w:szCs w:val="20"/>
              </w:rPr>
            </w:pPr>
          </w:p>
        </w:tc>
        <w:tc>
          <w:tcPr>
            <w:tcW w:w="1590" w:type="dxa"/>
            <w:tcBorders>
              <w:top w:val="nil"/>
              <w:left w:val="nil"/>
              <w:bottom w:val="single" w:sz="4" w:space="0" w:color="auto"/>
              <w:right w:val="single" w:sz="4" w:space="0" w:color="auto"/>
            </w:tcBorders>
            <w:shd w:val="clear" w:color="000000" w:fill="FFFFFF"/>
            <w:vAlign w:val="center"/>
            <w:hideMark/>
          </w:tcPr>
          <w:p w14:paraId="60EA885A"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Specialty Care</w:t>
            </w:r>
          </w:p>
        </w:tc>
        <w:tc>
          <w:tcPr>
            <w:tcW w:w="1220" w:type="dxa"/>
            <w:tcBorders>
              <w:top w:val="nil"/>
              <w:left w:val="nil"/>
              <w:bottom w:val="single" w:sz="4" w:space="0" w:color="auto"/>
              <w:right w:val="single" w:sz="4" w:space="0" w:color="auto"/>
            </w:tcBorders>
            <w:shd w:val="clear" w:color="000000" w:fill="FFFFFF"/>
            <w:vAlign w:val="bottom"/>
            <w:hideMark/>
          </w:tcPr>
          <w:p w14:paraId="207DC10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17.9 </w:t>
            </w:r>
          </w:p>
        </w:tc>
        <w:tc>
          <w:tcPr>
            <w:tcW w:w="1030" w:type="dxa"/>
            <w:tcBorders>
              <w:top w:val="nil"/>
              <w:left w:val="nil"/>
              <w:bottom w:val="single" w:sz="4" w:space="0" w:color="auto"/>
              <w:right w:val="single" w:sz="4" w:space="0" w:color="auto"/>
            </w:tcBorders>
            <w:shd w:val="clear" w:color="000000" w:fill="FFFFFF"/>
            <w:vAlign w:val="bottom"/>
            <w:hideMark/>
          </w:tcPr>
          <w:p w14:paraId="13623B2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9.0 </w:t>
            </w:r>
          </w:p>
        </w:tc>
        <w:tc>
          <w:tcPr>
            <w:tcW w:w="1194" w:type="dxa"/>
            <w:tcBorders>
              <w:top w:val="nil"/>
              <w:left w:val="nil"/>
              <w:bottom w:val="single" w:sz="4" w:space="0" w:color="auto"/>
              <w:right w:val="single" w:sz="4" w:space="0" w:color="auto"/>
            </w:tcBorders>
            <w:shd w:val="clear" w:color="000000" w:fill="FFFFFF"/>
            <w:vAlign w:val="bottom"/>
            <w:hideMark/>
          </w:tcPr>
          <w:p w14:paraId="3A84F1D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30.9 </w:t>
            </w:r>
          </w:p>
        </w:tc>
        <w:tc>
          <w:tcPr>
            <w:tcW w:w="1303" w:type="dxa"/>
            <w:tcBorders>
              <w:top w:val="nil"/>
              <w:left w:val="nil"/>
              <w:bottom w:val="single" w:sz="4" w:space="0" w:color="auto"/>
              <w:right w:val="single" w:sz="4" w:space="0" w:color="auto"/>
            </w:tcBorders>
            <w:shd w:val="clear" w:color="000000" w:fill="FFFFFF"/>
            <w:vAlign w:val="bottom"/>
            <w:hideMark/>
          </w:tcPr>
          <w:p w14:paraId="193E52F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15.2 </w:t>
            </w:r>
          </w:p>
        </w:tc>
        <w:tc>
          <w:tcPr>
            <w:tcW w:w="1463" w:type="dxa"/>
            <w:tcBorders>
              <w:top w:val="nil"/>
              <w:left w:val="nil"/>
              <w:bottom w:val="single" w:sz="4" w:space="0" w:color="auto"/>
              <w:right w:val="single" w:sz="4" w:space="0" w:color="auto"/>
            </w:tcBorders>
            <w:shd w:val="clear" w:color="000000" w:fill="FFFFFF"/>
            <w:vAlign w:val="bottom"/>
            <w:hideMark/>
          </w:tcPr>
          <w:p w14:paraId="0701BEB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20.6 </w:t>
            </w:r>
          </w:p>
        </w:tc>
      </w:tr>
      <w:tr w:rsidR="00EA4ED3" w:rsidRPr="004A785B" w14:paraId="32125FF6" w14:textId="77777777" w:rsidTr="00EA4ED3">
        <w:trPr>
          <w:trHeight w:val="665"/>
        </w:trPr>
        <w:tc>
          <w:tcPr>
            <w:tcW w:w="1560" w:type="dxa"/>
            <w:tcBorders>
              <w:top w:val="single" w:sz="4" w:space="0" w:color="auto"/>
              <w:left w:val="single" w:sz="4" w:space="0" w:color="auto"/>
              <w:bottom w:val="single" w:sz="4" w:space="0" w:color="auto"/>
              <w:right w:val="single" w:sz="4" w:space="0" w:color="auto"/>
            </w:tcBorders>
            <w:vAlign w:val="center"/>
          </w:tcPr>
          <w:p w14:paraId="09C3B8BA" w14:textId="77777777" w:rsidR="00EA4ED3" w:rsidRPr="004A785B" w:rsidRDefault="00EA4ED3" w:rsidP="00EA4ED3">
            <w:pPr>
              <w:jc w:val="center"/>
              <w:rPr>
                <w:rFonts w:asciiTheme="minorHAnsi" w:hAnsiTheme="minorHAnsi" w:cs="Arial"/>
                <w:color w:val="000000"/>
                <w:sz w:val="20"/>
                <w:szCs w:val="20"/>
              </w:rPr>
            </w:pPr>
            <w:r w:rsidRPr="004A785B">
              <w:rPr>
                <w:rFonts w:asciiTheme="minorHAnsi" w:hAnsiTheme="minorHAnsi" w:cs="Arial"/>
                <w:b/>
                <w:color w:val="000000"/>
                <w:sz w:val="20"/>
                <w:szCs w:val="20"/>
              </w:rPr>
              <w:t>Age 15-44 (Women Only)</w:t>
            </w:r>
          </w:p>
        </w:tc>
        <w:tc>
          <w:tcPr>
            <w:tcW w:w="1590" w:type="dxa"/>
            <w:tcBorders>
              <w:top w:val="single" w:sz="4" w:space="0" w:color="auto"/>
              <w:left w:val="nil"/>
              <w:bottom w:val="single" w:sz="4" w:space="0" w:color="auto"/>
              <w:right w:val="single" w:sz="4" w:space="0" w:color="auto"/>
            </w:tcBorders>
            <w:shd w:val="clear" w:color="000000" w:fill="FFFFFF"/>
            <w:vAlign w:val="center"/>
          </w:tcPr>
          <w:p w14:paraId="3492601C"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vertAlign w:val="superscript"/>
              </w:rPr>
              <w:t>†</w:t>
            </w:r>
            <w:r w:rsidRPr="004A785B">
              <w:rPr>
                <w:rFonts w:asciiTheme="minorHAnsi" w:hAnsiTheme="minorHAnsi" w:cs="Arial"/>
                <w:color w:val="000000"/>
                <w:sz w:val="20"/>
                <w:szCs w:val="20"/>
              </w:rPr>
              <w:t>Pre-Post-natal</w:t>
            </w:r>
          </w:p>
        </w:tc>
        <w:tc>
          <w:tcPr>
            <w:tcW w:w="1220" w:type="dxa"/>
            <w:tcBorders>
              <w:top w:val="nil"/>
              <w:left w:val="nil"/>
              <w:bottom w:val="single" w:sz="4" w:space="0" w:color="auto"/>
              <w:right w:val="single" w:sz="4" w:space="0" w:color="auto"/>
            </w:tcBorders>
            <w:shd w:val="clear" w:color="000000" w:fill="FFFFFF"/>
            <w:vAlign w:val="bottom"/>
          </w:tcPr>
          <w:p w14:paraId="6E7DCFE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294.9</w:t>
            </w:r>
          </w:p>
        </w:tc>
        <w:tc>
          <w:tcPr>
            <w:tcW w:w="1030" w:type="dxa"/>
            <w:tcBorders>
              <w:top w:val="nil"/>
              <w:left w:val="nil"/>
              <w:bottom w:val="single" w:sz="4" w:space="0" w:color="auto"/>
              <w:right w:val="single" w:sz="4" w:space="0" w:color="auto"/>
            </w:tcBorders>
            <w:shd w:val="clear" w:color="000000" w:fill="FFFFFF"/>
            <w:vAlign w:val="bottom"/>
          </w:tcPr>
          <w:p w14:paraId="6B9E114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178.2</w:t>
            </w:r>
          </w:p>
        </w:tc>
        <w:tc>
          <w:tcPr>
            <w:tcW w:w="1194" w:type="dxa"/>
            <w:tcBorders>
              <w:top w:val="nil"/>
              <w:left w:val="nil"/>
              <w:bottom w:val="single" w:sz="4" w:space="0" w:color="auto"/>
              <w:right w:val="single" w:sz="4" w:space="0" w:color="auto"/>
            </w:tcBorders>
            <w:shd w:val="clear" w:color="000000" w:fill="FFFFFF"/>
            <w:vAlign w:val="bottom"/>
          </w:tcPr>
          <w:p w14:paraId="2A08F54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540.8</w:t>
            </w:r>
          </w:p>
        </w:tc>
        <w:tc>
          <w:tcPr>
            <w:tcW w:w="1303" w:type="dxa"/>
            <w:tcBorders>
              <w:top w:val="nil"/>
              <w:left w:val="nil"/>
              <w:bottom w:val="single" w:sz="4" w:space="0" w:color="auto"/>
              <w:right w:val="single" w:sz="4" w:space="0" w:color="auto"/>
            </w:tcBorders>
            <w:shd w:val="clear" w:color="000000" w:fill="FFFFFF"/>
            <w:vAlign w:val="bottom"/>
          </w:tcPr>
          <w:p w14:paraId="34B79391"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257.9</w:t>
            </w:r>
          </w:p>
        </w:tc>
        <w:tc>
          <w:tcPr>
            <w:tcW w:w="1463" w:type="dxa"/>
            <w:tcBorders>
              <w:top w:val="nil"/>
              <w:left w:val="nil"/>
              <w:bottom w:val="single" w:sz="4" w:space="0" w:color="auto"/>
              <w:right w:val="single" w:sz="4" w:space="0" w:color="auto"/>
            </w:tcBorders>
            <w:shd w:val="clear" w:color="000000" w:fill="FFFFFF"/>
            <w:vAlign w:val="bottom"/>
          </w:tcPr>
          <w:p w14:paraId="01A5008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331.9</w:t>
            </w:r>
          </w:p>
        </w:tc>
      </w:tr>
    </w:tbl>
    <w:p w14:paraId="05F83232" w14:textId="77777777" w:rsidR="00EA4ED3" w:rsidRPr="004A785B" w:rsidRDefault="00EA4ED3" w:rsidP="00EA4ED3">
      <w:pPr>
        <w:rPr>
          <w:rFonts w:asciiTheme="minorHAnsi" w:eastAsiaTheme="minorHAnsi" w:hAnsiTheme="minorHAnsi" w:cs="Tahoma"/>
          <w:sz w:val="16"/>
          <w:szCs w:val="16"/>
        </w:rPr>
      </w:pPr>
      <w:r w:rsidRPr="004A785B">
        <w:rPr>
          <w:rFonts w:asciiTheme="minorHAnsi" w:eastAsiaTheme="minorHAnsi" w:hAnsiTheme="minorHAnsi" w:cs="Tahoma"/>
          <w:b/>
          <w:sz w:val="16"/>
          <w:szCs w:val="16"/>
        </w:rPr>
        <w:t>Source:</w:t>
      </w:r>
      <w:r w:rsidRPr="004A785B">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provider, and enrollment tables.</w:t>
      </w:r>
    </w:p>
    <w:p w14:paraId="1DAA4E44" w14:textId="77777777" w:rsidR="00EA4ED3" w:rsidRPr="004A785B" w:rsidRDefault="00EA4ED3" w:rsidP="00EA4ED3">
      <w:pPr>
        <w:rPr>
          <w:rFonts w:asciiTheme="minorHAnsi" w:eastAsiaTheme="minorHAnsi" w:hAnsiTheme="minorHAnsi" w:cs="Tahoma"/>
          <w:sz w:val="20"/>
          <w:szCs w:val="20"/>
        </w:rPr>
      </w:pPr>
      <w:r w:rsidRPr="004A785B">
        <w:rPr>
          <w:rFonts w:asciiTheme="minorHAnsi" w:eastAsiaTheme="minorHAnsi" w:hAnsiTheme="minorHAnsi" w:cs="Tahoma"/>
          <w:sz w:val="16"/>
          <w:szCs w:val="16"/>
          <w:vertAlign w:val="superscript"/>
        </w:rPr>
        <w:t>†</w:t>
      </w:r>
      <w:r w:rsidRPr="004A785B">
        <w:rPr>
          <w:rFonts w:asciiTheme="minorHAnsi" w:eastAsiaTheme="minorHAnsi" w:hAnsiTheme="minorHAnsi" w:cs="Tahoma"/>
          <w:sz w:val="16"/>
          <w:szCs w:val="16"/>
        </w:rPr>
        <w:t>The Pre-Post-natal service category includes services for women ages 15-44 enrolled in FFS for any length of period. It is not limited to only those women with at least 11 months of enrollment in FFS.</w:t>
      </w:r>
    </w:p>
    <w:p w14:paraId="29895B56" w14:textId="77777777" w:rsidR="00EA4ED3" w:rsidRPr="004A785B" w:rsidRDefault="00EA4ED3" w:rsidP="00EA4ED3">
      <w:pPr>
        <w:rPr>
          <w:rFonts w:asciiTheme="minorHAnsi" w:eastAsiaTheme="minorHAnsi" w:hAnsiTheme="minorHAnsi" w:cstheme="minorBidi"/>
          <w:b/>
          <w:bCs/>
          <w:sz w:val="20"/>
          <w:szCs w:val="20"/>
        </w:rPr>
      </w:pPr>
    </w:p>
    <w:p w14:paraId="1581BF29" w14:textId="77777777" w:rsidR="00EA4ED3" w:rsidRPr="004A785B" w:rsidRDefault="00EA4ED3" w:rsidP="00EA4ED3">
      <w:pPr>
        <w:rPr>
          <w:rFonts w:asciiTheme="minorHAnsi" w:eastAsiaTheme="minorHAnsi" w:hAnsiTheme="minorHAnsi" w:cstheme="minorBidi"/>
          <w:b/>
          <w:bCs/>
          <w:sz w:val="20"/>
          <w:szCs w:val="20"/>
        </w:rPr>
      </w:pPr>
    </w:p>
    <w:p w14:paraId="2D8F399C" w14:textId="77777777" w:rsidR="00EA4ED3" w:rsidRPr="004A785B" w:rsidRDefault="00EA4ED3" w:rsidP="00EA4ED3">
      <w:pPr>
        <w:rPr>
          <w:rFonts w:asciiTheme="minorHAnsi" w:eastAsiaTheme="minorHAnsi" w:hAnsiTheme="minorHAnsi" w:cstheme="minorBidi"/>
          <w:b/>
          <w:bCs/>
          <w:sz w:val="20"/>
          <w:szCs w:val="20"/>
        </w:rPr>
      </w:pPr>
    </w:p>
    <w:p w14:paraId="6AA1F038" w14:textId="77777777" w:rsidR="00EA4ED3" w:rsidRPr="004A785B" w:rsidRDefault="00EA4ED3" w:rsidP="00EA4ED3">
      <w:pPr>
        <w:pStyle w:val="Heading4"/>
        <w:spacing w:before="0"/>
      </w:pPr>
      <w:r w:rsidRPr="004A785B">
        <w:t>Service Category by Gender</w:t>
      </w:r>
    </w:p>
    <w:p w14:paraId="61899508" w14:textId="77777777" w:rsidR="00EA4ED3" w:rsidRPr="004A785B" w:rsidRDefault="00EA4ED3" w:rsidP="00EA4ED3">
      <w:pPr>
        <w:rPr>
          <w:rFonts w:asciiTheme="minorHAnsi" w:eastAsiaTheme="minorHAnsi" w:hAnsiTheme="minorHAnsi" w:cstheme="minorBidi"/>
          <w:b/>
          <w:bCs/>
          <w:sz w:val="20"/>
          <w:szCs w:val="20"/>
        </w:rPr>
      </w:pPr>
    </w:p>
    <w:p w14:paraId="76273FA6" w14:textId="77777777" w:rsidR="00EA4ED3" w:rsidRPr="004A785B" w:rsidRDefault="00EA4ED3" w:rsidP="00EA4ED3">
      <w:pPr>
        <w:spacing w:line="276" w:lineRule="auto"/>
        <w:rPr>
          <w:rFonts w:asciiTheme="minorHAnsi" w:eastAsiaTheme="minorHAnsi" w:hAnsiTheme="minorHAnsi" w:cstheme="minorBidi"/>
        </w:rPr>
      </w:pPr>
      <w:r w:rsidRPr="004A785B">
        <w:rPr>
          <w:rFonts w:asciiTheme="minorHAnsi" w:eastAsiaTheme="minorHAnsi" w:hAnsiTheme="minorHAnsi" w:cstheme="minorBidi"/>
          <w:bCs/>
        </w:rPr>
        <w:t>The table below displays utilization for all service categories, by gender, for fiscal years 2012-13, 2013-14, and 2014-15. The table lists the mean visit rate per 1,000 member months, minimum and maximum rates over the three-year baseline period, and the lower and upper confidence levels, for each service category.</w:t>
      </w:r>
    </w:p>
    <w:p w14:paraId="5AC1CB26" w14:textId="77777777" w:rsidR="00EA4ED3" w:rsidRPr="004A785B" w:rsidRDefault="00EA4ED3" w:rsidP="00EA4ED3">
      <w:pPr>
        <w:rPr>
          <w:rFonts w:asciiTheme="minorHAnsi" w:eastAsiaTheme="minorHAnsi" w:hAnsiTheme="minorHAnsi" w:cstheme="minorBidi"/>
          <w:b/>
          <w:bCs/>
          <w:sz w:val="20"/>
          <w:szCs w:val="20"/>
        </w:rPr>
      </w:pPr>
    </w:p>
    <w:p w14:paraId="579B56C8" w14:textId="77777777" w:rsidR="002E4F15" w:rsidRDefault="002E4F15">
      <w:pPr>
        <w:spacing w:after="200" w:line="276" w:lineRule="auto"/>
        <w:rPr>
          <w:rFonts w:asciiTheme="minorHAnsi" w:eastAsiaTheme="minorHAnsi" w:hAnsiTheme="minorHAnsi" w:cstheme="minorBidi"/>
          <w:b/>
          <w:bCs/>
          <w:sz w:val="20"/>
          <w:szCs w:val="20"/>
        </w:rPr>
      </w:pPr>
      <w:bookmarkStart w:id="417" w:name="_Toc459037249"/>
      <w:r>
        <w:rPr>
          <w:rFonts w:asciiTheme="minorHAnsi" w:eastAsiaTheme="minorHAnsi" w:hAnsiTheme="minorHAnsi" w:cstheme="minorBidi"/>
          <w:b/>
          <w:bCs/>
          <w:sz w:val="20"/>
          <w:szCs w:val="20"/>
        </w:rPr>
        <w:br w:type="page"/>
      </w:r>
    </w:p>
    <w:p w14:paraId="7D5D18A9" w14:textId="77777777" w:rsidR="00EA4ED3" w:rsidRPr="004A785B" w:rsidRDefault="00EA4ED3" w:rsidP="00EA4ED3">
      <w:pPr>
        <w:rPr>
          <w:rFonts w:asciiTheme="minorHAnsi" w:eastAsiaTheme="minorHAnsi" w:hAnsiTheme="minorHAnsi" w:cstheme="minorBidi"/>
          <w:bCs/>
          <w:sz w:val="20"/>
          <w:szCs w:val="20"/>
        </w:rPr>
      </w:pPr>
      <w:bookmarkStart w:id="418" w:name="_Toc459285188"/>
      <w:r w:rsidRPr="004A785B">
        <w:rPr>
          <w:rFonts w:asciiTheme="minorHAnsi" w:eastAsiaTheme="minorHAnsi" w:hAnsiTheme="minorHAnsi" w:cstheme="minorBidi"/>
          <w:b/>
          <w:bCs/>
          <w:sz w:val="20"/>
          <w:szCs w:val="20"/>
        </w:rPr>
        <w:t xml:space="preserve">Table </w:t>
      </w:r>
      <w:r w:rsidRPr="004A785B">
        <w:rPr>
          <w:rFonts w:asciiTheme="minorHAnsi" w:eastAsiaTheme="minorHAnsi" w:hAnsiTheme="minorHAnsi" w:cstheme="minorBidi"/>
          <w:b/>
          <w:bCs/>
          <w:sz w:val="20"/>
          <w:szCs w:val="20"/>
        </w:rPr>
        <w:fldChar w:fldCharType="begin"/>
      </w:r>
      <w:r w:rsidRPr="004A785B">
        <w:rPr>
          <w:rFonts w:asciiTheme="minorHAnsi" w:eastAsiaTheme="minorHAnsi" w:hAnsiTheme="minorHAnsi" w:cstheme="minorBidi"/>
          <w:b/>
          <w:bCs/>
          <w:sz w:val="20"/>
          <w:szCs w:val="20"/>
        </w:rPr>
        <w:instrText xml:space="preserve"> SEQ Table \* ARABIC </w:instrText>
      </w:r>
      <w:r w:rsidRPr="004A785B">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43</w:t>
      </w:r>
      <w:r w:rsidRPr="004A785B">
        <w:rPr>
          <w:rFonts w:asciiTheme="minorHAnsi" w:eastAsiaTheme="minorHAnsi" w:hAnsiTheme="minorHAnsi" w:cstheme="minorBidi"/>
          <w:b/>
          <w:bCs/>
          <w:sz w:val="20"/>
          <w:szCs w:val="20"/>
        </w:rPr>
        <w:fldChar w:fldCharType="end"/>
      </w:r>
      <w:r w:rsidRPr="004A785B">
        <w:rPr>
          <w:rFonts w:asciiTheme="minorHAnsi" w:eastAsiaTheme="minorHAnsi" w:hAnsiTheme="minorHAnsi" w:cstheme="minorBidi"/>
          <w:b/>
          <w:bCs/>
          <w:sz w:val="20"/>
          <w:szCs w:val="20"/>
        </w:rPr>
        <w:t xml:space="preserve">: </w:t>
      </w:r>
      <w:r w:rsidRPr="004A785B">
        <w:rPr>
          <w:rFonts w:asciiTheme="minorHAnsi" w:eastAsiaTheme="minorHAnsi" w:hAnsiTheme="minorHAnsi" w:cstheme="minorBidi"/>
          <w:bCs/>
          <w:sz w:val="20"/>
          <w:szCs w:val="20"/>
        </w:rPr>
        <w:t>Visit Rates by Service Category and Gender Per 1,000 Member Months in SFYs 2012-13, 2013-14 and 2014-15</w:t>
      </w:r>
      <w:bookmarkEnd w:id="417"/>
      <w:bookmarkEnd w:id="418"/>
    </w:p>
    <w:tbl>
      <w:tblPr>
        <w:tblW w:w="9360" w:type="dxa"/>
        <w:tblLook w:val="04A0" w:firstRow="1" w:lastRow="0" w:firstColumn="1" w:lastColumn="0" w:noHBand="0" w:noVBand="1"/>
      </w:tblPr>
      <w:tblGrid>
        <w:gridCol w:w="1065"/>
        <w:gridCol w:w="1665"/>
        <w:gridCol w:w="1135"/>
        <w:gridCol w:w="1350"/>
        <w:gridCol w:w="1355"/>
        <w:gridCol w:w="1395"/>
        <w:gridCol w:w="1395"/>
      </w:tblGrid>
      <w:tr w:rsidR="00EA4ED3" w:rsidRPr="004A785B" w14:paraId="124B8778" w14:textId="77777777" w:rsidTr="00EA4ED3">
        <w:trPr>
          <w:trHeight w:val="960"/>
          <w:tblHeader/>
        </w:trPr>
        <w:tc>
          <w:tcPr>
            <w:tcW w:w="1065" w:type="dxa"/>
            <w:tcBorders>
              <w:top w:val="single" w:sz="4" w:space="0" w:color="auto"/>
              <w:left w:val="single" w:sz="4" w:space="0" w:color="auto"/>
              <w:bottom w:val="nil"/>
              <w:right w:val="single" w:sz="4" w:space="0" w:color="auto"/>
            </w:tcBorders>
            <w:shd w:val="clear" w:color="000000" w:fill="EDF2F9"/>
            <w:vAlign w:val="center"/>
            <w:hideMark/>
          </w:tcPr>
          <w:p w14:paraId="7787FBB5"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Gender</w:t>
            </w:r>
          </w:p>
        </w:tc>
        <w:tc>
          <w:tcPr>
            <w:tcW w:w="1665" w:type="dxa"/>
            <w:tcBorders>
              <w:top w:val="single" w:sz="4" w:space="0" w:color="auto"/>
              <w:left w:val="nil"/>
              <w:bottom w:val="nil"/>
              <w:right w:val="single" w:sz="4" w:space="0" w:color="auto"/>
            </w:tcBorders>
            <w:shd w:val="clear" w:color="000000" w:fill="EDF2F9"/>
            <w:vAlign w:val="center"/>
            <w:hideMark/>
          </w:tcPr>
          <w:p w14:paraId="36D059BF"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Service Category</w:t>
            </w:r>
          </w:p>
        </w:tc>
        <w:tc>
          <w:tcPr>
            <w:tcW w:w="1135" w:type="dxa"/>
            <w:tcBorders>
              <w:top w:val="single" w:sz="4" w:space="0" w:color="auto"/>
              <w:left w:val="nil"/>
              <w:bottom w:val="nil"/>
              <w:right w:val="single" w:sz="4" w:space="0" w:color="auto"/>
            </w:tcBorders>
            <w:shd w:val="clear" w:color="000000" w:fill="EDF2F9"/>
            <w:vAlign w:val="center"/>
            <w:hideMark/>
          </w:tcPr>
          <w:p w14:paraId="720FCC20"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Mean rate per 1,000 MM</w:t>
            </w:r>
          </w:p>
        </w:tc>
        <w:tc>
          <w:tcPr>
            <w:tcW w:w="1350" w:type="dxa"/>
            <w:tcBorders>
              <w:top w:val="single" w:sz="4" w:space="0" w:color="auto"/>
              <w:left w:val="nil"/>
              <w:bottom w:val="nil"/>
              <w:right w:val="single" w:sz="4" w:space="0" w:color="auto"/>
            </w:tcBorders>
            <w:shd w:val="clear" w:color="000000" w:fill="EDF2F9"/>
            <w:vAlign w:val="center"/>
            <w:hideMark/>
          </w:tcPr>
          <w:p w14:paraId="6316DC5D"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Minimum Rate</w:t>
            </w:r>
          </w:p>
        </w:tc>
        <w:tc>
          <w:tcPr>
            <w:tcW w:w="1355" w:type="dxa"/>
            <w:tcBorders>
              <w:top w:val="single" w:sz="4" w:space="0" w:color="auto"/>
              <w:left w:val="nil"/>
              <w:bottom w:val="nil"/>
              <w:right w:val="single" w:sz="4" w:space="0" w:color="auto"/>
            </w:tcBorders>
            <w:shd w:val="clear" w:color="000000" w:fill="EDF2F9"/>
            <w:vAlign w:val="center"/>
            <w:hideMark/>
          </w:tcPr>
          <w:p w14:paraId="7F10B59F"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Maximum Rate</w:t>
            </w:r>
          </w:p>
        </w:tc>
        <w:tc>
          <w:tcPr>
            <w:tcW w:w="1395" w:type="dxa"/>
            <w:tcBorders>
              <w:top w:val="single" w:sz="4" w:space="0" w:color="auto"/>
              <w:left w:val="nil"/>
              <w:bottom w:val="nil"/>
              <w:right w:val="single" w:sz="4" w:space="0" w:color="auto"/>
            </w:tcBorders>
            <w:shd w:val="clear" w:color="000000" w:fill="EDF2F9"/>
            <w:vAlign w:val="center"/>
            <w:hideMark/>
          </w:tcPr>
          <w:p w14:paraId="3F148CCC"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Lower Confidence Level</w:t>
            </w:r>
          </w:p>
        </w:tc>
        <w:tc>
          <w:tcPr>
            <w:tcW w:w="1395" w:type="dxa"/>
            <w:tcBorders>
              <w:top w:val="single" w:sz="4" w:space="0" w:color="auto"/>
              <w:left w:val="nil"/>
              <w:bottom w:val="nil"/>
              <w:right w:val="single" w:sz="4" w:space="0" w:color="auto"/>
            </w:tcBorders>
            <w:shd w:val="clear" w:color="000000" w:fill="EDF2F9"/>
            <w:vAlign w:val="center"/>
            <w:hideMark/>
          </w:tcPr>
          <w:p w14:paraId="126A47A7"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Upper Confidence Level</w:t>
            </w:r>
          </w:p>
        </w:tc>
      </w:tr>
      <w:tr w:rsidR="00EA4ED3" w:rsidRPr="004A785B" w14:paraId="4E46D630" w14:textId="77777777" w:rsidTr="00EA4ED3">
        <w:trPr>
          <w:trHeight w:val="288"/>
          <w:tblHeader/>
        </w:trPr>
        <w:tc>
          <w:tcPr>
            <w:tcW w:w="106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98CA1A" w14:textId="77777777" w:rsidR="00EA4ED3" w:rsidRPr="004A785B" w:rsidRDefault="00EA4ED3" w:rsidP="00EA4ED3">
            <w:pPr>
              <w:jc w:val="center"/>
              <w:rPr>
                <w:rFonts w:asciiTheme="minorHAnsi" w:hAnsiTheme="minorHAnsi" w:cs="Arial"/>
                <w:b/>
                <w:color w:val="000000"/>
                <w:sz w:val="20"/>
                <w:szCs w:val="20"/>
              </w:rPr>
            </w:pPr>
            <w:r w:rsidRPr="004A785B">
              <w:rPr>
                <w:rFonts w:asciiTheme="minorHAnsi" w:hAnsiTheme="minorHAnsi" w:cs="Arial"/>
                <w:b/>
                <w:color w:val="000000"/>
                <w:sz w:val="20"/>
                <w:szCs w:val="20"/>
              </w:rPr>
              <w:t>Female</w:t>
            </w:r>
          </w:p>
        </w:tc>
        <w:tc>
          <w:tcPr>
            <w:tcW w:w="1665" w:type="dxa"/>
            <w:tcBorders>
              <w:top w:val="single" w:sz="4" w:space="0" w:color="auto"/>
              <w:left w:val="nil"/>
              <w:bottom w:val="single" w:sz="4" w:space="0" w:color="auto"/>
              <w:right w:val="single" w:sz="4" w:space="0" w:color="auto"/>
            </w:tcBorders>
            <w:shd w:val="clear" w:color="000000" w:fill="FFFFFF"/>
            <w:hideMark/>
          </w:tcPr>
          <w:p w14:paraId="5E8E3A89"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Primary Care</w:t>
            </w:r>
          </w:p>
        </w:tc>
        <w:tc>
          <w:tcPr>
            <w:tcW w:w="1135" w:type="dxa"/>
            <w:tcBorders>
              <w:top w:val="single" w:sz="4" w:space="0" w:color="auto"/>
              <w:left w:val="nil"/>
              <w:bottom w:val="single" w:sz="4" w:space="0" w:color="auto"/>
              <w:right w:val="single" w:sz="4" w:space="0" w:color="auto"/>
            </w:tcBorders>
            <w:shd w:val="clear" w:color="000000" w:fill="FFFFFF"/>
            <w:hideMark/>
          </w:tcPr>
          <w:p w14:paraId="1168739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172.2 </w:t>
            </w:r>
          </w:p>
        </w:tc>
        <w:tc>
          <w:tcPr>
            <w:tcW w:w="1350" w:type="dxa"/>
            <w:tcBorders>
              <w:top w:val="single" w:sz="4" w:space="0" w:color="auto"/>
              <w:left w:val="nil"/>
              <w:bottom w:val="single" w:sz="4" w:space="0" w:color="auto"/>
              <w:right w:val="single" w:sz="4" w:space="0" w:color="auto"/>
            </w:tcBorders>
            <w:shd w:val="clear" w:color="000000" w:fill="FFFFFF"/>
            <w:hideMark/>
          </w:tcPr>
          <w:p w14:paraId="6F27F95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112.0 </w:t>
            </w:r>
          </w:p>
        </w:tc>
        <w:tc>
          <w:tcPr>
            <w:tcW w:w="1355" w:type="dxa"/>
            <w:tcBorders>
              <w:top w:val="single" w:sz="4" w:space="0" w:color="auto"/>
              <w:left w:val="nil"/>
              <w:bottom w:val="single" w:sz="4" w:space="0" w:color="auto"/>
              <w:right w:val="single" w:sz="4" w:space="0" w:color="auto"/>
            </w:tcBorders>
            <w:shd w:val="clear" w:color="000000" w:fill="FFFFFF"/>
            <w:hideMark/>
          </w:tcPr>
          <w:p w14:paraId="6B957E5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216.9 </w:t>
            </w:r>
          </w:p>
        </w:tc>
        <w:tc>
          <w:tcPr>
            <w:tcW w:w="1395" w:type="dxa"/>
            <w:tcBorders>
              <w:top w:val="single" w:sz="4" w:space="0" w:color="auto"/>
              <w:left w:val="nil"/>
              <w:bottom w:val="single" w:sz="4" w:space="0" w:color="auto"/>
              <w:right w:val="single" w:sz="4" w:space="0" w:color="auto"/>
            </w:tcBorders>
            <w:shd w:val="clear" w:color="000000" w:fill="FFFFFF"/>
            <w:hideMark/>
          </w:tcPr>
          <w:p w14:paraId="611D5DB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163.5 </w:t>
            </w:r>
          </w:p>
        </w:tc>
        <w:tc>
          <w:tcPr>
            <w:tcW w:w="1395" w:type="dxa"/>
            <w:tcBorders>
              <w:top w:val="single" w:sz="4" w:space="0" w:color="auto"/>
              <w:left w:val="nil"/>
              <w:bottom w:val="single" w:sz="4" w:space="0" w:color="auto"/>
              <w:right w:val="single" w:sz="4" w:space="0" w:color="auto"/>
            </w:tcBorders>
            <w:shd w:val="clear" w:color="000000" w:fill="FFFFFF"/>
            <w:hideMark/>
          </w:tcPr>
          <w:p w14:paraId="3EA15501"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180.8 </w:t>
            </w:r>
          </w:p>
        </w:tc>
      </w:tr>
      <w:tr w:rsidR="00EA4ED3" w:rsidRPr="004A785B" w14:paraId="105E51DA" w14:textId="77777777" w:rsidTr="00EA4ED3">
        <w:trPr>
          <w:trHeight w:val="288"/>
          <w:tblHeader/>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0E93CC94" w14:textId="77777777" w:rsidR="00EA4ED3" w:rsidRPr="004A785B" w:rsidRDefault="00EA4ED3" w:rsidP="00EA4ED3">
            <w:pPr>
              <w:rPr>
                <w:rFonts w:asciiTheme="minorHAnsi" w:hAnsiTheme="minorHAnsi" w:cs="Arial"/>
                <w:b/>
                <w:color w:val="000000"/>
                <w:sz w:val="20"/>
                <w:szCs w:val="20"/>
              </w:rPr>
            </w:pPr>
          </w:p>
        </w:tc>
        <w:tc>
          <w:tcPr>
            <w:tcW w:w="1665" w:type="dxa"/>
            <w:tcBorders>
              <w:top w:val="nil"/>
              <w:left w:val="nil"/>
              <w:bottom w:val="single" w:sz="4" w:space="0" w:color="auto"/>
              <w:right w:val="single" w:sz="4" w:space="0" w:color="auto"/>
            </w:tcBorders>
            <w:shd w:val="clear" w:color="000000" w:fill="FFFFFF"/>
            <w:hideMark/>
          </w:tcPr>
          <w:p w14:paraId="571BF4C6"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Behavioral Care</w:t>
            </w:r>
          </w:p>
        </w:tc>
        <w:tc>
          <w:tcPr>
            <w:tcW w:w="1135" w:type="dxa"/>
            <w:tcBorders>
              <w:top w:val="nil"/>
              <w:left w:val="nil"/>
              <w:bottom w:val="single" w:sz="4" w:space="0" w:color="auto"/>
              <w:right w:val="single" w:sz="4" w:space="0" w:color="auto"/>
            </w:tcBorders>
            <w:shd w:val="clear" w:color="000000" w:fill="FFFFFF"/>
            <w:hideMark/>
          </w:tcPr>
          <w:p w14:paraId="668A33C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1.1 </w:t>
            </w:r>
          </w:p>
        </w:tc>
        <w:tc>
          <w:tcPr>
            <w:tcW w:w="1350" w:type="dxa"/>
            <w:tcBorders>
              <w:top w:val="nil"/>
              <w:left w:val="nil"/>
              <w:bottom w:val="single" w:sz="4" w:space="0" w:color="auto"/>
              <w:right w:val="single" w:sz="4" w:space="0" w:color="auto"/>
            </w:tcBorders>
            <w:shd w:val="clear" w:color="000000" w:fill="FFFFFF"/>
            <w:hideMark/>
          </w:tcPr>
          <w:p w14:paraId="5EF26AE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0.8 </w:t>
            </w:r>
          </w:p>
        </w:tc>
        <w:tc>
          <w:tcPr>
            <w:tcW w:w="1355" w:type="dxa"/>
            <w:tcBorders>
              <w:top w:val="nil"/>
              <w:left w:val="nil"/>
              <w:bottom w:val="single" w:sz="4" w:space="0" w:color="auto"/>
              <w:right w:val="single" w:sz="4" w:space="0" w:color="auto"/>
            </w:tcBorders>
            <w:shd w:val="clear" w:color="000000" w:fill="FFFFFF"/>
            <w:hideMark/>
          </w:tcPr>
          <w:p w14:paraId="14FC36E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1.6 </w:t>
            </w:r>
          </w:p>
        </w:tc>
        <w:tc>
          <w:tcPr>
            <w:tcW w:w="1395" w:type="dxa"/>
            <w:tcBorders>
              <w:top w:val="nil"/>
              <w:left w:val="nil"/>
              <w:bottom w:val="single" w:sz="4" w:space="0" w:color="auto"/>
              <w:right w:val="single" w:sz="4" w:space="0" w:color="auto"/>
            </w:tcBorders>
            <w:shd w:val="clear" w:color="000000" w:fill="FFFFFF"/>
            <w:hideMark/>
          </w:tcPr>
          <w:p w14:paraId="2AD2EF9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1.0 </w:t>
            </w:r>
          </w:p>
        </w:tc>
        <w:tc>
          <w:tcPr>
            <w:tcW w:w="1395" w:type="dxa"/>
            <w:tcBorders>
              <w:top w:val="nil"/>
              <w:left w:val="nil"/>
              <w:bottom w:val="single" w:sz="4" w:space="0" w:color="auto"/>
              <w:right w:val="single" w:sz="4" w:space="0" w:color="auto"/>
            </w:tcBorders>
            <w:shd w:val="clear" w:color="000000" w:fill="FFFFFF"/>
            <w:hideMark/>
          </w:tcPr>
          <w:p w14:paraId="793F66F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1.2 </w:t>
            </w:r>
          </w:p>
        </w:tc>
      </w:tr>
      <w:tr w:rsidR="00EA4ED3" w:rsidRPr="004A785B" w14:paraId="72F66547" w14:textId="77777777" w:rsidTr="00EA4ED3">
        <w:trPr>
          <w:trHeight w:val="288"/>
          <w:tblHeader/>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0D76C12F" w14:textId="77777777" w:rsidR="00EA4ED3" w:rsidRPr="004A785B" w:rsidRDefault="00EA4ED3" w:rsidP="00EA4ED3">
            <w:pPr>
              <w:rPr>
                <w:rFonts w:asciiTheme="minorHAnsi" w:hAnsiTheme="minorHAnsi" w:cs="Arial"/>
                <w:b/>
                <w:color w:val="000000"/>
                <w:sz w:val="20"/>
                <w:szCs w:val="20"/>
              </w:rPr>
            </w:pPr>
          </w:p>
        </w:tc>
        <w:tc>
          <w:tcPr>
            <w:tcW w:w="1665" w:type="dxa"/>
            <w:tcBorders>
              <w:top w:val="nil"/>
              <w:left w:val="nil"/>
              <w:bottom w:val="single" w:sz="4" w:space="0" w:color="auto"/>
              <w:right w:val="single" w:sz="4" w:space="0" w:color="auto"/>
            </w:tcBorders>
            <w:shd w:val="clear" w:color="000000" w:fill="FFFFFF"/>
            <w:hideMark/>
          </w:tcPr>
          <w:p w14:paraId="1FDDE944"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Home Health</w:t>
            </w:r>
          </w:p>
        </w:tc>
        <w:tc>
          <w:tcPr>
            <w:tcW w:w="1135" w:type="dxa"/>
            <w:tcBorders>
              <w:top w:val="nil"/>
              <w:left w:val="nil"/>
              <w:bottom w:val="single" w:sz="4" w:space="0" w:color="auto"/>
              <w:right w:val="single" w:sz="4" w:space="0" w:color="auto"/>
            </w:tcBorders>
            <w:shd w:val="clear" w:color="000000" w:fill="FFFFFF"/>
            <w:hideMark/>
          </w:tcPr>
          <w:p w14:paraId="1F4A8A3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1.4 </w:t>
            </w:r>
          </w:p>
        </w:tc>
        <w:tc>
          <w:tcPr>
            <w:tcW w:w="1350" w:type="dxa"/>
            <w:tcBorders>
              <w:top w:val="nil"/>
              <w:left w:val="nil"/>
              <w:bottom w:val="single" w:sz="4" w:space="0" w:color="auto"/>
              <w:right w:val="single" w:sz="4" w:space="0" w:color="auto"/>
            </w:tcBorders>
            <w:shd w:val="clear" w:color="000000" w:fill="FFFFFF"/>
            <w:hideMark/>
          </w:tcPr>
          <w:p w14:paraId="09A5B99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0.7 </w:t>
            </w:r>
          </w:p>
        </w:tc>
        <w:tc>
          <w:tcPr>
            <w:tcW w:w="1355" w:type="dxa"/>
            <w:tcBorders>
              <w:top w:val="nil"/>
              <w:left w:val="nil"/>
              <w:bottom w:val="single" w:sz="4" w:space="0" w:color="auto"/>
              <w:right w:val="single" w:sz="4" w:space="0" w:color="auto"/>
            </w:tcBorders>
            <w:shd w:val="clear" w:color="000000" w:fill="FFFFFF"/>
            <w:hideMark/>
          </w:tcPr>
          <w:p w14:paraId="35CD0276"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3.2 </w:t>
            </w:r>
          </w:p>
        </w:tc>
        <w:tc>
          <w:tcPr>
            <w:tcW w:w="1395" w:type="dxa"/>
            <w:tcBorders>
              <w:top w:val="nil"/>
              <w:left w:val="nil"/>
              <w:bottom w:val="single" w:sz="4" w:space="0" w:color="auto"/>
              <w:right w:val="single" w:sz="4" w:space="0" w:color="auto"/>
            </w:tcBorders>
            <w:shd w:val="clear" w:color="000000" w:fill="FFFFFF"/>
            <w:hideMark/>
          </w:tcPr>
          <w:p w14:paraId="14E43C5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1.1 </w:t>
            </w:r>
          </w:p>
        </w:tc>
        <w:tc>
          <w:tcPr>
            <w:tcW w:w="1395" w:type="dxa"/>
            <w:tcBorders>
              <w:top w:val="nil"/>
              <w:left w:val="nil"/>
              <w:bottom w:val="single" w:sz="4" w:space="0" w:color="auto"/>
              <w:right w:val="single" w:sz="4" w:space="0" w:color="auto"/>
            </w:tcBorders>
            <w:shd w:val="clear" w:color="000000" w:fill="FFFFFF"/>
            <w:hideMark/>
          </w:tcPr>
          <w:p w14:paraId="12EB966C"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1.6 </w:t>
            </w:r>
          </w:p>
        </w:tc>
      </w:tr>
      <w:tr w:rsidR="00EA4ED3" w:rsidRPr="004A785B" w14:paraId="5E1BC2FB" w14:textId="77777777" w:rsidTr="00EA4ED3">
        <w:trPr>
          <w:trHeight w:val="288"/>
          <w:tblHeader/>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71984FE6" w14:textId="77777777" w:rsidR="00EA4ED3" w:rsidRPr="004A785B" w:rsidRDefault="00EA4ED3" w:rsidP="00EA4ED3">
            <w:pPr>
              <w:rPr>
                <w:rFonts w:asciiTheme="minorHAnsi" w:hAnsiTheme="minorHAnsi" w:cs="Arial"/>
                <w:b/>
                <w:color w:val="000000"/>
                <w:sz w:val="20"/>
                <w:szCs w:val="20"/>
              </w:rPr>
            </w:pPr>
          </w:p>
        </w:tc>
        <w:tc>
          <w:tcPr>
            <w:tcW w:w="1665" w:type="dxa"/>
            <w:tcBorders>
              <w:top w:val="nil"/>
              <w:left w:val="nil"/>
              <w:bottom w:val="single" w:sz="4" w:space="0" w:color="auto"/>
              <w:right w:val="single" w:sz="4" w:space="0" w:color="auto"/>
            </w:tcBorders>
            <w:shd w:val="clear" w:color="000000" w:fill="FFFFFF"/>
            <w:hideMark/>
          </w:tcPr>
          <w:p w14:paraId="7B3E152D"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vertAlign w:val="superscript"/>
              </w:rPr>
              <w:t>†</w:t>
            </w:r>
            <w:r w:rsidRPr="004A785B">
              <w:rPr>
                <w:rFonts w:asciiTheme="minorHAnsi" w:hAnsiTheme="minorHAnsi" w:cs="Arial"/>
                <w:color w:val="000000"/>
                <w:sz w:val="20"/>
                <w:szCs w:val="20"/>
              </w:rPr>
              <w:t>Pre-Post-natal</w:t>
            </w:r>
          </w:p>
        </w:tc>
        <w:tc>
          <w:tcPr>
            <w:tcW w:w="1135" w:type="dxa"/>
            <w:tcBorders>
              <w:top w:val="nil"/>
              <w:left w:val="nil"/>
              <w:bottom w:val="single" w:sz="4" w:space="0" w:color="auto"/>
              <w:right w:val="single" w:sz="4" w:space="0" w:color="auto"/>
            </w:tcBorders>
            <w:shd w:val="clear" w:color="000000" w:fill="FFFFFF"/>
            <w:vAlign w:val="bottom"/>
          </w:tcPr>
          <w:p w14:paraId="17BF4B7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294.9</w:t>
            </w:r>
          </w:p>
        </w:tc>
        <w:tc>
          <w:tcPr>
            <w:tcW w:w="1350" w:type="dxa"/>
            <w:tcBorders>
              <w:top w:val="nil"/>
              <w:left w:val="nil"/>
              <w:bottom w:val="single" w:sz="4" w:space="0" w:color="auto"/>
              <w:right w:val="single" w:sz="4" w:space="0" w:color="auto"/>
            </w:tcBorders>
            <w:shd w:val="clear" w:color="000000" w:fill="FFFFFF"/>
            <w:vAlign w:val="bottom"/>
          </w:tcPr>
          <w:p w14:paraId="20BF18A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178.2</w:t>
            </w:r>
          </w:p>
        </w:tc>
        <w:tc>
          <w:tcPr>
            <w:tcW w:w="1355" w:type="dxa"/>
            <w:tcBorders>
              <w:top w:val="nil"/>
              <w:left w:val="nil"/>
              <w:bottom w:val="single" w:sz="4" w:space="0" w:color="auto"/>
              <w:right w:val="single" w:sz="4" w:space="0" w:color="auto"/>
            </w:tcBorders>
            <w:shd w:val="clear" w:color="000000" w:fill="FFFFFF"/>
            <w:vAlign w:val="bottom"/>
          </w:tcPr>
          <w:p w14:paraId="5E20B0C1"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540.8</w:t>
            </w:r>
          </w:p>
        </w:tc>
        <w:tc>
          <w:tcPr>
            <w:tcW w:w="1395" w:type="dxa"/>
            <w:tcBorders>
              <w:top w:val="nil"/>
              <w:left w:val="nil"/>
              <w:bottom w:val="single" w:sz="4" w:space="0" w:color="auto"/>
              <w:right w:val="single" w:sz="4" w:space="0" w:color="auto"/>
            </w:tcBorders>
            <w:shd w:val="clear" w:color="000000" w:fill="FFFFFF"/>
            <w:vAlign w:val="bottom"/>
          </w:tcPr>
          <w:p w14:paraId="2729B4E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257.9</w:t>
            </w:r>
          </w:p>
        </w:tc>
        <w:tc>
          <w:tcPr>
            <w:tcW w:w="1395" w:type="dxa"/>
            <w:tcBorders>
              <w:top w:val="nil"/>
              <w:left w:val="nil"/>
              <w:bottom w:val="single" w:sz="4" w:space="0" w:color="auto"/>
              <w:right w:val="single" w:sz="4" w:space="0" w:color="auto"/>
            </w:tcBorders>
            <w:shd w:val="clear" w:color="000000" w:fill="FFFFFF"/>
            <w:vAlign w:val="bottom"/>
          </w:tcPr>
          <w:p w14:paraId="060DE52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331.9</w:t>
            </w:r>
          </w:p>
        </w:tc>
      </w:tr>
      <w:tr w:rsidR="00EA4ED3" w:rsidRPr="004A785B" w14:paraId="57D2FA08" w14:textId="77777777" w:rsidTr="00EA4ED3">
        <w:trPr>
          <w:trHeight w:val="288"/>
          <w:tblHeader/>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6A140686" w14:textId="77777777" w:rsidR="00EA4ED3" w:rsidRPr="004A785B" w:rsidRDefault="00EA4ED3" w:rsidP="00EA4ED3">
            <w:pPr>
              <w:rPr>
                <w:rFonts w:asciiTheme="minorHAnsi" w:hAnsiTheme="minorHAnsi" w:cs="Arial"/>
                <w:b/>
                <w:color w:val="000000"/>
                <w:sz w:val="20"/>
                <w:szCs w:val="20"/>
              </w:rPr>
            </w:pPr>
          </w:p>
        </w:tc>
        <w:tc>
          <w:tcPr>
            <w:tcW w:w="1665" w:type="dxa"/>
            <w:tcBorders>
              <w:top w:val="nil"/>
              <w:left w:val="nil"/>
              <w:bottom w:val="single" w:sz="4" w:space="0" w:color="auto"/>
              <w:right w:val="single" w:sz="4" w:space="0" w:color="auto"/>
            </w:tcBorders>
            <w:shd w:val="clear" w:color="000000" w:fill="FFFFFF"/>
            <w:hideMark/>
          </w:tcPr>
          <w:p w14:paraId="1D4B3FBD"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Specialty Care</w:t>
            </w:r>
          </w:p>
        </w:tc>
        <w:tc>
          <w:tcPr>
            <w:tcW w:w="1135" w:type="dxa"/>
            <w:tcBorders>
              <w:top w:val="nil"/>
              <w:left w:val="nil"/>
              <w:bottom w:val="single" w:sz="4" w:space="0" w:color="auto"/>
              <w:right w:val="single" w:sz="4" w:space="0" w:color="auto"/>
            </w:tcBorders>
            <w:shd w:val="clear" w:color="000000" w:fill="FFFFFF"/>
            <w:hideMark/>
          </w:tcPr>
          <w:p w14:paraId="6AD8EF3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66.2 </w:t>
            </w:r>
          </w:p>
        </w:tc>
        <w:tc>
          <w:tcPr>
            <w:tcW w:w="1350" w:type="dxa"/>
            <w:tcBorders>
              <w:top w:val="nil"/>
              <w:left w:val="nil"/>
              <w:bottom w:val="single" w:sz="4" w:space="0" w:color="auto"/>
              <w:right w:val="single" w:sz="4" w:space="0" w:color="auto"/>
            </w:tcBorders>
            <w:shd w:val="clear" w:color="000000" w:fill="FFFFFF"/>
            <w:hideMark/>
          </w:tcPr>
          <w:p w14:paraId="1F5D8AE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53.3 </w:t>
            </w:r>
          </w:p>
        </w:tc>
        <w:tc>
          <w:tcPr>
            <w:tcW w:w="1355" w:type="dxa"/>
            <w:tcBorders>
              <w:top w:val="nil"/>
              <w:left w:val="nil"/>
              <w:bottom w:val="single" w:sz="4" w:space="0" w:color="auto"/>
              <w:right w:val="single" w:sz="4" w:space="0" w:color="auto"/>
            </w:tcBorders>
            <w:shd w:val="clear" w:color="000000" w:fill="FFFFFF"/>
            <w:hideMark/>
          </w:tcPr>
          <w:p w14:paraId="62A6F19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80.5 </w:t>
            </w:r>
          </w:p>
        </w:tc>
        <w:tc>
          <w:tcPr>
            <w:tcW w:w="1395" w:type="dxa"/>
            <w:tcBorders>
              <w:top w:val="nil"/>
              <w:left w:val="nil"/>
              <w:bottom w:val="single" w:sz="4" w:space="0" w:color="auto"/>
              <w:right w:val="single" w:sz="4" w:space="0" w:color="auto"/>
            </w:tcBorders>
            <w:shd w:val="clear" w:color="000000" w:fill="FFFFFF"/>
            <w:hideMark/>
          </w:tcPr>
          <w:p w14:paraId="398E619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63.7 </w:t>
            </w:r>
          </w:p>
        </w:tc>
        <w:tc>
          <w:tcPr>
            <w:tcW w:w="1395" w:type="dxa"/>
            <w:tcBorders>
              <w:top w:val="nil"/>
              <w:left w:val="nil"/>
              <w:bottom w:val="single" w:sz="4" w:space="0" w:color="auto"/>
              <w:right w:val="single" w:sz="4" w:space="0" w:color="auto"/>
            </w:tcBorders>
            <w:shd w:val="clear" w:color="000000" w:fill="FFFFFF"/>
            <w:hideMark/>
          </w:tcPr>
          <w:p w14:paraId="2642480E"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68.6 </w:t>
            </w:r>
          </w:p>
        </w:tc>
      </w:tr>
      <w:tr w:rsidR="00EA4ED3" w:rsidRPr="004A785B" w14:paraId="7EE4041E" w14:textId="77777777" w:rsidTr="00EA4ED3">
        <w:trPr>
          <w:trHeight w:val="288"/>
          <w:tblHeader/>
        </w:trPr>
        <w:tc>
          <w:tcPr>
            <w:tcW w:w="10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3CEE08B" w14:textId="77777777" w:rsidR="00EA4ED3" w:rsidRPr="004A785B" w:rsidRDefault="00EA4ED3" w:rsidP="00EA4ED3">
            <w:pPr>
              <w:jc w:val="center"/>
              <w:rPr>
                <w:rFonts w:asciiTheme="minorHAnsi" w:hAnsiTheme="minorHAnsi" w:cs="Arial"/>
                <w:b/>
                <w:color w:val="000000"/>
                <w:sz w:val="20"/>
                <w:szCs w:val="20"/>
              </w:rPr>
            </w:pPr>
            <w:r w:rsidRPr="004A785B">
              <w:rPr>
                <w:rFonts w:asciiTheme="minorHAnsi" w:hAnsiTheme="minorHAnsi" w:cs="Arial"/>
                <w:b/>
                <w:color w:val="000000"/>
                <w:sz w:val="20"/>
                <w:szCs w:val="20"/>
              </w:rPr>
              <w:t>Male</w:t>
            </w:r>
          </w:p>
        </w:tc>
        <w:tc>
          <w:tcPr>
            <w:tcW w:w="1665" w:type="dxa"/>
            <w:tcBorders>
              <w:top w:val="nil"/>
              <w:left w:val="nil"/>
              <w:bottom w:val="single" w:sz="4" w:space="0" w:color="auto"/>
              <w:right w:val="single" w:sz="4" w:space="0" w:color="auto"/>
            </w:tcBorders>
            <w:shd w:val="clear" w:color="000000" w:fill="FFFFFF"/>
            <w:hideMark/>
          </w:tcPr>
          <w:p w14:paraId="428913F4"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Primary Care</w:t>
            </w:r>
          </w:p>
        </w:tc>
        <w:tc>
          <w:tcPr>
            <w:tcW w:w="1135" w:type="dxa"/>
            <w:tcBorders>
              <w:top w:val="nil"/>
              <w:left w:val="nil"/>
              <w:bottom w:val="single" w:sz="4" w:space="0" w:color="auto"/>
              <w:right w:val="single" w:sz="4" w:space="0" w:color="auto"/>
            </w:tcBorders>
            <w:shd w:val="clear" w:color="000000" w:fill="FFFFFF"/>
            <w:hideMark/>
          </w:tcPr>
          <w:p w14:paraId="1FCF613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88.0 </w:t>
            </w:r>
          </w:p>
        </w:tc>
        <w:tc>
          <w:tcPr>
            <w:tcW w:w="1350" w:type="dxa"/>
            <w:tcBorders>
              <w:top w:val="nil"/>
              <w:left w:val="nil"/>
              <w:bottom w:val="single" w:sz="4" w:space="0" w:color="auto"/>
              <w:right w:val="single" w:sz="4" w:space="0" w:color="auto"/>
            </w:tcBorders>
            <w:shd w:val="clear" w:color="000000" w:fill="FFFFFF"/>
            <w:hideMark/>
          </w:tcPr>
          <w:p w14:paraId="71D1523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64.9 </w:t>
            </w:r>
          </w:p>
        </w:tc>
        <w:tc>
          <w:tcPr>
            <w:tcW w:w="1355" w:type="dxa"/>
            <w:tcBorders>
              <w:top w:val="nil"/>
              <w:left w:val="nil"/>
              <w:bottom w:val="single" w:sz="4" w:space="0" w:color="auto"/>
              <w:right w:val="single" w:sz="4" w:space="0" w:color="auto"/>
            </w:tcBorders>
            <w:shd w:val="clear" w:color="000000" w:fill="FFFFFF"/>
            <w:hideMark/>
          </w:tcPr>
          <w:p w14:paraId="064B327E"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112.4 </w:t>
            </w:r>
          </w:p>
        </w:tc>
        <w:tc>
          <w:tcPr>
            <w:tcW w:w="1395" w:type="dxa"/>
            <w:tcBorders>
              <w:top w:val="nil"/>
              <w:left w:val="nil"/>
              <w:bottom w:val="single" w:sz="4" w:space="0" w:color="auto"/>
              <w:right w:val="single" w:sz="4" w:space="0" w:color="auto"/>
            </w:tcBorders>
            <w:shd w:val="clear" w:color="000000" w:fill="FFFFFF"/>
            <w:hideMark/>
          </w:tcPr>
          <w:p w14:paraId="0DDCB5A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84.0 </w:t>
            </w:r>
          </w:p>
        </w:tc>
        <w:tc>
          <w:tcPr>
            <w:tcW w:w="1395" w:type="dxa"/>
            <w:tcBorders>
              <w:top w:val="nil"/>
              <w:left w:val="nil"/>
              <w:bottom w:val="single" w:sz="4" w:space="0" w:color="auto"/>
              <w:right w:val="single" w:sz="4" w:space="0" w:color="auto"/>
            </w:tcBorders>
            <w:shd w:val="clear" w:color="000000" w:fill="FFFFFF"/>
            <w:hideMark/>
          </w:tcPr>
          <w:p w14:paraId="6731DC7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92.0 </w:t>
            </w:r>
          </w:p>
        </w:tc>
      </w:tr>
      <w:tr w:rsidR="00EA4ED3" w:rsidRPr="004A785B" w14:paraId="574F89E8" w14:textId="77777777" w:rsidTr="00EA4ED3">
        <w:trPr>
          <w:trHeight w:val="288"/>
          <w:tblHeader/>
        </w:trPr>
        <w:tc>
          <w:tcPr>
            <w:tcW w:w="1065" w:type="dxa"/>
            <w:vMerge/>
            <w:tcBorders>
              <w:top w:val="nil"/>
              <w:left w:val="single" w:sz="4" w:space="0" w:color="auto"/>
              <w:bottom w:val="single" w:sz="4" w:space="0" w:color="auto"/>
              <w:right w:val="single" w:sz="4" w:space="0" w:color="auto"/>
            </w:tcBorders>
            <w:vAlign w:val="center"/>
            <w:hideMark/>
          </w:tcPr>
          <w:p w14:paraId="0C7EDDE6" w14:textId="77777777" w:rsidR="00EA4ED3" w:rsidRPr="004A785B" w:rsidRDefault="00EA4ED3" w:rsidP="00EA4ED3">
            <w:pPr>
              <w:rPr>
                <w:rFonts w:asciiTheme="minorHAnsi" w:hAnsiTheme="minorHAnsi" w:cs="Arial"/>
                <w:color w:val="000000"/>
                <w:sz w:val="20"/>
                <w:szCs w:val="20"/>
              </w:rPr>
            </w:pPr>
          </w:p>
        </w:tc>
        <w:tc>
          <w:tcPr>
            <w:tcW w:w="1665" w:type="dxa"/>
            <w:tcBorders>
              <w:top w:val="nil"/>
              <w:left w:val="nil"/>
              <w:bottom w:val="single" w:sz="4" w:space="0" w:color="auto"/>
              <w:right w:val="single" w:sz="4" w:space="0" w:color="auto"/>
            </w:tcBorders>
            <w:shd w:val="clear" w:color="000000" w:fill="FFFFFF"/>
            <w:hideMark/>
          </w:tcPr>
          <w:p w14:paraId="7A1382B7"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Behavioral Care</w:t>
            </w:r>
          </w:p>
        </w:tc>
        <w:tc>
          <w:tcPr>
            <w:tcW w:w="1135" w:type="dxa"/>
            <w:tcBorders>
              <w:top w:val="nil"/>
              <w:left w:val="nil"/>
              <w:bottom w:val="single" w:sz="4" w:space="0" w:color="auto"/>
              <w:right w:val="single" w:sz="4" w:space="0" w:color="auto"/>
            </w:tcBorders>
            <w:shd w:val="clear" w:color="000000" w:fill="FFFFFF"/>
            <w:hideMark/>
          </w:tcPr>
          <w:p w14:paraId="598A8F3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1.5 </w:t>
            </w:r>
          </w:p>
        </w:tc>
        <w:tc>
          <w:tcPr>
            <w:tcW w:w="1350" w:type="dxa"/>
            <w:tcBorders>
              <w:top w:val="nil"/>
              <w:left w:val="nil"/>
              <w:bottom w:val="single" w:sz="4" w:space="0" w:color="auto"/>
              <w:right w:val="single" w:sz="4" w:space="0" w:color="auto"/>
            </w:tcBorders>
            <w:shd w:val="clear" w:color="000000" w:fill="FFFFFF"/>
            <w:hideMark/>
          </w:tcPr>
          <w:p w14:paraId="33A5A1E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1.1 </w:t>
            </w:r>
          </w:p>
        </w:tc>
        <w:tc>
          <w:tcPr>
            <w:tcW w:w="1355" w:type="dxa"/>
            <w:tcBorders>
              <w:top w:val="nil"/>
              <w:left w:val="nil"/>
              <w:bottom w:val="single" w:sz="4" w:space="0" w:color="auto"/>
              <w:right w:val="single" w:sz="4" w:space="0" w:color="auto"/>
            </w:tcBorders>
            <w:shd w:val="clear" w:color="000000" w:fill="FFFFFF"/>
            <w:hideMark/>
          </w:tcPr>
          <w:p w14:paraId="743FE73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1.8 </w:t>
            </w:r>
          </w:p>
        </w:tc>
        <w:tc>
          <w:tcPr>
            <w:tcW w:w="1395" w:type="dxa"/>
            <w:tcBorders>
              <w:top w:val="nil"/>
              <w:left w:val="nil"/>
              <w:bottom w:val="single" w:sz="4" w:space="0" w:color="auto"/>
              <w:right w:val="single" w:sz="4" w:space="0" w:color="auto"/>
            </w:tcBorders>
            <w:shd w:val="clear" w:color="000000" w:fill="FFFFFF"/>
            <w:hideMark/>
          </w:tcPr>
          <w:p w14:paraId="5296F95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1.4 </w:t>
            </w:r>
          </w:p>
        </w:tc>
        <w:tc>
          <w:tcPr>
            <w:tcW w:w="1395" w:type="dxa"/>
            <w:tcBorders>
              <w:top w:val="nil"/>
              <w:left w:val="nil"/>
              <w:bottom w:val="single" w:sz="4" w:space="0" w:color="auto"/>
              <w:right w:val="single" w:sz="4" w:space="0" w:color="auto"/>
            </w:tcBorders>
            <w:shd w:val="clear" w:color="000000" w:fill="FFFFFF"/>
            <w:hideMark/>
          </w:tcPr>
          <w:p w14:paraId="04E81A8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1.5 </w:t>
            </w:r>
          </w:p>
        </w:tc>
      </w:tr>
      <w:tr w:rsidR="00EA4ED3" w:rsidRPr="004A785B" w14:paraId="478FDD8B" w14:textId="77777777" w:rsidTr="00EA4ED3">
        <w:trPr>
          <w:trHeight w:val="288"/>
          <w:tblHeader/>
        </w:trPr>
        <w:tc>
          <w:tcPr>
            <w:tcW w:w="1065" w:type="dxa"/>
            <w:vMerge/>
            <w:tcBorders>
              <w:top w:val="nil"/>
              <w:left w:val="single" w:sz="4" w:space="0" w:color="auto"/>
              <w:bottom w:val="single" w:sz="4" w:space="0" w:color="auto"/>
              <w:right w:val="single" w:sz="4" w:space="0" w:color="auto"/>
            </w:tcBorders>
            <w:vAlign w:val="center"/>
            <w:hideMark/>
          </w:tcPr>
          <w:p w14:paraId="216A7EB2" w14:textId="77777777" w:rsidR="00EA4ED3" w:rsidRPr="004A785B" w:rsidRDefault="00EA4ED3" w:rsidP="00EA4ED3">
            <w:pPr>
              <w:rPr>
                <w:rFonts w:asciiTheme="minorHAnsi" w:hAnsiTheme="minorHAnsi" w:cs="Arial"/>
                <w:color w:val="000000"/>
                <w:sz w:val="20"/>
                <w:szCs w:val="20"/>
              </w:rPr>
            </w:pPr>
          </w:p>
        </w:tc>
        <w:tc>
          <w:tcPr>
            <w:tcW w:w="1665" w:type="dxa"/>
            <w:tcBorders>
              <w:top w:val="nil"/>
              <w:left w:val="nil"/>
              <w:bottom w:val="single" w:sz="4" w:space="0" w:color="auto"/>
              <w:right w:val="single" w:sz="4" w:space="0" w:color="auto"/>
            </w:tcBorders>
            <w:shd w:val="clear" w:color="000000" w:fill="FFFFFF"/>
            <w:hideMark/>
          </w:tcPr>
          <w:p w14:paraId="0D8B3E58"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Home Health</w:t>
            </w:r>
          </w:p>
        </w:tc>
        <w:tc>
          <w:tcPr>
            <w:tcW w:w="1135" w:type="dxa"/>
            <w:tcBorders>
              <w:top w:val="nil"/>
              <w:left w:val="nil"/>
              <w:bottom w:val="single" w:sz="4" w:space="0" w:color="auto"/>
              <w:right w:val="single" w:sz="4" w:space="0" w:color="auto"/>
            </w:tcBorders>
            <w:shd w:val="clear" w:color="000000" w:fill="FFFFFF"/>
            <w:hideMark/>
          </w:tcPr>
          <w:p w14:paraId="31E37AF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2.0 </w:t>
            </w:r>
          </w:p>
        </w:tc>
        <w:tc>
          <w:tcPr>
            <w:tcW w:w="1350" w:type="dxa"/>
            <w:tcBorders>
              <w:top w:val="nil"/>
              <w:left w:val="nil"/>
              <w:bottom w:val="single" w:sz="4" w:space="0" w:color="auto"/>
              <w:right w:val="single" w:sz="4" w:space="0" w:color="auto"/>
            </w:tcBorders>
            <w:shd w:val="clear" w:color="000000" w:fill="FFFFFF"/>
            <w:hideMark/>
          </w:tcPr>
          <w:p w14:paraId="7EF1ADD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0.9 </w:t>
            </w:r>
          </w:p>
        </w:tc>
        <w:tc>
          <w:tcPr>
            <w:tcW w:w="1355" w:type="dxa"/>
            <w:tcBorders>
              <w:top w:val="nil"/>
              <w:left w:val="nil"/>
              <w:bottom w:val="single" w:sz="4" w:space="0" w:color="auto"/>
              <w:right w:val="single" w:sz="4" w:space="0" w:color="auto"/>
            </w:tcBorders>
            <w:shd w:val="clear" w:color="000000" w:fill="FFFFFF"/>
            <w:hideMark/>
          </w:tcPr>
          <w:p w14:paraId="18A64BC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5.6 </w:t>
            </w:r>
          </w:p>
        </w:tc>
        <w:tc>
          <w:tcPr>
            <w:tcW w:w="1395" w:type="dxa"/>
            <w:tcBorders>
              <w:top w:val="nil"/>
              <w:left w:val="nil"/>
              <w:bottom w:val="single" w:sz="4" w:space="0" w:color="auto"/>
              <w:right w:val="single" w:sz="4" w:space="0" w:color="auto"/>
            </w:tcBorders>
            <w:shd w:val="clear" w:color="000000" w:fill="FFFFFF"/>
            <w:hideMark/>
          </w:tcPr>
          <w:p w14:paraId="3EB6AA5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1.5 </w:t>
            </w:r>
          </w:p>
        </w:tc>
        <w:tc>
          <w:tcPr>
            <w:tcW w:w="1395" w:type="dxa"/>
            <w:tcBorders>
              <w:top w:val="nil"/>
              <w:left w:val="nil"/>
              <w:bottom w:val="single" w:sz="4" w:space="0" w:color="auto"/>
              <w:right w:val="single" w:sz="4" w:space="0" w:color="auto"/>
            </w:tcBorders>
            <w:shd w:val="clear" w:color="000000" w:fill="FFFFFF"/>
            <w:hideMark/>
          </w:tcPr>
          <w:p w14:paraId="00B1FEF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2.6 </w:t>
            </w:r>
          </w:p>
        </w:tc>
      </w:tr>
      <w:tr w:rsidR="00EA4ED3" w:rsidRPr="004A785B" w14:paraId="04E82117" w14:textId="77777777" w:rsidTr="00EA4ED3">
        <w:trPr>
          <w:trHeight w:val="288"/>
          <w:tblHeader/>
        </w:trPr>
        <w:tc>
          <w:tcPr>
            <w:tcW w:w="1065" w:type="dxa"/>
            <w:vMerge/>
            <w:tcBorders>
              <w:top w:val="nil"/>
              <w:left w:val="single" w:sz="4" w:space="0" w:color="auto"/>
              <w:bottom w:val="single" w:sz="4" w:space="0" w:color="auto"/>
              <w:right w:val="single" w:sz="4" w:space="0" w:color="auto"/>
            </w:tcBorders>
            <w:vAlign w:val="center"/>
            <w:hideMark/>
          </w:tcPr>
          <w:p w14:paraId="7532E8B9" w14:textId="77777777" w:rsidR="00EA4ED3" w:rsidRPr="004A785B" w:rsidRDefault="00EA4ED3" w:rsidP="00EA4ED3">
            <w:pPr>
              <w:rPr>
                <w:rFonts w:asciiTheme="minorHAnsi" w:hAnsiTheme="minorHAnsi" w:cs="Arial"/>
                <w:color w:val="000000"/>
                <w:sz w:val="20"/>
                <w:szCs w:val="20"/>
              </w:rPr>
            </w:pPr>
          </w:p>
        </w:tc>
        <w:tc>
          <w:tcPr>
            <w:tcW w:w="1665" w:type="dxa"/>
            <w:tcBorders>
              <w:top w:val="nil"/>
              <w:left w:val="nil"/>
              <w:bottom w:val="single" w:sz="4" w:space="0" w:color="auto"/>
              <w:right w:val="single" w:sz="4" w:space="0" w:color="auto"/>
            </w:tcBorders>
            <w:shd w:val="clear" w:color="000000" w:fill="FFFFFF"/>
            <w:hideMark/>
          </w:tcPr>
          <w:p w14:paraId="3D16F499" w14:textId="77777777" w:rsidR="00EA4ED3" w:rsidRPr="004A785B" w:rsidRDefault="00EA4ED3" w:rsidP="00EA4ED3">
            <w:pPr>
              <w:rPr>
                <w:rFonts w:asciiTheme="minorHAnsi" w:hAnsiTheme="minorHAnsi" w:cs="Arial"/>
                <w:color w:val="000000"/>
                <w:sz w:val="20"/>
                <w:szCs w:val="20"/>
              </w:rPr>
            </w:pPr>
            <w:r w:rsidRPr="004A785B">
              <w:rPr>
                <w:rFonts w:asciiTheme="minorHAnsi" w:hAnsiTheme="minorHAnsi" w:cs="Arial"/>
                <w:color w:val="000000"/>
                <w:sz w:val="20"/>
                <w:szCs w:val="20"/>
              </w:rPr>
              <w:t>Specialty Care</w:t>
            </w:r>
          </w:p>
        </w:tc>
        <w:tc>
          <w:tcPr>
            <w:tcW w:w="1135" w:type="dxa"/>
            <w:tcBorders>
              <w:top w:val="nil"/>
              <w:left w:val="nil"/>
              <w:bottom w:val="single" w:sz="4" w:space="0" w:color="auto"/>
              <w:right w:val="single" w:sz="4" w:space="0" w:color="auto"/>
            </w:tcBorders>
            <w:shd w:val="clear" w:color="000000" w:fill="FFFFFF"/>
            <w:hideMark/>
          </w:tcPr>
          <w:p w14:paraId="34B260E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57.8 </w:t>
            </w:r>
          </w:p>
        </w:tc>
        <w:tc>
          <w:tcPr>
            <w:tcW w:w="1350" w:type="dxa"/>
            <w:tcBorders>
              <w:top w:val="nil"/>
              <w:left w:val="nil"/>
              <w:bottom w:val="single" w:sz="4" w:space="0" w:color="auto"/>
              <w:right w:val="single" w:sz="4" w:space="0" w:color="auto"/>
            </w:tcBorders>
            <w:shd w:val="clear" w:color="000000" w:fill="FFFFFF"/>
            <w:hideMark/>
          </w:tcPr>
          <w:p w14:paraId="3A3D720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43.1 </w:t>
            </w:r>
          </w:p>
        </w:tc>
        <w:tc>
          <w:tcPr>
            <w:tcW w:w="1355" w:type="dxa"/>
            <w:tcBorders>
              <w:top w:val="nil"/>
              <w:left w:val="nil"/>
              <w:bottom w:val="single" w:sz="4" w:space="0" w:color="auto"/>
              <w:right w:val="single" w:sz="4" w:space="0" w:color="auto"/>
            </w:tcBorders>
            <w:shd w:val="clear" w:color="000000" w:fill="FFFFFF"/>
            <w:hideMark/>
          </w:tcPr>
          <w:p w14:paraId="624BB7F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72.0 </w:t>
            </w:r>
          </w:p>
        </w:tc>
        <w:tc>
          <w:tcPr>
            <w:tcW w:w="1395" w:type="dxa"/>
            <w:tcBorders>
              <w:top w:val="nil"/>
              <w:left w:val="nil"/>
              <w:bottom w:val="single" w:sz="4" w:space="0" w:color="auto"/>
              <w:right w:val="single" w:sz="4" w:space="0" w:color="auto"/>
            </w:tcBorders>
            <w:shd w:val="clear" w:color="000000" w:fill="FFFFFF"/>
            <w:hideMark/>
          </w:tcPr>
          <w:p w14:paraId="0DDDD85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55.1 </w:t>
            </w:r>
          </w:p>
        </w:tc>
        <w:tc>
          <w:tcPr>
            <w:tcW w:w="1395" w:type="dxa"/>
            <w:tcBorders>
              <w:top w:val="nil"/>
              <w:left w:val="nil"/>
              <w:bottom w:val="single" w:sz="4" w:space="0" w:color="auto"/>
              <w:right w:val="single" w:sz="4" w:space="0" w:color="auto"/>
            </w:tcBorders>
            <w:shd w:val="clear" w:color="000000" w:fill="FFFFFF"/>
            <w:hideMark/>
          </w:tcPr>
          <w:p w14:paraId="12C0AE3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60.5 </w:t>
            </w:r>
          </w:p>
        </w:tc>
      </w:tr>
    </w:tbl>
    <w:p w14:paraId="584A302B" w14:textId="77777777" w:rsidR="00EA4ED3" w:rsidRPr="004A785B" w:rsidRDefault="00EA4ED3" w:rsidP="00EA4ED3">
      <w:pPr>
        <w:rPr>
          <w:rFonts w:asciiTheme="minorHAnsi" w:eastAsiaTheme="minorHAnsi" w:hAnsiTheme="minorHAnsi" w:cs="Tahoma"/>
          <w:sz w:val="16"/>
          <w:szCs w:val="16"/>
        </w:rPr>
      </w:pPr>
      <w:r w:rsidRPr="004A785B">
        <w:rPr>
          <w:rFonts w:asciiTheme="minorHAnsi" w:eastAsiaTheme="minorHAnsi" w:hAnsiTheme="minorHAnsi" w:cs="Tahoma"/>
          <w:b/>
          <w:sz w:val="16"/>
          <w:szCs w:val="16"/>
        </w:rPr>
        <w:t>Source:</w:t>
      </w:r>
      <w:r w:rsidRPr="004A785B">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provider, and enrollment tables.</w:t>
      </w:r>
    </w:p>
    <w:p w14:paraId="3126C008" w14:textId="77777777" w:rsidR="00EA4ED3" w:rsidRDefault="00EA4ED3" w:rsidP="00EA4ED3">
      <w:pPr>
        <w:rPr>
          <w:rFonts w:asciiTheme="minorHAnsi" w:eastAsiaTheme="minorHAnsi" w:hAnsiTheme="minorHAnsi" w:cs="Tahoma"/>
          <w:sz w:val="16"/>
          <w:szCs w:val="16"/>
        </w:rPr>
      </w:pPr>
      <w:r w:rsidRPr="004A785B">
        <w:rPr>
          <w:rFonts w:asciiTheme="minorHAnsi" w:eastAsiaTheme="minorHAnsi" w:hAnsiTheme="minorHAnsi" w:cs="Tahoma"/>
          <w:sz w:val="16"/>
          <w:szCs w:val="16"/>
          <w:vertAlign w:val="superscript"/>
        </w:rPr>
        <w:t>†</w:t>
      </w:r>
      <w:r w:rsidRPr="004A785B">
        <w:rPr>
          <w:rFonts w:asciiTheme="minorHAnsi" w:eastAsiaTheme="minorHAnsi" w:hAnsiTheme="minorHAnsi" w:cs="Tahoma"/>
          <w:sz w:val="16"/>
          <w:szCs w:val="16"/>
        </w:rPr>
        <w:t>The Pre-Post-natal service category includes services for women ages 15-44 enrolled in FFS for any length of period. It is not limited to only those women with at least 11 months of enrollment in FFS.</w:t>
      </w:r>
    </w:p>
    <w:p w14:paraId="36A1C7A7" w14:textId="77777777" w:rsidR="00B43BB5" w:rsidRPr="004A785B" w:rsidRDefault="00B43BB5" w:rsidP="00EA4ED3">
      <w:pPr>
        <w:rPr>
          <w:rFonts w:asciiTheme="minorHAnsi" w:eastAsiaTheme="minorHAnsi" w:hAnsiTheme="minorHAnsi" w:cstheme="minorBidi"/>
          <w:b/>
          <w:bCs/>
          <w:sz w:val="20"/>
          <w:szCs w:val="20"/>
        </w:rPr>
      </w:pPr>
    </w:p>
    <w:p w14:paraId="777515DA" w14:textId="77777777" w:rsidR="00EA4ED3" w:rsidRPr="004A785B" w:rsidRDefault="00EA4ED3" w:rsidP="00EA4ED3">
      <w:pPr>
        <w:pStyle w:val="Heading4"/>
        <w:spacing w:before="0"/>
      </w:pPr>
      <w:r w:rsidRPr="004A785B">
        <w:t>Service Category by Aid Category</w:t>
      </w:r>
    </w:p>
    <w:p w14:paraId="61D43146" w14:textId="77777777" w:rsidR="00EA4ED3" w:rsidRPr="004A785B" w:rsidRDefault="00EA4ED3" w:rsidP="00EA4ED3">
      <w:pPr>
        <w:rPr>
          <w:rFonts w:asciiTheme="minorHAnsi" w:eastAsiaTheme="minorHAnsi" w:hAnsiTheme="minorHAnsi" w:cstheme="minorBidi"/>
          <w:b/>
          <w:bCs/>
          <w:sz w:val="20"/>
          <w:szCs w:val="20"/>
        </w:rPr>
      </w:pPr>
    </w:p>
    <w:p w14:paraId="2473259F" w14:textId="77777777" w:rsidR="00EA4ED3" w:rsidRPr="004A785B" w:rsidRDefault="00EA4ED3" w:rsidP="00EA4ED3">
      <w:pPr>
        <w:rPr>
          <w:rFonts w:asciiTheme="minorHAnsi" w:eastAsiaTheme="minorHAnsi" w:hAnsiTheme="minorHAnsi" w:cstheme="minorBidi"/>
          <w:bCs/>
        </w:rPr>
      </w:pPr>
      <w:r w:rsidRPr="004A785B">
        <w:rPr>
          <w:rFonts w:asciiTheme="minorHAnsi" w:eastAsiaTheme="minorHAnsi" w:hAnsiTheme="minorHAnsi" w:cstheme="minorBidi"/>
          <w:bCs/>
        </w:rPr>
        <w:t xml:space="preserve">The table below displays utilization for all service categories, by aid category, for fiscal years 2012-13, 2013-14, and 2014-15. The table lists the mean visit rate per 1,000 member months, minimum and maximum rates over the three-year baseline period, and the lower and upper confidence levels, for each service category. For the purposes of this utilization analysis, the Other aid category includes Parent/Caretaker Relative &amp; Child, </w:t>
      </w:r>
      <w:r w:rsidRPr="004A785B">
        <w:rPr>
          <w:rFonts w:asciiTheme="minorHAnsi" w:hAnsiTheme="minorHAnsi"/>
          <w:color w:val="000000"/>
        </w:rPr>
        <w:t>ACA Expansion Adult Ages 19 to 64, and Adoption/Foster. Also note that low rates for the Dual category reflect Medicare’s role as the primary provider of services.</w:t>
      </w:r>
    </w:p>
    <w:p w14:paraId="7076FA68" w14:textId="77777777" w:rsidR="00EA4ED3" w:rsidRPr="004A785B" w:rsidRDefault="00EA4ED3" w:rsidP="00EA4ED3">
      <w:pPr>
        <w:rPr>
          <w:rFonts w:asciiTheme="minorHAnsi" w:eastAsiaTheme="minorHAnsi" w:hAnsiTheme="minorHAnsi" w:cstheme="minorBidi"/>
          <w:b/>
          <w:bCs/>
          <w:sz w:val="20"/>
          <w:szCs w:val="20"/>
        </w:rPr>
      </w:pPr>
    </w:p>
    <w:p w14:paraId="1F716A15" w14:textId="77777777" w:rsidR="002E4F15" w:rsidRDefault="002E4F15">
      <w:pPr>
        <w:spacing w:after="200" w:line="276" w:lineRule="auto"/>
        <w:rPr>
          <w:rFonts w:asciiTheme="minorHAnsi" w:eastAsiaTheme="minorHAnsi" w:hAnsiTheme="minorHAnsi" w:cstheme="minorBidi"/>
          <w:b/>
          <w:bCs/>
          <w:sz w:val="20"/>
          <w:szCs w:val="20"/>
        </w:rPr>
      </w:pPr>
      <w:bookmarkStart w:id="419" w:name="_Toc459037250"/>
      <w:r>
        <w:rPr>
          <w:rFonts w:asciiTheme="minorHAnsi" w:eastAsiaTheme="minorHAnsi" w:hAnsiTheme="minorHAnsi" w:cstheme="minorBidi"/>
          <w:b/>
          <w:bCs/>
          <w:sz w:val="20"/>
          <w:szCs w:val="20"/>
        </w:rPr>
        <w:br w:type="page"/>
      </w:r>
    </w:p>
    <w:p w14:paraId="5CFF7CAC" w14:textId="77777777" w:rsidR="00EA4ED3" w:rsidRPr="004A785B" w:rsidRDefault="00EA4ED3" w:rsidP="00EA4ED3">
      <w:pPr>
        <w:rPr>
          <w:rFonts w:asciiTheme="minorHAnsi" w:eastAsiaTheme="minorHAnsi" w:hAnsiTheme="minorHAnsi" w:cstheme="minorBidi"/>
          <w:bCs/>
          <w:sz w:val="20"/>
          <w:szCs w:val="20"/>
        </w:rPr>
      </w:pPr>
      <w:bookmarkStart w:id="420" w:name="_Toc459285189"/>
      <w:r w:rsidRPr="004A785B">
        <w:rPr>
          <w:rFonts w:asciiTheme="minorHAnsi" w:eastAsiaTheme="minorHAnsi" w:hAnsiTheme="minorHAnsi" w:cstheme="minorBidi"/>
          <w:b/>
          <w:bCs/>
          <w:sz w:val="20"/>
          <w:szCs w:val="20"/>
        </w:rPr>
        <w:t xml:space="preserve">Table </w:t>
      </w:r>
      <w:r w:rsidRPr="004A785B">
        <w:rPr>
          <w:rFonts w:asciiTheme="minorHAnsi" w:eastAsiaTheme="minorHAnsi" w:hAnsiTheme="minorHAnsi" w:cstheme="minorBidi"/>
          <w:b/>
          <w:bCs/>
          <w:sz w:val="20"/>
          <w:szCs w:val="20"/>
        </w:rPr>
        <w:fldChar w:fldCharType="begin"/>
      </w:r>
      <w:r w:rsidRPr="004A785B">
        <w:rPr>
          <w:rFonts w:asciiTheme="minorHAnsi" w:eastAsiaTheme="minorHAnsi" w:hAnsiTheme="minorHAnsi" w:cstheme="minorBidi"/>
          <w:b/>
          <w:bCs/>
          <w:sz w:val="20"/>
          <w:szCs w:val="20"/>
        </w:rPr>
        <w:instrText xml:space="preserve"> SEQ Table \* ARABIC </w:instrText>
      </w:r>
      <w:r w:rsidRPr="004A785B">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44</w:t>
      </w:r>
      <w:r w:rsidRPr="004A785B">
        <w:rPr>
          <w:rFonts w:asciiTheme="minorHAnsi" w:eastAsiaTheme="minorHAnsi" w:hAnsiTheme="minorHAnsi" w:cstheme="minorBidi"/>
          <w:b/>
          <w:bCs/>
          <w:sz w:val="20"/>
          <w:szCs w:val="20"/>
        </w:rPr>
        <w:fldChar w:fldCharType="end"/>
      </w:r>
      <w:r w:rsidRPr="004A785B">
        <w:rPr>
          <w:rFonts w:asciiTheme="minorHAnsi" w:eastAsiaTheme="minorHAnsi" w:hAnsiTheme="minorHAnsi" w:cstheme="minorBidi"/>
          <w:b/>
          <w:bCs/>
          <w:sz w:val="20"/>
          <w:szCs w:val="20"/>
        </w:rPr>
        <w:t xml:space="preserve">: </w:t>
      </w:r>
      <w:r w:rsidRPr="004A785B">
        <w:rPr>
          <w:rFonts w:asciiTheme="minorHAnsi" w:eastAsiaTheme="minorHAnsi" w:hAnsiTheme="minorHAnsi" w:cstheme="minorBidi"/>
          <w:bCs/>
          <w:sz w:val="20"/>
          <w:szCs w:val="20"/>
        </w:rPr>
        <w:t>Visit Rates by Service Category and Aid Category Per 1,000 Member Months in SFYs 2012-13, 2013-14 and 2014-15</w:t>
      </w:r>
      <w:bookmarkEnd w:id="419"/>
      <w:bookmarkEnd w:id="420"/>
    </w:p>
    <w:tbl>
      <w:tblPr>
        <w:tblW w:w="9360" w:type="dxa"/>
        <w:jc w:val="center"/>
        <w:tblLook w:val="04A0" w:firstRow="1" w:lastRow="0" w:firstColumn="1" w:lastColumn="0" w:noHBand="0" w:noVBand="1"/>
      </w:tblPr>
      <w:tblGrid>
        <w:gridCol w:w="2245"/>
        <w:gridCol w:w="1463"/>
        <w:gridCol w:w="1074"/>
        <w:gridCol w:w="1030"/>
        <w:gridCol w:w="1100"/>
        <w:gridCol w:w="1224"/>
        <w:gridCol w:w="1224"/>
      </w:tblGrid>
      <w:tr w:rsidR="00EA4ED3" w:rsidRPr="004A785B" w14:paraId="7379DDC6" w14:textId="77777777" w:rsidTr="00EA4ED3">
        <w:trPr>
          <w:trHeight w:val="984"/>
          <w:tblHeader/>
          <w:jc w:val="center"/>
        </w:trPr>
        <w:tc>
          <w:tcPr>
            <w:tcW w:w="2245" w:type="dxa"/>
            <w:tcBorders>
              <w:top w:val="single" w:sz="4" w:space="0" w:color="auto"/>
              <w:left w:val="single" w:sz="4" w:space="0" w:color="auto"/>
              <w:bottom w:val="single" w:sz="4" w:space="0" w:color="auto"/>
              <w:right w:val="single" w:sz="4" w:space="0" w:color="auto"/>
            </w:tcBorders>
            <w:shd w:val="clear" w:color="000000" w:fill="EDF2F9"/>
            <w:vAlign w:val="center"/>
            <w:hideMark/>
          </w:tcPr>
          <w:p w14:paraId="505EB28B"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Aid Category</w:t>
            </w:r>
          </w:p>
        </w:tc>
        <w:tc>
          <w:tcPr>
            <w:tcW w:w="1463" w:type="dxa"/>
            <w:tcBorders>
              <w:top w:val="single" w:sz="4" w:space="0" w:color="auto"/>
              <w:left w:val="nil"/>
              <w:bottom w:val="single" w:sz="4" w:space="0" w:color="auto"/>
              <w:right w:val="single" w:sz="4" w:space="0" w:color="auto"/>
            </w:tcBorders>
            <w:shd w:val="clear" w:color="000000" w:fill="EDF2F9"/>
            <w:vAlign w:val="center"/>
            <w:hideMark/>
          </w:tcPr>
          <w:p w14:paraId="5BF45317"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Service Category</w:t>
            </w:r>
          </w:p>
        </w:tc>
        <w:tc>
          <w:tcPr>
            <w:tcW w:w="1074" w:type="dxa"/>
            <w:tcBorders>
              <w:top w:val="single" w:sz="4" w:space="0" w:color="auto"/>
              <w:left w:val="nil"/>
              <w:bottom w:val="single" w:sz="4" w:space="0" w:color="auto"/>
              <w:right w:val="single" w:sz="4" w:space="0" w:color="auto"/>
            </w:tcBorders>
            <w:shd w:val="clear" w:color="000000" w:fill="EDF2F9"/>
            <w:vAlign w:val="center"/>
            <w:hideMark/>
          </w:tcPr>
          <w:p w14:paraId="472475F7"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Mean rate per 1,000 MM</w:t>
            </w:r>
          </w:p>
        </w:tc>
        <w:tc>
          <w:tcPr>
            <w:tcW w:w="1030" w:type="dxa"/>
            <w:tcBorders>
              <w:top w:val="single" w:sz="4" w:space="0" w:color="auto"/>
              <w:left w:val="nil"/>
              <w:bottom w:val="single" w:sz="4" w:space="0" w:color="auto"/>
              <w:right w:val="single" w:sz="4" w:space="0" w:color="auto"/>
            </w:tcBorders>
            <w:shd w:val="clear" w:color="000000" w:fill="EDF2F9"/>
            <w:vAlign w:val="center"/>
            <w:hideMark/>
          </w:tcPr>
          <w:p w14:paraId="5CCE720D"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Minimum Rate</w:t>
            </w:r>
          </w:p>
        </w:tc>
        <w:tc>
          <w:tcPr>
            <w:tcW w:w="1100" w:type="dxa"/>
            <w:tcBorders>
              <w:top w:val="single" w:sz="4" w:space="0" w:color="auto"/>
              <w:left w:val="nil"/>
              <w:bottom w:val="single" w:sz="4" w:space="0" w:color="auto"/>
              <w:right w:val="single" w:sz="4" w:space="0" w:color="auto"/>
            </w:tcBorders>
            <w:shd w:val="clear" w:color="000000" w:fill="EDF2F9"/>
            <w:vAlign w:val="center"/>
            <w:hideMark/>
          </w:tcPr>
          <w:p w14:paraId="76FA3715"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Maximum Rate</w:t>
            </w:r>
          </w:p>
        </w:tc>
        <w:tc>
          <w:tcPr>
            <w:tcW w:w="1224" w:type="dxa"/>
            <w:tcBorders>
              <w:top w:val="single" w:sz="4" w:space="0" w:color="auto"/>
              <w:left w:val="nil"/>
              <w:bottom w:val="single" w:sz="4" w:space="0" w:color="auto"/>
              <w:right w:val="single" w:sz="4" w:space="0" w:color="auto"/>
            </w:tcBorders>
            <w:shd w:val="clear" w:color="000000" w:fill="EDF2F9"/>
            <w:vAlign w:val="center"/>
            <w:hideMark/>
          </w:tcPr>
          <w:p w14:paraId="78202313"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Lower Confidence Level</w:t>
            </w:r>
          </w:p>
        </w:tc>
        <w:tc>
          <w:tcPr>
            <w:tcW w:w="1224" w:type="dxa"/>
            <w:tcBorders>
              <w:top w:val="single" w:sz="4" w:space="0" w:color="auto"/>
              <w:left w:val="nil"/>
              <w:bottom w:val="single" w:sz="4" w:space="0" w:color="auto"/>
              <w:right w:val="single" w:sz="4" w:space="0" w:color="auto"/>
            </w:tcBorders>
            <w:shd w:val="clear" w:color="000000" w:fill="EDF2F9"/>
            <w:vAlign w:val="center"/>
            <w:hideMark/>
          </w:tcPr>
          <w:p w14:paraId="03EE9940"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Upper Confidence Level</w:t>
            </w:r>
          </w:p>
        </w:tc>
      </w:tr>
      <w:tr w:rsidR="00EA4ED3" w:rsidRPr="004A785B" w14:paraId="36B011CF" w14:textId="77777777" w:rsidTr="00EA4ED3">
        <w:trPr>
          <w:trHeight w:val="288"/>
          <w:tblHeader/>
          <w:jc w:val="center"/>
        </w:trPr>
        <w:tc>
          <w:tcPr>
            <w:tcW w:w="224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53DF79B" w14:textId="77777777" w:rsidR="00EA4ED3" w:rsidRPr="004A785B" w:rsidRDefault="00EA4ED3" w:rsidP="00EA4ED3">
            <w:pPr>
              <w:jc w:val="center"/>
              <w:rPr>
                <w:rFonts w:asciiTheme="minorHAnsi" w:hAnsiTheme="minorHAnsi" w:cs="Arial"/>
                <w:b/>
                <w:color w:val="000000"/>
                <w:sz w:val="20"/>
                <w:szCs w:val="20"/>
              </w:rPr>
            </w:pPr>
            <w:r w:rsidRPr="004A785B">
              <w:rPr>
                <w:rFonts w:asciiTheme="minorHAnsi" w:hAnsiTheme="minorHAnsi" w:cs="Arial"/>
                <w:b/>
                <w:color w:val="000000"/>
                <w:sz w:val="20"/>
                <w:szCs w:val="20"/>
              </w:rPr>
              <w:t>Dual</w:t>
            </w:r>
          </w:p>
        </w:tc>
        <w:tc>
          <w:tcPr>
            <w:tcW w:w="1463" w:type="dxa"/>
            <w:tcBorders>
              <w:top w:val="nil"/>
              <w:left w:val="nil"/>
              <w:bottom w:val="single" w:sz="4" w:space="0" w:color="auto"/>
              <w:right w:val="single" w:sz="4" w:space="0" w:color="auto"/>
            </w:tcBorders>
            <w:shd w:val="clear" w:color="000000" w:fill="FFFFFF"/>
            <w:vAlign w:val="center"/>
            <w:hideMark/>
          </w:tcPr>
          <w:p w14:paraId="5550C6C1"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Primary Care</w:t>
            </w:r>
          </w:p>
        </w:tc>
        <w:tc>
          <w:tcPr>
            <w:tcW w:w="1074" w:type="dxa"/>
            <w:tcBorders>
              <w:top w:val="nil"/>
              <w:left w:val="nil"/>
              <w:bottom w:val="single" w:sz="4" w:space="0" w:color="auto"/>
              <w:right w:val="single" w:sz="4" w:space="0" w:color="auto"/>
            </w:tcBorders>
            <w:shd w:val="clear" w:color="000000" w:fill="FFFFFF"/>
            <w:hideMark/>
          </w:tcPr>
          <w:p w14:paraId="16E5C4F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5.0 </w:t>
            </w:r>
          </w:p>
        </w:tc>
        <w:tc>
          <w:tcPr>
            <w:tcW w:w="1030" w:type="dxa"/>
            <w:tcBorders>
              <w:top w:val="nil"/>
              <w:left w:val="nil"/>
              <w:bottom w:val="single" w:sz="4" w:space="0" w:color="auto"/>
              <w:right w:val="single" w:sz="4" w:space="0" w:color="auto"/>
            </w:tcBorders>
            <w:shd w:val="clear" w:color="000000" w:fill="FFFFFF"/>
            <w:hideMark/>
          </w:tcPr>
          <w:p w14:paraId="07C1EBF6"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0.7 </w:t>
            </w:r>
          </w:p>
        </w:tc>
        <w:tc>
          <w:tcPr>
            <w:tcW w:w="1100" w:type="dxa"/>
            <w:tcBorders>
              <w:top w:val="nil"/>
              <w:left w:val="nil"/>
              <w:bottom w:val="single" w:sz="4" w:space="0" w:color="auto"/>
              <w:right w:val="single" w:sz="4" w:space="0" w:color="auto"/>
            </w:tcBorders>
            <w:shd w:val="clear" w:color="000000" w:fill="FFFFFF"/>
            <w:hideMark/>
          </w:tcPr>
          <w:p w14:paraId="3585E0A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11.8 </w:t>
            </w:r>
          </w:p>
        </w:tc>
        <w:tc>
          <w:tcPr>
            <w:tcW w:w="1224" w:type="dxa"/>
            <w:tcBorders>
              <w:top w:val="nil"/>
              <w:left w:val="nil"/>
              <w:bottom w:val="single" w:sz="4" w:space="0" w:color="auto"/>
              <w:right w:val="single" w:sz="4" w:space="0" w:color="auto"/>
            </w:tcBorders>
            <w:shd w:val="clear" w:color="000000" w:fill="FFFFFF"/>
            <w:hideMark/>
          </w:tcPr>
          <w:p w14:paraId="6C077D6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4.1 </w:t>
            </w:r>
          </w:p>
        </w:tc>
        <w:tc>
          <w:tcPr>
            <w:tcW w:w="1224" w:type="dxa"/>
            <w:tcBorders>
              <w:top w:val="nil"/>
              <w:left w:val="nil"/>
              <w:bottom w:val="single" w:sz="4" w:space="0" w:color="auto"/>
              <w:right w:val="single" w:sz="4" w:space="0" w:color="auto"/>
            </w:tcBorders>
            <w:shd w:val="clear" w:color="000000" w:fill="FFFFFF"/>
            <w:hideMark/>
          </w:tcPr>
          <w:p w14:paraId="76625DA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6.0 </w:t>
            </w:r>
          </w:p>
        </w:tc>
      </w:tr>
      <w:tr w:rsidR="00EA4ED3" w:rsidRPr="004A785B" w14:paraId="79ED42C1"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1BA7FDF4" w14:textId="77777777" w:rsidR="00EA4ED3" w:rsidRPr="004A785B" w:rsidRDefault="00EA4ED3" w:rsidP="00EA4ED3">
            <w:pPr>
              <w:jc w:val="center"/>
              <w:rPr>
                <w:rFonts w:asciiTheme="minorHAnsi" w:hAnsiTheme="minorHAnsi" w:cs="Arial"/>
                <w:b/>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16C6459F"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Behavioral Care</w:t>
            </w:r>
          </w:p>
        </w:tc>
        <w:tc>
          <w:tcPr>
            <w:tcW w:w="1074" w:type="dxa"/>
            <w:tcBorders>
              <w:top w:val="nil"/>
              <w:left w:val="nil"/>
              <w:bottom w:val="single" w:sz="4" w:space="0" w:color="auto"/>
              <w:right w:val="single" w:sz="4" w:space="0" w:color="auto"/>
            </w:tcBorders>
            <w:shd w:val="clear" w:color="000000" w:fill="FFFFFF"/>
            <w:hideMark/>
          </w:tcPr>
          <w:p w14:paraId="4F699F4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030" w:type="dxa"/>
            <w:tcBorders>
              <w:top w:val="nil"/>
              <w:left w:val="nil"/>
              <w:bottom w:val="single" w:sz="4" w:space="0" w:color="auto"/>
              <w:right w:val="single" w:sz="4" w:space="0" w:color="auto"/>
            </w:tcBorders>
            <w:shd w:val="clear" w:color="000000" w:fill="FFFFFF"/>
            <w:hideMark/>
          </w:tcPr>
          <w:p w14:paraId="221061A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0.0 </w:t>
            </w:r>
          </w:p>
        </w:tc>
        <w:tc>
          <w:tcPr>
            <w:tcW w:w="1100" w:type="dxa"/>
            <w:tcBorders>
              <w:top w:val="nil"/>
              <w:left w:val="nil"/>
              <w:bottom w:val="single" w:sz="4" w:space="0" w:color="auto"/>
              <w:right w:val="single" w:sz="4" w:space="0" w:color="auto"/>
            </w:tcBorders>
            <w:shd w:val="clear" w:color="000000" w:fill="FFFFFF"/>
            <w:hideMark/>
          </w:tcPr>
          <w:p w14:paraId="697FFF7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0.2 </w:t>
            </w:r>
          </w:p>
        </w:tc>
        <w:tc>
          <w:tcPr>
            <w:tcW w:w="1224" w:type="dxa"/>
            <w:tcBorders>
              <w:top w:val="nil"/>
              <w:left w:val="nil"/>
              <w:bottom w:val="single" w:sz="4" w:space="0" w:color="auto"/>
              <w:right w:val="single" w:sz="4" w:space="0" w:color="auto"/>
            </w:tcBorders>
            <w:shd w:val="clear" w:color="000000" w:fill="FFFFFF"/>
            <w:hideMark/>
          </w:tcPr>
          <w:p w14:paraId="6E794FD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224" w:type="dxa"/>
            <w:tcBorders>
              <w:top w:val="nil"/>
              <w:left w:val="nil"/>
              <w:bottom w:val="single" w:sz="4" w:space="0" w:color="auto"/>
              <w:right w:val="single" w:sz="4" w:space="0" w:color="auto"/>
            </w:tcBorders>
            <w:shd w:val="clear" w:color="000000" w:fill="FFFFFF"/>
            <w:hideMark/>
          </w:tcPr>
          <w:p w14:paraId="3EF9382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r>
      <w:tr w:rsidR="00EA4ED3" w:rsidRPr="004A785B" w14:paraId="374B87F8"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1E26E498" w14:textId="77777777" w:rsidR="00EA4ED3" w:rsidRPr="004A785B" w:rsidRDefault="00EA4ED3" w:rsidP="00EA4ED3">
            <w:pPr>
              <w:jc w:val="center"/>
              <w:rPr>
                <w:rFonts w:asciiTheme="minorHAnsi" w:hAnsiTheme="minorHAnsi" w:cs="Arial"/>
                <w:b/>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551C6612"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Home Health</w:t>
            </w:r>
          </w:p>
        </w:tc>
        <w:tc>
          <w:tcPr>
            <w:tcW w:w="1074" w:type="dxa"/>
            <w:tcBorders>
              <w:top w:val="nil"/>
              <w:left w:val="nil"/>
              <w:bottom w:val="single" w:sz="4" w:space="0" w:color="auto"/>
              <w:right w:val="single" w:sz="4" w:space="0" w:color="auto"/>
            </w:tcBorders>
            <w:shd w:val="clear" w:color="000000" w:fill="FFFFFF"/>
            <w:hideMark/>
          </w:tcPr>
          <w:p w14:paraId="3D84ABF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0.0 </w:t>
            </w:r>
          </w:p>
        </w:tc>
        <w:tc>
          <w:tcPr>
            <w:tcW w:w="1030" w:type="dxa"/>
            <w:tcBorders>
              <w:top w:val="nil"/>
              <w:left w:val="nil"/>
              <w:bottom w:val="single" w:sz="4" w:space="0" w:color="auto"/>
              <w:right w:val="single" w:sz="4" w:space="0" w:color="auto"/>
            </w:tcBorders>
            <w:shd w:val="clear" w:color="000000" w:fill="FFFFFF"/>
            <w:hideMark/>
          </w:tcPr>
          <w:p w14:paraId="25C6CE8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0.0 </w:t>
            </w:r>
          </w:p>
        </w:tc>
        <w:tc>
          <w:tcPr>
            <w:tcW w:w="1100" w:type="dxa"/>
            <w:tcBorders>
              <w:top w:val="nil"/>
              <w:left w:val="nil"/>
              <w:bottom w:val="single" w:sz="4" w:space="0" w:color="auto"/>
              <w:right w:val="single" w:sz="4" w:space="0" w:color="auto"/>
            </w:tcBorders>
            <w:shd w:val="clear" w:color="000000" w:fill="FFFFFF"/>
            <w:hideMark/>
          </w:tcPr>
          <w:p w14:paraId="56ED945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224" w:type="dxa"/>
            <w:tcBorders>
              <w:top w:val="nil"/>
              <w:left w:val="nil"/>
              <w:bottom w:val="single" w:sz="4" w:space="0" w:color="auto"/>
              <w:right w:val="single" w:sz="4" w:space="0" w:color="auto"/>
            </w:tcBorders>
            <w:shd w:val="clear" w:color="000000" w:fill="FFFFFF"/>
            <w:hideMark/>
          </w:tcPr>
          <w:p w14:paraId="7360A72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0.0 </w:t>
            </w:r>
          </w:p>
        </w:tc>
        <w:tc>
          <w:tcPr>
            <w:tcW w:w="1224" w:type="dxa"/>
            <w:tcBorders>
              <w:top w:val="nil"/>
              <w:left w:val="nil"/>
              <w:bottom w:val="single" w:sz="4" w:space="0" w:color="auto"/>
              <w:right w:val="single" w:sz="4" w:space="0" w:color="auto"/>
            </w:tcBorders>
            <w:shd w:val="clear" w:color="000000" w:fill="FFFFFF"/>
            <w:hideMark/>
          </w:tcPr>
          <w:p w14:paraId="5DF9129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r>
      <w:tr w:rsidR="00EA4ED3" w:rsidRPr="004A785B" w14:paraId="486269F2"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67AC0FC1" w14:textId="77777777" w:rsidR="00EA4ED3" w:rsidRPr="004A785B" w:rsidRDefault="00EA4ED3" w:rsidP="00EA4ED3">
            <w:pPr>
              <w:jc w:val="center"/>
              <w:rPr>
                <w:rFonts w:asciiTheme="minorHAnsi" w:hAnsiTheme="minorHAnsi" w:cs="Arial"/>
                <w:b/>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4EE55713"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Specialty Care</w:t>
            </w:r>
          </w:p>
        </w:tc>
        <w:tc>
          <w:tcPr>
            <w:tcW w:w="1074" w:type="dxa"/>
            <w:tcBorders>
              <w:top w:val="nil"/>
              <w:left w:val="nil"/>
              <w:bottom w:val="single" w:sz="4" w:space="0" w:color="auto"/>
              <w:right w:val="single" w:sz="4" w:space="0" w:color="auto"/>
            </w:tcBorders>
            <w:shd w:val="clear" w:color="000000" w:fill="FFFFFF"/>
            <w:hideMark/>
          </w:tcPr>
          <w:p w14:paraId="4F4A465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4.8 </w:t>
            </w:r>
          </w:p>
        </w:tc>
        <w:tc>
          <w:tcPr>
            <w:tcW w:w="1030" w:type="dxa"/>
            <w:tcBorders>
              <w:top w:val="nil"/>
              <w:left w:val="nil"/>
              <w:bottom w:val="single" w:sz="4" w:space="0" w:color="auto"/>
              <w:right w:val="single" w:sz="4" w:space="0" w:color="auto"/>
            </w:tcBorders>
            <w:shd w:val="clear" w:color="000000" w:fill="FFFFFF"/>
            <w:hideMark/>
          </w:tcPr>
          <w:p w14:paraId="6F78B07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0.6 </w:t>
            </w:r>
          </w:p>
        </w:tc>
        <w:tc>
          <w:tcPr>
            <w:tcW w:w="1100" w:type="dxa"/>
            <w:tcBorders>
              <w:top w:val="nil"/>
              <w:left w:val="nil"/>
              <w:bottom w:val="single" w:sz="4" w:space="0" w:color="auto"/>
              <w:right w:val="single" w:sz="4" w:space="0" w:color="auto"/>
            </w:tcBorders>
            <w:shd w:val="clear" w:color="000000" w:fill="FFFFFF"/>
            <w:hideMark/>
          </w:tcPr>
          <w:p w14:paraId="0417E9E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12.4 </w:t>
            </w:r>
          </w:p>
        </w:tc>
        <w:tc>
          <w:tcPr>
            <w:tcW w:w="1224" w:type="dxa"/>
            <w:tcBorders>
              <w:top w:val="nil"/>
              <w:left w:val="nil"/>
              <w:bottom w:val="single" w:sz="4" w:space="0" w:color="auto"/>
              <w:right w:val="single" w:sz="4" w:space="0" w:color="auto"/>
            </w:tcBorders>
            <w:shd w:val="clear" w:color="000000" w:fill="FFFFFF"/>
            <w:hideMark/>
          </w:tcPr>
          <w:p w14:paraId="24742C6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3.8 </w:t>
            </w:r>
          </w:p>
        </w:tc>
        <w:tc>
          <w:tcPr>
            <w:tcW w:w="1224" w:type="dxa"/>
            <w:tcBorders>
              <w:top w:val="nil"/>
              <w:left w:val="nil"/>
              <w:bottom w:val="single" w:sz="4" w:space="0" w:color="auto"/>
              <w:right w:val="single" w:sz="4" w:space="0" w:color="auto"/>
            </w:tcBorders>
            <w:shd w:val="clear" w:color="000000" w:fill="FFFFFF"/>
            <w:hideMark/>
          </w:tcPr>
          <w:p w14:paraId="17D7AF0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5.8 </w:t>
            </w:r>
          </w:p>
        </w:tc>
      </w:tr>
      <w:tr w:rsidR="00EA4ED3" w:rsidRPr="004A785B" w14:paraId="739726FC" w14:textId="77777777" w:rsidTr="00EA4ED3">
        <w:trPr>
          <w:trHeight w:val="288"/>
          <w:tblHeader/>
          <w:jc w:val="center"/>
        </w:trPr>
        <w:tc>
          <w:tcPr>
            <w:tcW w:w="224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8750EB" w14:textId="77777777" w:rsidR="00EA4ED3" w:rsidRPr="004A785B" w:rsidRDefault="00EA4ED3" w:rsidP="00EA4ED3">
            <w:pPr>
              <w:jc w:val="center"/>
              <w:rPr>
                <w:rFonts w:asciiTheme="minorHAnsi" w:hAnsiTheme="minorHAnsi" w:cs="Arial"/>
                <w:b/>
                <w:color w:val="000000"/>
                <w:sz w:val="20"/>
                <w:szCs w:val="20"/>
              </w:rPr>
            </w:pPr>
            <w:r w:rsidRPr="004A785B">
              <w:rPr>
                <w:rFonts w:asciiTheme="minorHAnsi" w:hAnsiTheme="minorHAnsi" w:cs="Arial"/>
                <w:b/>
                <w:color w:val="000000"/>
                <w:sz w:val="20"/>
                <w:szCs w:val="20"/>
              </w:rPr>
              <w:t>Other</w:t>
            </w:r>
          </w:p>
        </w:tc>
        <w:tc>
          <w:tcPr>
            <w:tcW w:w="1463" w:type="dxa"/>
            <w:tcBorders>
              <w:top w:val="nil"/>
              <w:left w:val="nil"/>
              <w:bottom w:val="single" w:sz="4" w:space="0" w:color="auto"/>
              <w:right w:val="single" w:sz="4" w:space="0" w:color="auto"/>
            </w:tcBorders>
            <w:shd w:val="clear" w:color="000000" w:fill="FFFFFF"/>
            <w:vAlign w:val="center"/>
            <w:hideMark/>
          </w:tcPr>
          <w:p w14:paraId="1C37FF58"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Primary Care</w:t>
            </w:r>
          </w:p>
        </w:tc>
        <w:tc>
          <w:tcPr>
            <w:tcW w:w="1074" w:type="dxa"/>
            <w:tcBorders>
              <w:top w:val="nil"/>
              <w:left w:val="nil"/>
              <w:bottom w:val="single" w:sz="4" w:space="0" w:color="auto"/>
              <w:right w:val="single" w:sz="4" w:space="0" w:color="auto"/>
            </w:tcBorders>
            <w:shd w:val="clear" w:color="000000" w:fill="FFFFFF"/>
            <w:hideMark/>
          </w:tcPr>
          <w:p w14:paraId="2B4BA0C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277.4 </w:t>
            </w:r>
          </w:p>
        </w:tc>
        <w:tc>
          <w:tcPr>
            <w:tcW w:w="1030" w:type="dxa"/>
            <w:tcBorders>
              <w:top w:val="nil"/>
              <w:left w:val="nil"/>
              <w:bottom w:val="single" w:sz="4" w:space="0" w:color="auto"/>
              <w:right w:val="single" w:sz="4" w:space="0" w:color="auto"/>
            </w:tcBorders>
            <w:shd w:val="clear" w:color="000000" w:fill="FFFFFF"/>
            <w:hideMark/>
          </w:tcPr>
          <w:p w14:paraId="0F629EB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178.1 </w:t>
            </w:r>
          </w:p>
        </w:tc>
        <w:tc>
          <w:tcPr>
            <w:tcW w:w="1100" w:type="dxa"/>
            <w:tcBorders>
              <w:top w:val="nil"/>
              <w:left w:val="nil"/>
              <w:bottom w:val="single" w:sz="4" w:space="0" w:color="auto"/>
              <w:right w:val="single" w:sz="4" w:space="0" w:color="auto"/>
            </w:tcBorders>
            <w:shd w:val="clear" w:color="000000" w:fill="FFFFFF"/>
            <w:hideMark/>
          </w:tcPr>
          <w:p w14:paraId="556EEE4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395.9 </w:t>
            </w:r>
          </w:p>
        </w:tc>
        <w:tc>
          <w:tcPr>
            <w:tcW w:w="1224" w:type="dxa"/>
            <w:tcBorders>
              <w:top w:val="nil"/>
              <w:left w:val="nil"/>
              <w:bottom w:val="single" w:sz="4" w:space="0" w:color="auto"/>
              <w:right w:val="single" w:sz="4" w:space="0" w:color="auto"/>
            </w:tcBorders>
            <w:shd w:val="clear" w:color="000000" w:fill="FFFFFF"/>
            <w:hideMark/>
          </w:tcPr>
          <w:p w14:paraId="1BB8DF6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257.1 </w:t>
            </w:r>
          </w:p>
        </w:tc>
        <w:tc>
          <w:tcPr>
            <w:tcW w:w="1224" w:type="dxa"/>
            <w:tcBorders>
              <w:top w:val="nil"/>
              <w:left w:val="nil"/>
              <w:bottom w:val="single" w:sz="4" w:space="0" w:color="auto"/>
              <w:right w:val="single" w:sz="4" w:space="0" w:color="auto"/>
            </w:tcBorders>
            <w:shd w:val="clear" w:color="000000" w:fill="FFFFFF"/>
            <w:hideMark/>
          </w:tcPr>
          <w:p w14:paraId="1E60688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297.7 </w:t>
            </w:r>
          </w:p>
        </w:tc>
      </w:tr>
      <w:tr w:rsidR="00EA4ED3" w:rsidRPr="004A785B" w14:paraId="2CD4E4C4"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08BF7BE0" w14:textId="77777777" w:rsidR="00EA4ED3" w:rsidRPr="004A785B" w:rsidRDefault="00EA4ED3" w:rsidP="00EA4ED3">
            <w:pPr>
              <w:jc w:val="center"/>
              <w:rPr>
                <w:rFonts w:asciiTheme="minorHAnsi" w:hAnsiTheme="minorHAnsi" w:cs="Arial"/>
                <w:b/>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34FFEA43"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Behavioral Care</w:t>
            </w:r>
          </w:p>
        </w:tc>
        <w:tc>
          <w:tcPr>
            <w:tcW w:w="1074" w:type="dxa"/>
            <w:tcBorders>
              <w:top w:val="nil"/>
              <w:left w:val="nil"/>
              <w:bottom w:val="single" w:sz="4" w:space="0" w:color="auto"/>
              <w:right w:val="single" w:sz="4" w:space="0" w:color="auto"/>
            </w:tcBorders>
            <w:shd w:val="clear" w:color="000000" w:fill="FFFFFF"/>
            <w:hideMark/>
          </w:tcPr>
          <w:p w14:paraId="58CAD46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3.5 </w:t>
            </w:r>
          </w:p>
        </w:tc>
        <w:tc>
          <w:tcPr>
            <w:tcW w:w="1030" w:type="dxa"/>
            <w:tcBorders>
              <w:top w:val="nil"/>
              <w:left w:val="nil"/>
              <w:bottom w:val="single" w:sz="4" w:space="0" w:color="auto"/>
              <w:right w:val="single" w:sz="4" w:space="0" w:color="auto"/>
            </w:tcBorders>
            <w:shd w:val="clear" w:color="000000" w:fill="FFFFFF"/>
            <w:hideMark/>
          </w:tcPr>
          <w:p w14:paraId="7844030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2.1 </w:t>
            </w:r>
          </w:p>
        </w:tc>
        <w:tc>
          <w:tcPr>
            <w:tcW w:w="1100" w:type="dxa"/>
            <w:tcBorders>
              <w:top w:val="nil"/>
              <w:left w:val="nil"/>
              <w:bottom w:val="single" w:sz="4" w:space="0" w:color="auto"/>
              <w:right w:val="single" w:sz="4" w:space="0" w:color="auto"/>
            </w:tcBorders>
            <w:shd w:val="clear" w:color="000000" w:fill="FFFFFF"/>
            <w:hideMark/>
          </w:tcPr>
          <w:p w14:paraId="643534E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5.3 </w:t>
            </w:r>
          </w:p>
        </w:tc>
        <w:tc>
          <w:tcPr>
            <w:tcW w:w="1224" w:type="dxa"/>
            <w:tcBorders>
              <w:top w:val="nil"/>
              <w:left w:val="nil"/>
              <w:bottom w:val="single" w:sz="4" w:space="0" w:color="auto"/>
              <w:right w:val="single" w:sz="4" w:space="0" w:color="auto"/>
            </w:tcBorders>
            <w:shd w:val="clear" w:color="000000" w:fill="FFFFFF"/>
            <w:hideMark/>
          </w:tcPr>
          <w:p w14:paraId="683B6A71"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3.1 </w:t>
            </w:r>
          </w:p>
        </w:tc>
        <w:tc>
          <w:tcPr>
            <w:tcW w:w="1224" w:type="dxa"/>
            <w:tcBorders>
              <w:top w:val="nil"/>
              <w:left w:val="nil"/>
              <w:bottom w:val="single" w:sz="4" w:space="0" w:color="auto"/>
              <w:right w:val="single" w:sz="4" w:space="0" w:color="auto"/>
            </w:tcBorders>
            <w:shd w:val="clear" w:color="000000" w:fill="FFFFFF"/>
            <w:hideMark/>
          </w:tcPr>
          <w:p w14:paraId="4A6F59C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3.8 </w:t>
            </w:r>
          </w:p>
        </w:tc>
      </w:tr>
      <w:tr w:rsidR="00EA4ED3" w:rsidRPr="004A785B" w14:paraId="286C77F4"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7E58FE21" w14:textId="77777777" w:rsidR="00EA4ED3" w:rsidRPr="004A785B" w:rsidRDefault="00EA4ED3" w:rsidP="00EA4ED3">
            <w:pPr>
              <w:jc w:val="center"/>
              <w:rPr>
                <w:rFonts w:asciiTheme="minorHAnsi" w:hAnsiTheme="minorHAnsi" w:cs="Arial"/>
                <w:b/>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371A2A68"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Home Health</w:t>
            </w:r>
          </w:p>
        </w:tc>
        <w:tc>
          <w:tcPr>
            <w:tcW w:w="1074" w:type="dxa"/>
            <w:tcBorders>
              <w:top w:val="nil"/>
              <w:left w:val="nil"/>
              <w:bottom w:val="single" w:sz="4" w:space="0" w:color="auto"/>
              <w:right w:val="single" w:sz="4" w:space="0" w:color="auto"/>
            </w:tcBorders>
            <w:shd w:val="clear" w:color="000000" w:fill="FFFFFF"/>
            <w:hideMark/>
          </w:tcPr>
          <w:p w14:paraId="01D9995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1.3 </w:t>
            </w:r>
          </w:p>
        </w:tc>
        <w:tc>
          <w:tcPr>
            <w:tcW w:w="1030" w:type="dxa"/>
            <w:tcBorders>
              <w:top w:val="nil"/>
              <w:left w:val="nil"/>
              <w:bottom w:val="single" w:sz="4" w:space="0" w:color="auto"/>
              <w:right w:val="single" w:sz="4" w:space="0" w:color="auto"/>
            </w:tcBorders>
            <w:shd w:val="clear" w:color="000000" w:fill="FFFFFF"/>
            <w:hideMark/>
          </w:tcPr>
          <w:p w14:paraId="13DC9C5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0.6 </w:t>
            </w:r>
          </w:p>
        </w:tc>
        <w:tc>
          <w:tcPr>
            <w:tcW w:w="1100" w:type="dxa"/>
            <w:tcBorders>
              <w:top w:val="nil"/>
              <w:left w:val="nil"/>
              <w:bottom w:val="single" w:sz="4" w:space="0" w:color="auto"/>
              <w:right w:val="single" w:sz="4" w:space="0" w:color="auto"/>
            </w:tcBorders>
            <w:shd w:val="clear" w:color="000000" w:fill="FFFFFF"/>
            <w:hideMark/>
          </w:tcPr>
          <w:p w14:paraId="1166612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2.6 </w:t>
            </w:r>
          </w:p>
        </w:tc>
        <w:tc>
          <w:tcPr>
            <w:tcW w:w="1224" w:type="dxa"/>
            <w:tcBorders>
              <w:top w:val="nil"/>
              <w:left w:val="nil"/>
              <w:bottom w:val="single" w:sz="4" w:space="0" w:color="auto"/>
              <w:right w:val="single" w:sz="4" w:space="0" w:color="auto"/>
            </w:tcBorders>
            <w:shd w:val="clear" w:color="000000" w:fill="FFFFFF"/>
            <w:hideMark/>
          </w:tcPr>
          <w:p w14:paraId="1FA9810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1.0 </w:t>
            </w:r>
          </w:p>
        </w:tc>
        <w:tc>
          <w:tcPr>
            <w:tcW w:w="1224" w:type="dxa"/>
            <w:tcBorders>
              <w:top w:val="nil"/>
              <w:left w:val="nil"/>
              <w:bottom w:val="single" w:sz="4" w:space="0" w:color="auto"/>
              <w:right w:val="single" w:sz="4" w:space="0" w:color="auto"/>
            </w:tcBorders>
            <w:shd w:val="clear" w:color="000000" w:fill="FFFFFF"/>
            <w:hideMark/>
          </w:tcPr>
          <w:p w14:paraId="44C72F4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1.5 </w:t>
            </w:r>
          </w:p>
        </w:tc>
      </w:tr>
      <w:tr w:rsidR="00EA4ED3" w:rsidRPr="004A785B" w14:paraId="33F2D3A4"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64428CFA" w14:textId="77777777" w:rsidR="00EA4ED3" w:rsidRPr="004A785B" w:rsidRDefault="00EA4ED3" w:rsidP="00EA4ED3">
            <w:pPr>
              <w:jc w:val="center"/>
              <w:rPr>
                <w:rFonts w:asciiTheme="minorHAnsi" w:hAnsiTheme="minorHAnsi" w:cs="Arial"/>
                <w:b/>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68273BA5"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vertAlign w:val="superscript"/>
              </w:rPr>
              <w:t>†</w:t>
            </w:r>
            <w:r w:rsidRPr="004A785B">
              <w:rPr>
                <w:rFonts w:asciiTheme="minorHAnsi" w:hAnsiTheme="minorHAnsi"/>
                <w:color w:val="000000"/>
                <w:sz w:val="20"/>
                <w:szCs w:val="20"/>
              </w:rPr>
              <w:t>Pre-Post-natal</w:t>
            </w:r>
          </w:p>
        </w:tc>
        <w:tc>
          <w:tcPr>
            <w:tcW w:w="1074" w:type="dxa"/>
            <w:tcBorders>
              <w:top w:val="nil"/>
              <w:left w:val="nil"/>
              <w:bottom w:val="single" w:sz="4" w:space="0" w:color="auto"/>
              <w:right w:val="single" w:sz="4" w:space="0" w:color="auto"/>
            </w:tcBorders>
            <w:shd w:val="clear" w:color="000000" w:fill="FFFFFF"/>
          </w:tcPr>
          <w:p w14:paraId="4428073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171.9 </w:t>
            </w:r>
          </w:p>
        </w:tc>
        <w:tc>
          <w:tcPr>
            <w:tcW w:w="1030" w:type="dxa"/>
            <w:tcBorders>
              <w:top w:val="nil"/>
              <w:left w:val="nil"/>
              <w:bottom w:val="single" w:sz="4" w:space="0" w:color="auto"/>
              <w:right w:val="single" w:sz="4" w:space="0" w:color="auto"/>
            </w:tcBorders>
            <w:shd w:val="clear" w:color="000000" w:fill="FFFFFF"/>
          </w:tcPr>
          <w:p w14:paraId="4EA91CB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56.3 </w:t>
            </w:r>
          </w:p>
        </w:tc>
        <w:tc>
          <w:tcPr>
            <w:tcW w:w="1100" w:type="dxa"/>
            <w:tcBorders>
              <w:top w:val="nil"/>
              <w:left w:val="nil"/>
              <w:bottom w:val="single" w:sz="4" w:space="0" w:color="auto"/>
              <w:right w:val="single" w:sz="4" w:space="0" w:color="auto"/>
            </w:tcBorders>
            <w:shd w:val="clear" w:color="000000" w:fill="FFFFFF"/>
          </w:tcPr>
          <w:p w14:paraId="48BECB7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395.9 </w:t>
            </w:r>
          </w:p>
        </w:tc>
        <w:tc>
          <w:tcPr>
            <w:tcW w:w="1224" w:type="dxa"/>
            <w:tcBorders>
              <w:top w:val="nil"/>
              <w:left w:val="nil"/>
              <w:bottom w:val="single" w:sz="4" w:space="0" w:color="auto"/>
              <w:right w:val="single" w:sz="4" w:space="0" w:color="auto"/>
            </w:tcBorders>
            <w:shd w:val="clear" w:color="000000" w:fill="FFFFFF"/>
          </w:tcPr>
          <w:p w14:paraId="5A90057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142.9 </w:t>
            </w:r>
          </w:p>
        </w:tc>
        <w:tc>
          <w:tcPr>
            <w:tcW w:w="1224" w:type="dxa"/>
            <w:tcBorders>
              <w:top w:val="nil"/>
              <w:left w:val="nil"/>
              <w:bottom w:val="single" w:sz="4" w:space="0" w:color="auto"/>
              <w:right w:val="single" w:sz="4" w:space="0" w:color="auto"/>
            </w:tcBorders>
            <w:shd w:val="clear" w:color="000000" w:fill="FFFFFF"/>
          </w:tcPr>
          <w:p w14:paraId="622EAEC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200.9 </w:t>
            </w:r>
          </w:p>
        </w:tc>
      </w:tr>
      <w:tr w:rsidR="00EA4ED3" w:rsidRPr="004A785B" w14:paraId="039417A4"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05AE16E5" w14:textId="77777777" w:rsidR="00EA4ED3" w:rsidRPr="004A785B" w:rsidRDefault="00EA4ED3" w:rsidP="00EA4ED3">
            <w:pPr>
              <w:jc w:val="center"/>
              <w:rPr>
                <w:rFonts w:asciiTheme="minorHAnsi" w:hAnsiTheme="minorHAnsi" w:cs="Arial"/>
                <w:b/>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02B0FA47"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Specialty Care</w:t>
            </w:r>
          </w:p>
        </w:tc>
        <w:tc>
          <w:tcPr>
            <w:tcW w:w="1074" w:type="dxa"/>
            <w:tcBorders>
              <w:top w:val="nil"/>
              <w:left w:val="nil"/>
              <w:bottom w:val="single" w:sz="4" w:space="0" w:color="auto"/>
              <w:right w:val="single" w:sz="4" w:space="0" w:color="auto"/>
            </w:tcBorders>
            <w:shd w:val="clear" w:color="000000" w:fill="FFFFFF"/>
            <w:hideMark/>
          </w:tcPr>
          <w:p w14:paraId="5A7E3A4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116.6 </w:t>
            </w:r>
          </w:p>
        </w:tc>
        <w:tc>
          <w:tcPr>
            <w:tcW w:w="1030" w:type="dxa"/>
            <w:tcBorders>
              <w:top w:val="nil"/>
              <w:left w:val="nil"/>
              <w:bottom w:val="single" w:sz="4" w:space="0" w:color="auto"/>
              <w:right w:val="single" w:sz="4" w:space="0" w:color="auto"/>
            </w:tcBorders>
            <w:shd w:val="clear" w:color="000000" w:fill="FFFFFF"/>
            <w:hideMark/>
          </w:tcPr>
          <w:p w14:paraId="378E906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83.1 </w:t>
            </w:r>
          </w:p>
        </w:tc>
        <w:tc>
          <w:tcPr>
            <w:tcW w:w="1100" w:type="dxa"/>
            <w:tcBorders>
              <w:top w:val="nil"/>
              <w:left w:val="nil"/>
              <w:bottom w:val="single" w:sz="4" w:space="0" w:color="auto"/>
              <w:right w:val="single" w:sz="4" w:space="0" w:color="auto"/>
            </w:tcBorders>
            <w:shd w:val="clear" w:color="000000" w:fill="FFFFFF"/>
            <w:hideMark/>
          </w:tcPr>
          <w:p w14:paraId="7345E13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162.4 </w:t>
            </w:r>
          </w:p>
        </w:tc>
        <w:tc>
          <w:tcPr>
            <w:tcW w:w="1224" w:type="dxa"/>
            <w:tcBorders>
              <w:top w:val="nil"/>
              <w:left w:val="nil"/>
              <w:bottom w:val="single" w:sz="4" w:space="0" w:color="auto"/>
              <w:right w:val="single" w:sz="4" w:space="0" w:color="auto"/>
            </w:tcBorders>
            <w:shd w:val="clear" w:color="000000" w:fill="FFFFFF"/>
            <w:hideMark/>
          </w:tcPr>
          <w:p w14:paraId="5ADE884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109.4 </w:t>
            </w:r>
          </w:p>
        </w:tc>
        <w:tc>
          <w:tcPr>
            <w:tcW w:w="1224" w:type="dxa"/>
            <w:tcBorders>
              <w:top w:val="nil"/>
              <w:left w:val="nil"/>
              <w:bottom w:val="single" w:sz="4" w:space="0" w:color="auto"/>
              <w:right w:val="single" w:sz="4" w:space="0" w:color="auto"/>
            </w:tcBorders>
            <w:shd w:val="clear" w:color="000000" w:fill="FFFFFF"/>
            <w:hideMark/>
          </w:tcPr>
          <w:p w14:paraId="261EB861"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123.8 </w:t>
            </w:r>
          </w:p>
        </w:tc>
      </w:tr>
      <w:tr w:rsidR="00EA4ED3" w:rsidRPr="004A785B" w14:paraId="326C35A1" w14:textId="77777777" w:rsidTr="00EA4ED3">
        <w:trPr>
          <w:trHeight w:val="288"/>
          <w:tblHeader/>
          <w:jc w:val="center"/>
        </w:trPr>
        <w:tc>
          <w:tcPr>
            <w:tcW w:w="224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35B9D1B" w14:textId="77777777" w:rsidR="00EA4ED3" w:rsidRPr="004A785B" w:rsidRDefault="00EA4ED3" w:rsidP="00EA4ED3">
            <w:pPr>
              <w:jc w:val="center"/>
              <w:rPr>
                <w:rFonts w:asciiTheme="minorHAnsi" w:hAnsiTheme="minorHAnsi" w:cs="Arial"/>
                <w:b/>
                <w:color w:val="000000"/>
                <w:sz w:val="20"/>
                <w:szCs w:val="20"/>
              </w:rPr>
            </w:pPr>
            <w:r w:rsidRPr="004A785B">
              <w:rPr>
                <w:rFonts w:asciiTheme="minorHAnsi" w:hAnsiTheme="minorHAnsi" w:cs="Arial"/>
                <w:b/>
                <w:color w:val="000000"/>
                <w:sz w:val="20"/>
                <w:szCs w:val="20"/>
              </w:rPr>
              <w:t>Seniors and Persons with Disabilities</w:t>
            </w:r>
          </w:p>
        </w:tc>
        <w:tc>
          <w:tcPr>
            <w:tcW w:w="1463" w:type="dxa"/>
            <w:tcBorders>
              <w:top w:val="nil"/>
              <w:left w:val="nil"/>
              <w:bottom w:val="single" w:sz="4" w:space="0" w:color="auto"/>
              <w:right w:val="single" w:sz="4" w:space="0" w:color="auto"/>
            </w:tcBorders>
            <w:shd w:val="clear" w:color="000000" w:fill="FFFFFF"/>
            <w:vAlign w:val="center"/>
            <w:hideMark/>
          </w:tcPr>
          <w:p w14:paraId="4CA70D4B"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Primary Care</w:t>
            </w:r>
          </w:p>
        </w:tc>
        <w:tc>
          <w:tcPr>
            <w:tcW w:w="1074" w:type="dxa"/>
            <w:tcBorders>
              <w:top w:val="nil"/>
              <w:left w:val="nil"/>
              <w:bottom w:val="single" w:sz="4" w:space="0" w:color="auto"/>
              <w:right w:val="single" w:sz="4" w:space="0" w:color="auto"/>
            </w:tcBorders>
            <w:shd w:val="clear" w:color="000000" w:fill="FFFFFF"/>
            <w:hideMark/>
          </w:tcPr>
          <w:p w14:paraId="3FB5D31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657.5 </w:t>
            </w:r>
          </w:p>
        </w:tc>
        <w:tc>
          <w:tcPr>
            <w:tcW w:w="1030" w:type="dxa"/>
            <w:tcBorders>
              <w:top w:val="nil"/>
              <w:left w:val="nil"/>
              <w:bottom w:val="single" w:sz="4" w:space="0" w:color="auto"/>
              <w:right w:val="single" w:sz="4" w:space="0" w:color="auto"/>
            </w:tcBorders>
            <w:shd w:val="clear" w:color="000000" w:fill="FFFFFF"/>
            <w:hideMark/>
          </w:tcPr>
          <w:p w14:paraId="3D6FA87E"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553.6 </w:t>
            </w:r>
          </w:p>
        </w:tc>
        <w:tc>
          <w:tcPr>
            <w:tcW w:w="1100" w:type="dxa"/>
            <w:tcBorders>
              <w:top w:val="nil"/>
              <w:left w:val="nil"/>
              <w:bottom w:val="single" w:sz="4" w:space="0" w:color="auto"/>
              <w:right w:val="single" w:sz="4" w:space="0" w:color="auto"/>
            </w:tcBorders>
            <w:shd w:val="clear" w:color="000000" w:fill="FFFFFF"/>
            <w:hideMark/>
          </w:tcPr>
          <w:p w14:paraId="7F9FB7C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746.8 </w:t>
            </w:r>
          </w:p>
        </w:tc>
        <w:tc>
          <w:tcPr>
            <w:tcW w:w="1224" w:type="dxa"/>
            <w:tcBorders>
              <w:top w:val="nil"/>
              <w:left w:val="nil"/>
              <w:bottom w:val="single" w:sz="4" w:space="0" w:color="auto"/>
              <w:right w:val="single" w:sz="4" w:space="0" w:color="auto"/>
            </w:tcBorders>
            <w:shd w:val="clear" w:color="000000" w:fill="FFFFFF"/>
            <w:hideMark/>
          </w:tcPr>
          <w:p w14:paraId="2D5A042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639.8 </w:t>
            </w:r>
          </w:p>
        </w:tc>
        <w:tc>
          <w:tcPr>
            <w:tcW w:w="1224" w:type="dxa"/>
            <w:tcBorders>
              <w:top w:val="nil"/>
              <w:left w:val="nil"/>
              <w:bottom w:val="single" w:sz="4" w:space="0" w:color="auto"/>
              <w:right w:val="single" w:sz="4" w:space="0" w:color="auto"/>
            </w:tcBorders>
            <w:shd w:val="clear" w:color="000000" w:fill="FFFFFF"/>
            <w:hideMark/>
          </w:tcPr>
          <w:p w14:paraId="715DB16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675.2 </w:t>
            </w:r>
          </w:p>
        </w:tc>
      </w:tr>
      <w:tr w:rsidR="00EA4ED3" w:rsidRPr="004A785B" w14:paraId="3ED3F6F1"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7C5240B8" w14:textId="77777777" w:rsidR="00EA4ED3" w:rsidRPr="004A785B" w:rsidRDefault="00EA4ED3" w:rsidP="00EA4ED3">
            <w:pPr>
              <w:jc w:val="center"/>
              <w:rPr>
                <w:rFonts w:asciiTheme="minorHAnsi" w:hAnsiTheme="minorHAnsi" w:cs="Arial"/>
                <w:b/>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7A89CDDF"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Behavioral Care</w:t>
            </w:r>
          </w:p>
        </w:tc>
        <w:tc>
          <w:tcPr>
            <w:tcW w:w="1074" w:type="dxa"/>
            <w:tcBorders>
              <w:top w:val="nil"/>
              <w:left w:val="nil"/>
              <w:bottom w:val="single" w:sz="4" w:space="0" w:color="auto"/>
              <w:right w:val="single" w:sz="4" w:space="0" w:color="auto"/>
            </w:tcBorders>
            <w:shd w:val="clear" w:color="000000" w:fill="FFFFFF"/>
            <w:hideMark/>
          </w:tcPr>
          <w:p w14:paraId="13ABEE1C"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11.6 </w:t>
            </w:r>
          </w:p>
        </w:tc>
        <w:tc>
          <w:tcPr>
            <w:tcW w:w="1030" w:type="dxa"/>
            <w:tcBorders>
              <w:top w:val="nil"/>
              <w:left w:val="nil"/>
              <w:bottom w:val="single" w:sz="4" w:space="0" w:color="auto"/>
              <w:right w:val="single" w:sz="4" w:space="0" w:color="auto"/>
            </w:tcBorders>
            <w:shd w:val="clear" w:color="000000" w:fill="FFFFFF"/>
            <w:hideMark/>
          </w:tcPr>
          <w:p w14:paraId="45DA52A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6.1 </w:t>
            </w:r>
          </w:p>
        </w:tc>
        <w:tc>
          <w:tcPr>
            <w:tcW w:w="1100" w:type="dxa"/>
            <w:tcBorders>
              <w:top w:val="nil"/>
              <w:left w:val="nil"/>
              <w:bottom w:val="single" w:sz="4" w:space="0" w:color="auto"/>
              <w:right w:val="single" w:sz="4" w:space="0" w:color="auto"/>
            </w:tcBorders>
            <w:shd w:val="clear" w:color="000000" w:fill="FFFFFF"/>
            <w:hideMark/>
          </w:tcPr>
          <w:p w14:paraId="63A1D07E"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14.6 </w:t>
            </w:r>
          </w:p>
        </w:tc>
        <w:tc>
          <w:tcPr>
            <w:tcW w:w="1224" w:type="dxa"/>
            <w:tcBorders>
              <w:top w:val="nil"/>
              <w:left w:val="nil"/>
              <w:bottom w:val="single" w:sz="4" w:space="0" w:color="auto"/>
              <w:right w:val="single" w:sz="4" w:space="0" w:color="auto"/>
            </w:tcBorders>
            <w:shd w:val="clear" w:color="000000" w:fill="FFFFFF"/>
            <w:hideMark/>
          </w:tcPr>
          <w:p w14:paraId="51C86D5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10.9 </w:t>
            </w:r>
          </w:p>
        </w:tc>
        <w:tc>
          <w:tcPr>
            <w:tcW w:w="1224" w:type="dxa"/>
            <w:tcBorders>
              <w:top w:val="nil"/>
              <w:left w:val="nil"/>
              <w:bottom w:val="single" w:sz="4" w:space="0" w:color="auto"/>
              <w:right w:val="single" w:sz="4" w:space="0" w:color="auto"/>
            </w:tcBorders>
            <w:shd w:val="clear" w:color="000000" w:fill="FFFFFF"/>
            <w:hideMark/>
          </w:tcPr>
          <w:p w14:paraId="11171D8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12.3 </w:t>
            </w:r>
          </w:p>
        </w:tc>
      </w:tr>
      <w:tr w:rsidR="00EA4ED3" w:rsidRPr="004A785B" w14:paraId="100ACA00"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64B558E9" w14:textId="77777777" w:rsidR="00EA4ED3" w:rsidRPr="004A785B" w:rsidRDefault="00EA4ED3" w:rsidP="00EA4ED3">
            <w:pPr>
              <w:jc w:val="center"/>
              <w:rPr>
                <w:rFonts w:asciiTheme="minorHAnsi" w:hAnsiTheme="minorHAnsi" w:cs="Arial"/>
                <w:b/>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1C20C8ED"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Home Health</w:t>
            </w:r>
          </w:p>
        </w:tc>
        <w:tc>
          <w:tcPr>
            <w:tcW w:w="1074" w:type="dxa"/>
            <w:tcBorders>
              <w:top w:val="nil"/>
              <w:left w:val="nil"/>
              <w:bottom w:val="single" w:sz="4" w:space="0" w:color="auto"/>
              <w:right w:val="single" w:sz="4" w:space="0" w:color="auto"/>
            </w:tcBorders>
            <w:shd w:val="clear" w:color="000000" w:fill="FFFFFF"/>
            <w:hideMark/>
          </w:tcPr>
          <w:p w14:paraId="30C8DD4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27.2 </w:t>
            </w:r>
          </w:p>
        </w:tc>
        <w:tc>
          <w:tcPr>
            <w:tcW w:w="1030" w:type="dxa"/>
            <w:tcBorders>
              <w:top w:val="nil"/>
              <w:left w:val="nil"/>
              <w:bottom w:val="single" w:sz="4" w:space="0" w:color="auto"/>
              <w:right w:val="single" w:sz="4" w:space="0" w:color="auto"/>
            </w:tcBorders>
            <w:shd w:val="clear" w:color="000000" w:fill="FFFFFF"/>
            <w:hideMark/>
          </w:tcPr>
          <w:p w14:paraId="24DCC016"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13.1 </w:t>
            </w:r>
          </w:p>
        </w:tc>
        <w:tc>
          <w:tcPr>
            <w:tcW w:w="1100" w:type="dxa"/>
            <w:tcBorders>
              <w:top w:val="nil"/>
              <w:left w:val="nil"/>
              <w:bottom w:val="single" w:sz="4" w:space="0" w:color="auto"/>
              <w:right w:val="single" w:sz="4" w:space="0" w:color="auto"/>
            </w:tcBorders>
            <w:shd w:val="clear" w:color="000000" w:fill="FFFFFF"/>
            <w:hideMark/>
          </w:tcPr>
          <w:p w14:paraId="43C1CBAE"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66.8 </w:t>
            </w:r>
          </w:p>
        </w:tc>
        <w:tc>
          <w:tcPr>
            <w:tcW w:w="1224" w:type="dxa"/>
            <w:tcBorders>
              <w:top w:val="nil"/>
              <w:left w:val="nil"/>
              <w:bottom w:val="single" w:sz="4" w:space="0" w:color="auto"/>
              <w:right w:val="single" w:sz="4" w:space="0" w:color="auto"/>
            </w:tcBorders>
            <w:shd w:val="clear" w:color="000000" w:fill="FFFFFF"/>
            <w:hideMark/>
          </w:tcPr>
          <w:p w14:paraId="7CAFBB2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21.1 </w:t>
            </w:r>
          </w:p>
        </w:tc>
        <w:tc>
          <w:tcPr>
            <w:tcW w:w="1224" w:type="dxa"/>
            <w:tcBorders>
              <w:top w:val="nil"/>
              <w:left w:val="nil"/>
              <w:bottom w:val="single" w:sz="4" w:space="0" w:color="auto"/>
              <w:right w:val="single" w:sz="4" w:space="0" w:color="auto"/>
            </w:tcBorders>
            <w:shd w:val="clear" w:color="000000" w:fill="FFFFFF"/>
            <w:hideMark/>
          </w:tcPr>
          <w:p w14:paraId="7CACE64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33.2 </w:t>
            </w:r>
          </w:p>
        </w:tc>
      </w:tr>
      <w:tr w:rsidR="00EA4ED3" w:rsidRPr="004A785B" w14:paraId="5B93855F"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08F408E4" w14:textId="77777777" w:rsidR="00EA4ED3" w:rsidRPr="004A785B" w:rsidRDefault="00EA4ED3" w:rsidP="00EA4ED3">
            <w:pPr>
              <w:jc w:val="center"/>
              <w:rPr>
                <w:rFonts w:asciiTheme="minorHAnsi" w:hAnsiTheme="minorHAnsi" w:cs="Arial"/>
                <w:b/>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1505D0B9"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Specialty Care</w:t>
            </w:r>
          </w:p>
        </w:tc>
        <w:tc>
          <w:tcPr>
            <w:tcW w:w="1074" w:type="dxa"/>
            <w:tcBorders>
              <w:top w:val="nil"/>
              <w:left w:val="nil"/>
              <w:bottom w:val="single" w:sz="4" w:space="0" w:color="auto"/>
              <w:right w:val="single" w:sz="4" w:space="0" w:color="auto"/>
            </w:tcBorders>
            <w:shd w:val="clear" w:color="000000" w:fill="FFFFFF"/>
            <w:hideMark/>
          </w:tcPr>
          <w:p w14:paraId="1B24FE0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496.0 </w:t>
            </w:r>
          </w:p>
        </w:tc>
        <w:tc>
          <w:tcPr>
            <w:tcW w:w="1030" w:type="dxa"/>
            <w:tcBorders>
              <w:top w:val="nil"/>
              <w:left w:val="nil"/>
              <w:bottom w:val="single" w:sz="4" w:space="0" w:color="auto"/>
              <w:right w:val="single" w:sz="4" w:space="0" w:color="auto"/>
            </w:tcBorders>
            <w:shd w:val="clear" w:color="000000" w:fill="FFFFFF"/>
            <w:hideMark/>
          </w:tcPr>
          <w:p w14:paraId="753254E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340.9 </w:t>
            </w:r>
          </w:p>
        </w:tc>
        <w:tc>
          <w:tcPr>
            <w:tcW w:w="1100" w:type="dxa"/>
            <w:tcBorders>
              <w:top w:val="nil"/>
              <w:left w:val="nil"/>
              <w:bottom w:val="single" w:sz="4" w:space="0" w:color="auto"/>
              <w:right w:val="single" w:sz="4" w:space="0" w:color="auto"/>
            </w:tcBorders>
            <w:shd w:val="clear" w:color="000000" w:fill="FFFFFF"/>
            <w:hideMark/>
          </w:tcPr>
          <w:p w14:paraId="26F0974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585.1 </w:t>
            </w:r>
          </w:p>
        </w:tc>
        <w:tc>
          <w:tcPr>
            <w:tcW w:w="1224" w:type="dxa"/>
            <w:tcBorders>
              <w:top w:val="nil"/>
              <w:left w:val="nil"/>
              <w:bottom w:val="single" w:sz="4" w:space="0" w:color="auto"/>
              <w:right w:val="single" w:sz="4" w:space="0" w:color="auto"/>
            </w:tcBorders>
            <w:shd w:val="clear" w:color="000000" w:fill="FFFFFF"/>
            <w:hideMark/>
          </w:tcPr>
          <w:p w14:paraId="76E986B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471.5 </w:t>
            </w:r>
          </w:p>
        </w:tc>
        <w:tc>
          <w:tcPr>
            <w:tcW w:w="1224" w:type="dxa"/>
            <w:tcBorders>
              <w:top w:val="nil"/>
              <w:left w:val="nil"/>
              <w:bottom w:val="single" w:sz="4" w:space="0" w:color="auto"/>
              <w:right w:val="single" w:sz="4" w:space="0" w:color="auto"/>
            </w:tcBorders>
            <w:shd w:val="clear" w:color="000000" w:fill="FFFFFF"/>
            <w:hideMark/>
          </w:tcPr>
          <w:p w14:paraId="77E3071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520.5 </w:t>
            </w:r>
          </w:p>
        </w:tc>
      </w:tr>
      <w:tr w:rsidR="00EA4ED3" w:rsidRPr="004A785B" w14:paraId="00C4BC91" w14:textId="77777777" w:rsidTr="00EA4ED3">
        <w:trPr>
          <w:trHeight w:val="288"/>
          <w:tblHeader/>
          <w:jc w:val="center"/>
        </w:trPr>
        <w:tc>
          <w:tcPr>
            <w:tcW w:w="224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5707822" w14:textId="77777777" w:rsidR="00EA4ED3" w:rsidRPr="004A785B" w:rsidRDefault="00EA4ED3" w:rsidP="00EA4ED3">
            <w:pPr>
              <w:jc w:val="center"/>
              <w:rPr>
                <w:rFonts w:asciiTheme="minorHAnsi" w:hAnsiTheme="minorHAnsi" w:cs="Arial"/>
                <w:b/>
                <w:color w:val="000000"/>
                <w:sz w:val="20"/>
                <w:szCs w:val="20"/>
              </w:rPr>
            </w:pPr>
            <w:r w:rsidRPr="004A785B">
              <w:rPr>
                <w:rFonts w:asciiTheme="minorHAnsi" w:hAnsiTheme="minorHAnsi" w:cs="Arial"/>
                <w:b/>
                <w:color w:val="000000"/>
                <w:sz w:val="20"/>
                <w:szCs w:val="20"/>
              </w:rPr>
              <w:t>Undocumented</w:t>
            </w:r>
          </w:p>
        </w:tc>
        <w:tc>
          <w:tcPr>
            <w:tcW w:w="1463" w:type="dxa"/>
            <w:tcBorders>
              <w:top w:val="nil"/>
              <w:left w:val="nil"/>
              <w:bottom w:val="single" w:sz="4" w:space="0" w:color="auto"/>
              <w:right w:val="single" w:sz="4" w:space="0" w:color="auto"/>
            </w:tcBorders>
            <w:shd w:val="clear" w:color="000000" w:fill="FFFFFF"/>
            <w:vAlign w:val="center"/>
            <w:hideMark/>
          </w:tcPr>
          <w:p w14:paraId="06BD9C67"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Primary Care</w:t>
            </w:r>
          </w:p>
        </w:tc>
        <w:tc>
          <w:tcPr>
            <w:tcW w:w="1074" w:type="dxa"/>
            <w:tcBorders>
              <w:top w:val="nil"/>
              <w:left w:val="nil"/>
              <w:bottom w:val="single" w:sz="4" w:space="0" w:color="auto"/>
              <w:right w:val="single" w:sz="4" w:space="0" w:color="auto"/>
            </w:tcBorders>
            <w:shd w:val="clear" w:color="000000" w:fill="FFFFFF"/>
            <w:hideMark/>
          </w:tcPr>
          <w:p w14:paraId="3325CC0C"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137.6 </w:t>
            </w:r>
          </w:p>
        </w:tc>
        <w:tc>
          <w:tcPr>
            <w:tcW w:w="1030" w:type="dxa"/>
            <w:tcBorders>
              <w:top w:val="nil"/>
              <w:left w:val="nil"/>
              <w:bottom w:val="single" w:sz="4" w:space="0" w:color="auto"/>
              <w:right w:val="single" w:sz="4" w:space="0" w:color="auto"/>
            </w:tcBorders>
            <w:shd w:val="clear" w:color="000000" w:fill="FFFFFF"/>
            <w:hideMark/>
          </w:tcPr>
          <w:p w14:paraId="4C11BDC7"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103.9 </w:t>
            </w:r>
          </w:p>
        </w:tc>
        <w:tc>
          <w:tcPr>
            <w:tcW w:w="1100" w:type="dxa"/>
            <w:tcBorders>
              <w:top w:val="nil"/>
              <w:left w:val="nil"/>
              <w:bottom w:val="single" w:sz="4" w:space="0" w:color="auto"/>
              <w:right w:val="single" w:sz="4" w:space="0" w:color="auto"/>
            </w:tcBorders>
            <w:shd w:val="clear" w:color="000000" w:fill="FFFFFF"/>
            <w:hideMark/>
          </w:tcPr>
          <w:p w14:paraId="5FAA57D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176.3 </w:t>
            </w:r>
          </w:p>
        </w:tc>
        <w:tc>
          <w:tcPr>
            <w:tcW w:w="1224" w:type="dxa"/>
            <w:tcBorders>
              <w:top w:val="nil"/>
              <w:left w:val="nil"/>
              <w:bottom w:val="single" w:sz="4" w:space="0" w:color="auto"/>
              <w:right w:val="single" w:sz="4" w:space="0" w:color="auto"/>
            </w:tcBorders>
            <w:shd w:val="clear" w:color="000000" w:fill="FFFFFF"/>
            <w:hideMark/>
          </w:tcPr>
          <w:p w14:paraId="24F8465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130.6 </w:t>
            </w:r>
          </w:p>
        </w:tc>
        <w:tc>
          <w:tcPr>
            <w:tcW w:w="1224" w:type="dxa"/>
            <w:tcBorders>
              <w:top w:val="nil"/>
              <w:left w:val="nil"/>
              <w:bottom w:val="single" w:sz="4" w:space="0" w:color="auto"/>
              <w:right w:val="single" w:sz="4" w:space="0" w:color="auto"/>
            </w:tcBorders>
            <w:shd w:val="clear" w:color="000000" w:fill="FFFFFF"/>
            <w:hideMark/>
          </w:tcPr>
          <w:p w14:paraId="63B062A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144.7 </w:t>
            </w:r>
          </w:p>
        </w:tc>
      </w:tr>
      <w:tr w:rsidR="00EA4ED3" w:rsidRPr="004A785B" w14:paraId="3F5949C5"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1682C6BE" w14:textId="77777777" w:rsidR="00EA4ED3" w:rsidRPr="004A785B" w:rsidRDefault="00EA4ED3" w:rsidP="00EA4ED3">
            <w:pPr>
              <w:rPr>
                <w:rFonts w:asciiTheme="minorHAnsi" w:hAnsiTheme="minorHAnsi" w:cs="Arial"/>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320F261E"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Behavioral Care</w:t>
            </w:r>
          </w:p>
        </w:tc>
        <w:tc>
          <w:tcPr>
            <w:tcW w:w="1074" w:type="dxa"/>
            <w:tcBorders>
              <w:top w:val="nil"/>
              <w:left w:val="nil"/>
              <w:bottom w:val="single" w:sz="4" w:space="0" w:color="auto"/>
              <w:right w:val="single" w:sz="4" w:space="0" w:color="auto"/>
            </w:tcBorders>
            <w:shd w:val="clear" w:color="000000" w:fill="FFFFFF"/>
            <w:hideMark/>
          </w:tcPr>
          <w:p w14:paraId="0A3609A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0.2 </w:t>
            </w:r>
          </w:p>
        </w:tc>
        <w:tc>
          <w:tcPr>
            <w:tcW w:w="1030" w:type="dxa"/>
            <w:tcBorders>
              <w:top w:val="nil"/>
              <w:left w:val="nil"/>
              <w:bottom w:val="single" w:sz="4" w:space="0" w:color="auto"/>
              <w:right w:val="single" w:sz="4" w:space="0" w:color="auto"/>
            </w:tcBorders>
            <w:shd w:val="clear" w:color="000000" w:fill="FFFFFF"/>
            <w:hideMark/>
          </w:tcPr>
          <w:p w14:paraId="561C349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100" w:type="dxa"/>
            <w:tcBorders>
              <w:top w:val="nil"/>
              <w:left w:val="nil"/>
              <w:bottom w:val="single" w:sz="4" w:space="0" w:color="auto"/>
              <w:right w:val="single" w:sz="4" w:space="0" w:color="auto"/>
            </w:tcBorders>
            <w:shd w:val="clear" w:color="000000" w:fill="FFFFFF"/>
            <w:hideMark/>
          </w:tcPr>
          <w:p w14:paraId="1319CDC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0.3 </w:t>
            </w:r>
          </w:p>
        </w:tc>
        <w:tc>
          <w:tcPr>
            <w:tcW w:w="1224" w:type="dxa"/>
            <w:tcBorders>
              <w:top w:val="nil"/>
              <w:left w:val="nil"/>
              <w:bottom w:val="single" w:sz="4" w:space="0" w:color="auto"/>
              <w:right w:val="single" w:sz="4" w:space="0" w:color="auto"/>
            </w:tcBorders>
            <w:shd w:val="clear" w:color="000000" w:fill="FFFFFF"/>
            <w:hideMark/>
          </w:tcPr>
          <w:p w14:paraId="5FF6EE8D"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224" w:type="dxa"/>
            <w:tcBorders>
              <w:top w:val="nil"/>
              <w:left w:val="nil"/>
              <w:bottom w:val="single" w:sz="4" w:space="0" w:color="auto"/>
              <w:right w:val="single" w:sz="4" w:space="0" w:color="auto"/>
            </w:tcBorders>
            <w:shd w:val="clear" w:color="000000" w:fill="FFFFFF"/>
            <w:hideMark/>
          </w:tcPr>
          <w:p w14:paraId="1F2A9315"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0.2 </w:t>
            </w:r>
          </w:p>
        </w:tc>
      </w:tr>
      <w:tr w:rsidR="00EA4ED3" w:rsidRPr="004A785B" w14:paraId="687B6910"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5F6FECCC" w14:textId="77777777" w:rsidR="00EA4ED3" w:rsidRPr="004A785B" w:rsidRDefault="00EA4ED3" w:rsidP="00EA4ED3">
            <w:pPr>
              <w:rPr>
                <w:rFonts w:asciiTheme="minorHAnsi" w:hAnsiTheme="minorHAnsi" w:cs="Arial"/>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63DC2CF7"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Home Health</w:t>
            </w:r>
          </w:p>
        </w:tc>
        <w:tc>
          <w:tcPr>
            <w:tcW w:w="1074" w:type="dxa"/>
            <w:tcBorders>
              <w:top w:val="nil"/>
              <w:left w:val="nil"/>
              <w:bottom w:val="single" w:sz="4" w:space="0" w:color="auto"/>
              <w:right w:val="single" w:sz="4" w:space="0" w:color="auto"/>
            </w:tcBorders>
            <w:shd w:val="clear" w:color="000000" w:fill="FFFFFF"/>
            <w:hideMark/>
          </w:tcPr>
          <w:p w14:paraId="10B5FE4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0.2 </w:t>
            </w:r>
          </w:p>
        </w:tc>
        <w:tc>
          <w:tcPr>
            <w:tcW w:w="1030" w:type="dxa"/>
            <w:tcBorders>
              <w:top w:val="nil"/>
              <w:left w:val="nil"/>
              <w:bottom w:val="single" w:sz="4" w:space="0" w:color="auto"/>
              <w:right w:val="single" w:sz="4" w:space="0" w:color="auto"/>
            </w:tcBorders>
            <w:shd w:val="clear" w:color="000000" w:fill="FFFFFF"/>
            <w:hideMark/>
          </w:tcPr>
          <w:p w14:paraId="30E90858"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100" w:type="dxa"/>
            <w:tcBorders>
              <w:top w:val="nil"/>
              <w:left w:val="nil"/>
              <w:bottom w:val="single" w:sz="4" w:space="0" w:color="auto"/>
              <w:right w:val="single" w:sz="4" w:space="0" w:color="auto"/>
            </w:tcBorders>
            <w:shd w:val="clear" w:color="000000" w:fill="FFFFFF"/>
            <w:hideMark/>
          </w:tcPr>
          <w:p w14:paraId="76F1D8EE"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0.3 </w:t>
            </w:r>
          </w:p>
        </w:tc>
        <w:tc>
          <w:tcPr>
            <w:tcW w:w="1224" w:type="dxa"/>
            <w:tcBorders>
              <w:top w:val="nil"/>
              <w:left w:val="nil"/>
              <w:bottom w:val="single" w:sz="4" w:space="0" w:color="auto"/>
              <w:right w:val="single" w:sz="4" w:space="0" w:color="auto"/>
            </w:tcBorders>
            <w:shd w:val="clear" w:color="000000" w:fill="FFFFFF"/>
            <w:hideMark/>
          </w:tcPr>
          <w:p w14:paraId="371C0ECF"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0.1 </w:t>
            </w:r>
          </w:p>
        </w:tc>
        <w:tc>
          <w:tcPr>
            <w:tcW w:w="1224" w:type="dxa"/>
            <w:tcBorders>
              <w:top w:val="nil"/>
              <w:left w:val="nil"/>
              <w:bottom w:val="single" w:sz="4" w:space="0" w:color="auto"/>
              <w:right w:val="single" w:sz="4" w:space="0" w:color="auto"/>
            </w:tcBorders>
            <w:shd w:val="clear" w:color="000000" w:fill="FFFFFF"/>
            <w:hideMark/>
          </w:tcPr>
          <w:p w14:paraId="4A70E7D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0.2 </w:t>
            </w:r>
          </w:p>
        </w:tc>
      </w:tr>
      <w:tr w:rsidR="00EA4ED3" w:rsidRPr="004A785B" w14:paraId="7A9556E2"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617A86F8" w14:textId="77777777" w:rsidR="00EA4ED3" w:rsidRPr="004A785B" w:rsidRDefault="00EA4ED3" w:rsidP="00EA4ED3">
            <w:pPr>
              <w:rPr>
                <w:rFonts w:asciiTheme="minorHAnsi" w:hAnsiTheme="minorHAnsi" w:cs="Arial"/>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3498B11C"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vertAlign w:val="superscript"/>
              </w:rPr>
              <w:t>†</w:t>
            </w:r>
            <w:r w:rsidRPr="004A785B">
              <w:rPr>
                <w:rFonts w:asciiTheme="minorHAnsi" w:hAnsiTheme="minorHAnsi"/>
                <w:color w:val="000000"/>
                <w:sz w:val="20"/>
                <w:szCs w:val="20"/>
              </w:rPr>
              <w:t>Pre-Post-natal</w:t>
            </w:r>
          </w:p>
        </w:tc>
        <w:tc>
          <w:tcPr>
            <w:tcW w:w="1074" w:type="dxa"/>
            <w:tcBorders>
              <w:top w:val="nil"/>
              <w:left w:val="nil"/>
              <w:bottom w:val="single" w:sz="4" w:space="0" w:color="auto"/>
              <w:right w:val="single" w:sz="4" w:space="0" w:color="auto"/>
            </w:tcBorders>
            <w:shd w:val="clear" w:color="000000" w:fill="FFFFFF"/>
          </w:tcPr>
          <w:p w14:paraId="60CF50E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424.9 </w:t>
            </w:r>
          </w:p>
        </w:tc>
        <w:tc>
          <w:tcPr>
            <w:tcW w:w="1030" w:type="dxa"/>
            <w:tcBorders>
              <w:top w:val="nil"/>
              <w:left w:val="nil"/>
              <w:bottom w:val="single" w:sz="4" w:space="0" w:color="auto"/>
              <w:right w:val="single" w:sz="4" w:space="0" w:color="auto"/>
            </w:tcBorders>
            <w:shd w:val="clear" w:color="000000" w:fill="FFFFFF"/>
          </w:tcPr>
          <w:p w14:paraId="0C6027B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227.6 </w:t>
            </w:r>
          </w:p>
        </w:tc>
        <w:tc>
          <w:tcPr>
            <w:tcW w:w="1100" w:type="dxa"/>
            <w:tcBorders>
              <w:top w:val="nil"/>
              <w:left w:val="nil"/>
              <w:bottom w:val="single" w:sz="4" w:space="0" w:color="auto"/>
              <w:right w:val="single" w:sz="4" w:space="0" w:color="auto"/>
            </w:tcBorders>
            <w:shd w:val="clear" w:color="000000" w:fill="FFFFFF"/>
          </w:tcPr>
          <w:p w14:paraId="5FE0FB09"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676.3 </w:t>
            </w:r>
          </w:p>
        </w:tc>
        <w:tc>
          <w:tcPr>
            <w:tcW w:w="1224" w:type="dxa"/>
            <w:tcBorders>
              <w:top w:val="nil"/>
              <w:left w:val="nil"/>
              <w:bottom w:val="single" w:sz="4" w:space="0" w:color="auto"/>
              <w:right w:val="single" w:sz="4" w:space="0" w:color="auto"/>
            </w:tcBorders>
            <w:shd w:val="clear" w:color="000000" w:fill="FFFFFF"/>
          </w:tcPr>
          <w:p w14:paraId="550B7AC2"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377.5 </w:t>
            </w:r>
          </w:p>
        </w:tc>
        <w:tc>
          <w:tcPr>
            <w:tcW w:w="1224" w:type="dxa"/>
            <w:tcBorders>
              <w:top w:val="nil"/>
              <w:left w:val="nil"/>
              <w:bottom w:val="single" w:sz="4" w:space="0" w:color="auto"/>
              <w:right w:val="single" w:sz="4" w:space="0" w:color="auto"/>
            </w:tcBorders>
            <w:shd w:val="clear" w:color="000000" w:fill="FFFFFF"/>
          </w:tcPr>
          <w:p w14:paraId="3471534C"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472.3 </w:t>
            </w:r>
          </w:p>
        </w:tc>
      </w:tr>
      <w:tr w:rsidR="00EA4ED3" w:rsidRPr="004A785B" w14:paraId="2D213F7F" w14:textId="77777777" w:rsidTr="00EA4ED3">
        <w:trPr>
          <w:trHeight w:val="288"/>
          <w:tblHeader/>
          <w:jc w:val="center"/>
        </w:trPr>
        <w:tc>
          <w:tcPr>
            <w:tcW w:w="2245" w:type="dxa"/>
            <w:vMerge/>
            <w:tcBorders>
              <w:top w:val="nil"/>
              <w:left w:val="single" w:sz="4" w:space="0" w:color="auto"/>
              <w:bottom w:val="single" w:sz="4" w:space="0" w:color="auto"/>
              <w:right w:val="single" w:sz="4" w:space="0" w:color="auto"/>
            </w:tcBorders>
            <w:vAlign w:val="center"/>
            <w:hideMark/>
          </w:tcPr>
          <w:p w14:paraId="4E3318DB" w14:textId="77777777" w:rsidR="00EA4ED3" w:rsidRPr="004A785B" w:rsidRDefault="00EA4ED3" w:rsidP="00EA4ED3">
            <w:pPr>
              <w:rPr>
                <w:rFonts w:asciiTheme="minorHAnsi" w:hAnsiTheme="minorHAnsi" w:cs="Arial"/>
                <w:color w:val="000000"/>
                <w:sz w:val="20"/>
                <w:szCs w:val="20"/>
              </w:rPr>
            </w:pPr>
          </w:p>
        </w:tc>
        <w:tc>
          <w:tcPr>
            <w:tcW w:w="1463" w:type="dxa"/>
            <w:tcBorders>
              <w:top w:val="nil"/>
              <w:left w:val="nil"/>
              <w:bottom w:val="single" w:sz="4" w:space="0" w:color="auto"/>
              <w:right w:val="single" w:sz="4" w:space="0" w:color="auto"/>
            </w:tcBorders>
            <w:shd w:val="clear" w:color="000000" w:fill="FFFFFF"/>
            <w:vAlign w:val="center"/>
            <w:hideMark/>
          </w:tcPr>
          <w:p w14:paraId="194D7409" w14:textId="77777777" w:rsidR="00EA4ED3" w:rsidRPr="004A785B" w:rsidRDefault="00EA4ED3" w:rsidP="00EA4ED3">
            <w:pPr>
              <w:rPr>
                <w:rFonts w:asciiTheme="minorHAnsi" w:hAnsiTheme="minorHAnsi"/>
                <w:color w:val="000000"/>
                <w:sz w:val="20"/>
                <w:szCs w:val="20"/>
              </w:rPr>
            </w:pPr>
            <w:r w:rsidRPr="004A785B">
              <w:rPr>
                <w:rFonts w:asciiTheme="minorHAnsi" w:hAnsiTheme="minorHAnsi"/>
                <w:color w:val="000000"/>
                <w:sz w:val="20"/>
                <w:szCs w:val="20"/>
              </w:rPr>
              <w:t>Specialty Care</w:t>
            </w:r>
          </w:p>
        </w:tc>
        <w:tc>
          <w:tcPr>
            <w:tcW w:w="1074" w:type="dxa"/>
            <w:tcBorders>
              <w:top w:val="nil"/>
              <w:left w:val="nil"/>
              <w:bottom w:val="single" w:sz="4" w:space="0" w:color="auto"/>
              <w:right w:val="single" w:sz="4" w:space="0" w:color="auto"/>
            </w:tcBorders>
            <w:shd w:val="clear" w:color="000000" w:fill="FFFFFF"/>
            <w:hideMark/>
          </w:tcPr>
          <w:p w14:paraId="4B693504"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41.8 </w:t>
            </w:r>
          </w:p>
        </w:tc>
        <w:tc>
          <w:tcPr>
            <w:tcW w:w="1030" w:type="dxa"/>
            <w:tcBorders>
              <w:top w:val="nil"/>
              <w:left w:val="nil"/>
              <w:bottom w:val="single" w:sz="4" w:space="0" w:color="auto"/>
              <w:right w:val="single" w:sz="4" w:space="0" w:color="auto"/>
            </w:tcBorders>
            <w:shd w:val="clear" w:color="000000" w:fill="FFFFFF"/>
            <w:hideMark/>
          </w:tcPr>
          <w:p w14:paraId="1E23B9B0"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30.0 </w:t>
            </w:r>
          </w:p>
        </w:tc>
        <w:tc>
          <w:tcPr>
            <w:tcW w:w="1100" w:type="dxa"/>
            <w:tcBorders>
              <w:top w:val="nil"/>
              <w:left w:val="nil"/>
              <w:bottom w:val="single" w:sz="4" w:space="0" w:color="auto"/>
              <w:right w:val="single" w:sz="4" w:space="0" w:color="auto"/>
            </w:tcBorders>
            <w:shd w:val="clear" w:color="000000" w:fill="FFFFFF"/>
            <w:hideMark/>
          </w:tcPr>
          <w:p w14:paraId="5B97699B"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52.8 </w:t>
            </w:r>
          </w:p>
        </w:tc>
        <w:tc>
          <w:tcPr>
            <w:tcW w:w="1224" w:type="dxa"/>
            <w:tcBorders>
              <w:top w:val="nil"/>
              <w:left w:val="nil"/>
              <w:bottom w:val="single" w:sz="4" w:space="0" w:color="auto"/>
              <w:right w:val="single" w:sz="4" w:space="0" w:color="auto"/>
            </w:tcBorders>
            <w:shd w:val="clear" w:color="000000" w:fill="FFFFFF"/>
            <w:hideMark/>
          </w:tcPr>
          <w:p w14:paraId="5ABB42E3"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39.8 </w:t>
            </w:r>
          </w:p>
        </w:tc>
        <w:tc>
          <w:tcPr>
            <w:tcW w:w="1224" w:type="dxa"/>
            <w:tcBorders>
              <w:top w:val="nil"/>
              <w:left w:val="nil"/>
              <w:bottom w:val="single" w:sz="4" w:space="0" w:color="auto"/>
              <w:right w:val="single" w:sz="4" w:space="0" w:color="auto"/>
            </w:tcBorders>
            <w:shd w:val="clear" w:color="000000" w:fill="FFFFFF"/>
            <w:hideMark/>
          </w:tcPr>
          <w:p w14:paraId="5D01E7AA" w14:textId="77777777" w:rsidR="00EA4ED3" w:rsidRPr="004A785B" w:rsidRDefault="00EA4ED3" w:rsidP="00EA4ED3">
            <w:pPr>
              <w:jc w:val="right"/>
              <w:rPr>
                <w:rFonts w:asciiTheme="minorHAnsi" w:hAnsiTheme="minorHAnsi" w:cs="Arial"/>
                <w:color w:val="000000"/>
                <w:sz w:val="20"/>
                <w:szCs w:val="20"/>
              </w:rPr>
            </w:pPr>
            <w:r w:rsidRPr="004A785B">
              <w:rPr>
                <w:rFonts w:asciiTheme="minorHAnsi" w:hAnsiTheme="minorHAnsi" w:cs="Arial"/>
                <w:color w:val="000000"/>
                <w:sz w:val="20"/>
                <w:szCs w:val="20"/>
              </w:rPr>
              <w:t xml:space="preserve">       43.9 </w:t>
            </w:r>
          </w:p>
        </w:tc>
      </w:tr>
    </w:tbl>
    <w:p w14:paraId="6F8DC3B3" w14:textId="77777777" w:rsidR="00EA4ED3" w:rsidRPr="004A785B" w:rsidRDefault="00EA4ED3" w:rsidP="00EA4ED3">
      <w:pPr>
        <w:rPr>
          <w:rFonts w:asciiTheme="minorHAnsi" w:eastAsiaTheme="minorHAnsi" w:hAnsiTheme="minorHAnsi" w:cs="Tahoma"/>
          <w:sz w:val="16"/>
          <w:szCs w:val="16"/>
        </w:rPr>
      </w:pPr>
      <w:r w:rsidRPr="004A785B">
        <w:rPr>
          <w:rFonts w:asciiTheme="minorHAnsi" w:eastAsiaTheme="minorHAnsi" w:hAnsiTheme="minorHAnsi" w:cs="Tahoma"/>
          <w:b/>
          <w:sz w:val="16"/>
          <w:szCs w:val="16"/>
        </w:rPr>
        <w:t>Source:</w:t>
      </w:r>
      <w:r w:rsidRPr="004A785B">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provider, and enrollment tables.</w:t>
      </w:r>
    </w:p>
    <w:p w14:paraId="2C999EB1" w14:textId="77777777" w:rsidR="00EA4ED3" w:rsidRPr="004A785B" w:rsidRDefault="00EA4ED3" w:rsidP="00EA4ED3">
      <w:pPr>
        <w:rPr>
          <w:rFonts w:asciiTheme="minorHAnsi" w:eastAsiaTheme="minorHAnsi" w:hAnsiTheme="minorHAnsi" w:cs="Tahoma"/>
          <w:sz w:val="20"/>
          <w:szCs w:val="20"/>
        </w:rPr>
      </w:pPr>
      <w:r w:rsidRPr="004A785B">
        <w:rPr>
          <w:rFonts w:asciiTheme="minorHAnsi" w:eastAsiaTheme="minorHAnsi" w:hAnsiTheme="minorHAnsi" w:cs="Tahoma"/>
          <w:sz w:val="16"/>
          <w:szCs w:val="16"/>
          <w:vertAlign w:val="superscript"/>
        </w:rPr>
        <w:t>†</w:t>
      </w:r>
      <w:r w:rsidRPr="004A785B">
        <w:rPr>
          <w:rFonts w:asciiTheme="minorHAnsi" w:eastAsiaTheme="minorHAnsi" w:hAnsiTheme="minorHAnsi" w:cs="Tahoma"/>
          <w:sz w:val="16"/>
          <w:szCs w:val="16"/>
        </w:rPr>
        <w:t>The Pre-Post-natal service category includes services for women ages 15-44 enrolled in FFS for any length of period. It is not limited to only those women with at least 11 months of enrollment in FFS.</w:t>
      </w:r>
    </w:p>
    <w:p w14:paraId="1C69BF19" w14:textId="77777777" w:rsidR="00EA4ED3" w:rsidRPr="004A785B" w:rsidRDefault="00EA4ED3" w:rsidP="00EA4ED3">
      <w:pPr>
        <w:rPr>
          <w:rFonts w:asciiTheme="minorHAnsi" w:eastAsiaTheme="minorHAnsi" w:hAnsiTheme="minorHAnsi" w:cstheme="minorBidi"/>
          <w:bCs/>
          <w:sz w:val="20"/>
          <w:szCs w:val="20"/>
        </w:rPr>
      </w:pPr>
    </w:p>
    <w:p w14:paraId="1FD4F0E9" w14:textId="77777777" w:rsidR="00EA4ED3" w:rsidRPr="004A785B" w:rsidRDefault="00EA4ED3" w:rsidP="00EA4ED3">
      <w:pPr>
        <w:pStyle w:val="Heading4"/>
        <w:spacing w:before="0"/>
      </w:pPr>
      <w:r w:rsidRPr="004A785B">
        <w:t>Service Category by Race/Ethnicity</w:t>
      </w:r>
    </w:p>
    <w:p w14:paraId="472AD16B" w14:textId="77777777" w:rsidR="00EA4ED3" w:rsidRPr="004A785B" w:rsidRDefault="00EA4ED3" w:rsidP="00EA4ED3">
      <w:pPr>
        <w:rPr>
          <w:rFonts w:asciiTheme="minorHAnsi" w:eastAsiaTheme="minorHAnsi" w:hAnsiTheme="minorHAnsi" w:cstheme="minorBidi"/>
          <w:b/>
          <w:bCs/>
          <w:sz w:val="20"/>
          <w:szCs w:val="20"/>
        </w:rPr>
      </w:pPr>
    </w:p>
    <w:p w14:paraId="50B0C73E" w14:textId="77777777" w:rsidR="00EA4ED3" w:rsidRPr="004A785B" w:rsidRDefault="00EA4ED3" w:rsidP="00EA4ED3">
      <w:pPr>
        <w:rPr>
          <w:rFonts w:asciiTheme="minorHAnsi" w:eastAsiaTheme="minorHAnsi" w:hAnsiTheme="minorHAnsi" w:cstheme="minorBidi"/>
          <w:bCs/>
        </w:rPr>
      </w:pPr>
      <w:r w:rsidRPr="004A785B">
        <w:rPr>
          <w:rFonts w:asciiTheme="minorHAnsi" w:eastAsiaTheme="minorHAnsi" w:hAnsiTheme="minorHAnsi" w:cstheme="minorBidi"/>
          <w:bCs/>
        </w:rPr>
        <w:t xml:space="preserve">The table below displays utilization for all service categories, by race/ethnicity, for fiscal years 2012-13, 2013-14, and 2014-15. The table lists the mean visit rate per 1,000 member months, minimum and maximum rates over the three-year baseline period, and the lower and upper confidence levels, for each service category. For the purposes of utilization analysis, the Other aid category includes Parent/Caretaker Relative &amp; Child, </w:t>
      </w:r>
      <w:r w:rsidRPr="004A785B">
        <w:rPr>
          <w:rFonts w:asciiTheme="minorHAnsi" w:hAnsiTheme="minorHAnsi"/>
          <w:color w:val="000000"/>
        </w:rPr>
        <w:t>ACA Expansion Adult Ages 19 to 64, and Adoption/Foster.</w:t>
      </w:r>
    </w:p>
    <w:p w14:paraId="28D87968" w14:textId="77777777" w:rsidR="00EA4ED3" w:rsidRPr="004A785B" w:rsidRDefault="00EA4ED3" w:rsidP="00EA4ED3">
      <w:pPr>
        <w:rPr>
          <w:rFonts w:asciiTheme="minorHAnsi" w:eastAsiaTheme="minorHAnsi" w:hAnsiTheme="minorHAnsi" w:cstheme="minorBidi"/>
          <w:b/>
          <w:bCs/>
          <w:sz w:val="20"/>
          <w:szCs w:val="20"/>
        </w:rPr>
      </w:pPr>
    </w:p>
    <w:p w14:paraId="13B64321" w14:textId="77777777" w:rsidR="002E4F15" w:rsidRDefault="002E4F15">
      <w:pPr>
        <w:spacing w:after="200" w:line="276" w:lineRule="auto"/>
        <w:rPr>
          <w:rFonts w:asciiTheme="minorHAnsi" w:eastAsiaTheme="minorHAnsi" w:hAnsiTheme="minorHAnsi" w:cstheme="minorBidi"/>
          <w:b/>
          <w:bCs/>
          <w:sz w:val="20"/>
          <w:szCs w:val="20"/>
        </w:rPr>
      </w:pPr>
      <w:bookmarkStart w:id="421" w:name="_Toc459037251"/>
      <w:r>
        <w:rPr>
          <w:rFonts w:asciiTheme="minorHAnsi" w:eastAsiaTheme="minorHAnsi" w:hAnsiTheme="minorHAnsi" w:cstheme="minorBidi"/>
          <w:b/>
          <w:bCs/>
          <w:sz w:val="20"/>
          <w:szCs w:val="20"/>
        </w:rPr>
        <w:br w:type="page"/>
      </w:r>
    </w:p>
    <w:p w14:paraId="523A133E" w14:textId="77777777" w:rsidR="00EA4ED3" w:rsidRPr="004A785B" w:rsidRDefault="00EA4ED3" w:rsidP="00EA4ED3">
      <w:pPr>
        <w:rPr>
          <w:rFonts w:asciiTheme="minorHAnsi" w:eastAsiaTheme="minorHAnsi" w:hAnsiTheme="minorHAnsi" w:cstheme="minorBidi"/>
          <w:bCs/>
          <w:sz w:val="20"/>
          <w:szCs w:val="20"/>
        </w:rPr>
      </w:pPr>
      <w:bookmarkStart w:id="422" w:name="_Toc459285190"/>
      <w:r w:rsidRPr="004A785B">
        <w:rPr>
          <w:rFonts w:asciiTheme="minorHAnsi" w:eastAsiaTheme="minorHAnsi" w:hAnsiTheme="minorHAnsi" w:cstheme="minorBidi"/>
          <w:b/>
          <w:bCs/>
          <w:sz w:val="20"/>
          <w:szCs w:val="20"/>
        </w:rPr>
        <w:t xml:space="preserve">Table </w:t>
      </w:r>
      <w:r w:rsidRPr="004A785B">
        <w:rPr>
          <w:rFonts w:asciiTheme="minorHAnsi" w:eastAsiaTheme="minorHAnsi" w:hAnsiTheme="minorHAnsi" w:cstheme="minorBidi"/>
          <w:b/>
          <w:bCs/>
          <w:sz w:val="20"/>
          <w:szCs w:val="20"/>
        </w:rPr>
        <w:fldChar w:fldCharType="begin"/>
      </w:r>
      <w:r w:rsidRPr="004A785B">
        <w:rPr>
          <w:rFonts w:asciiTheme="minorHAnsi" w:eastAsiaTheme="minorHAnsi" w:hAnsiTheme="minorHAnsi" w:cstheme="minorBidi"/>
          <w:b/>
          <w:bCs/>
          <w:sz w:val="20"/>
          <w:szCs w:val="20"/>
        </w:rPr>
        <w:instrText xml:space="preserve"> SEQ Table \* ARABIC </w:instrText>
      </w:r>
      <w:r w:rsidRPr="004A785B">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45</w:t>
      </w:r>
      <w:r w:rsidRPr="004A785B">
        <w:rPr>
          <w:rFonts w:asciiTheme="minorHAnsi" w:eastAsiaTheme="minorHAnsi" w:hAnsiTheme="minorHAnsi" w:cstheme="minorBidi"/>
          <w:b/>
          <w:bCs/>
          <w:sz w:val="20"/>
          <w:szCs w:val="20"/>
        </w:rPr>
        <w:fldChar w:fldCharType="end"/>
      </w:r>
      <w:r w:rsidRPr="004A785B">
        <w:rPr>
          <w:rFonts w:asciiTheme="minorHAnsi" w:eastAsiaTheme="minorHAnsi" w:hAnsiTheme="minorHAnsi" w:cstheme="minorBidi"/>
          <w:b/>
          <w:bCs/>
          <w:sz w:val="20"/>
          <w:szCs w:val="20"/>
        </w:rPr>
        <w:t xml:space="preserve">: </w:t>
      </w:r>
      <w:r w:rsidRPr="004A785B">
        <w:rPr>
          <w:rFonts w:asciiTheme="minorHAnsi" w:eastAsiaTheme="minorHAnsi" w:hAnsiTheme="minorHAnsi" w:cstheme="minorBidi"/>
          <w:bCs/>
          <w:sz w:val="20"/>
          <w:szCs w:val="20"/>
        </w:rPr>
        <w:t>Visit Rates by Service Category and Race/Ethnicity Per 1,000 Member Months in SFYs 2012-13, 2013-14 and 2014-15</w:t>
      </w:r>
      <w:bookmarkEnd w:id="421"/>
      <w:bookmarkEnd w:id="422"/>
    </w:p>
    <w:tbl>
      <w:tblPr>
        <w:tblStyle w:val="TableGrid"/>
        <w:tblW w:w="9360" w:type="dxa"/>
        <w:tblLook w:val="04A0" w:firstRow="1" w:lastRow="0" w:firstColumn="1" w:lastColumn="0" w:noHBand="0" w:noVBand="1"/>
      </w:tblPr>
      <w:tblGrid>
        <w:gridCol w:w="1355"/>
        <w:gridCol w:w="1656"/>
        <w:gridCol w:w="1161"/>
        <w:gridCol w:w="1209"/>
        <w:gridCol w:w="1275"/>
        <w:gridCol w:w="1352"/>
        <w:gridCol w:w="1352"/>
      </w:tblGrid>
      <w:tr w:rsidR="00EA4ED3" w:rsidRPr="004A785B" w14:paraId="2E36D5CE" w14:textId="77777777" w:rsidTr="00EA4ED3">
        <w:trPr>
          <w:trHeight w:val="244"/>
          <w:tblHeader/>
        </w:trPr>
        <w:tc>
          <w:tcPr>
            <w:tcW w:w="1355" w:type="dxa"/>
            <w:vMerge w:val="restart"/>
            <w:shd w:val="clear" w:color="auto" w:fill="DBE5F1" w:themeFill="accent1" w:themeFillTint="33"/>
            <w:vAlign w:val="center"/>
            <w:hideMark/>
          </w:tcPr>
          <w:p w14:paraId="19010B97"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Ethnicity</w:t>
            </w:r>
          </w:p>
        </w:tc>
        <w:tc>
          <w:tcPr>
            <w:tcW w:w="1656" w:type="dxa"/>
            <w:vMerge w:val="restart"/>
            <w:shd w:val="clear" w:color="auto" w:fill="DBE5F1" w:themeFill="accent1" w:themeFillTint="33"/>
            <w:vAlign w:val="center"/>
            <w:hideMark/>
          </w:tcPr>
          <w:p w14:paraId="58266011"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Service Category</w:t>
            </w:r>
          </w:p>
        </w:tc>
        <w:tc>
          <w:tcPr>
            <w:tcW w:w="1161" w:type="dxa"/>
            <w:vMerge w:val="restart"/>
            <w:shd w:val="clear" w:color="auto" w:fill="DBE5F1" w:themeFill="accent1" w:themeFillTint="33"/>
            <w:vAlign w:val="center"/>
            <w:hideMark/>
          </w:tcPr>
          <w:p w14:paraId="53405F91"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Mean rate per 1,000 MM</w:t>
            </w:r>
          </w:p>
        </w:tc>
        <w:tc>
          <w:tcPr>
            <w:tcW w:w="1209" w:type="dxa"/>
            <w:vMerge w:val="restart"/>
            <w:shd w:val="clear" w:color="auto" w:fill="DBE5F1" w:themeFill="accent1" w:themeFillTint="33"/>
            <w:vAlign w:val="center"/>
            <w:hideMark/>
          </w:tcPr>
          <w:p w14:paraId="679F0D06"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Minimum Rate</w:t>
            </w:r>
          </w:p>
        </w:tc>
        <w:tc>
          <w:tcPr>
            <w:tcW w:w="1275" w:type="dxa"/>
            <w:vMerge w:val="restart"/>
            <w:shd w:val="clear" w:color="auto" w:fill="DBE5F1" w:themeFill="accent1" w:themeFillTint="33"/>
            <w:vAlign w:val="center"/>
            <w:hideMark/>
          </w:tcPr>
          <w:p w14:paraId="5BC386BB"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Maximum Rate</w:t>
            </w:r>
          </w:p>
        </w:tc>
        <w:tc>
          <w:tcPr>
            <w:tcW w:w="1352" w:type="dxa"/>
            <w:vMerge w:val="restart"/>
            <w:shd w:val="clear" w:color="auto" w:fill="DBE5F1" w:themeFill="accent1" w:themeFillTint="33"/>
            <w:vAlign w:val="center"/>
            <w:hideMark/>
          </w:tcPr>
          <w:p w14:paraId="77148ED2"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Lower Confidence Level</w:t>
            </w:r>
          </w:p>
        </w:tc>
        <w:tc>
          <w:tcPr>
            <w:tcW w:w="1352" w:type="dxa"/>
            <w:vMerge w:val="restart"/>
            <w:shd w:val="clear" w:color="auto" w:fill="DBE5F1" w:themeFill="accent1" w:themeFillTint="33"/>
            <w:vAlign w:val="center"/>
            <w:hideMark/>
          </w:tcPr>
          <w:p w14:paraId="6AB7F4CA" w14:textId="77777777" w:rsidR="00EA4ED3" w:rsidRPr="004A785B" w:rsidRDefault="00EA4ED3" w:rsidP="00EA4ED3">
            <w:pPr>
              <w:jc w:val="center"/>
              <w:rPr>
                <w:rFonts w:asciiTheme="minorHAnsi" w:hAnsiTheme="minorHAnsi" w:cs="Arial"/>
                <w:b/>
                <w:bCs/>
                <w:color w:val="112277"/>
                <w:sz w:val="20"/>
                <w:szCs w:val="20"/>
              </w:rPr>
            </w:pPr>
            <w:r w:rsidRPr="004A785B">
              <w:rPr>
                <w:rFonts w:asciiTheme="minorHAnsi" w:hAnsiTheme="minorHAnsi" w:cs="Arial"/>
                <w:b/>
                <w:bCs/>
                <w:color w:val="112277"/>
                <w:sz w:val="20"/>
                <w:szCs w:val="20"/>
              </w:rPr>
              <w:t>Upper Confidence Level</w:t>
            </w:r>
          </w:p>
        </w:tc>
      </w:tr>
      <w:tr w:rsidR="00EA4ED3" w:rsidRPr="004A785B" w14:paraId="13034123" w14:textId="77777777" w:rsidTr="00EA4ED3">
        <w:trPr>
          <w:trHeight w:val="288"/>
        </w:trPr>
        <w:tc>
          <w:tcPr>
            <w:tcW w:w="1355" w:type="dxa"/>
            <w:vMerge/>
            <w:shd w:val="clear" w:color="auto" w:fill="DBE5F1" w:themeFill="accent1" w:themeFillTint="33"/>
            <w:hideMark/>
          </w:tcPr>
          <w:p w14:paraId="08B5134F" w14:textId="77777777" w:rsidR="00EA4ED3" w:rsidRPr="004A785B" w:rsidRDefault="00EA4ED3" w:rsidP="00EA4ED3">
            <w:pPr>
              <w:jc w:val="center"/>
              <w:rPr>
                <w:rFonts w:asciiTheme="minorHAnsi" w:hAnsiTheme="minorHAnsi" w:cs="Arial"/>
                <w:b/>
                <w:bCs/>
                <w:color w:val="112277"/>
                <w:sz w:val="20"/>
                <w:szCs w:val="20"/>
              </w:rPr>
            </w:pPr>
          </w:p>
        </w:tc>
        <w:tc>
          <w:tcPr>
            <w:tcW w:w="1656" w:type="dxa"/>
            <w:vMerge/>
            <w:shd w:val="clear" w:color="auto" w:fill="DBE5F1" w:themeFill="accent1" w:themeFillTint="33"/>
            <w:hideMark/>
          </w:tcPr>
          <w:p w14:paraId="25B27E84" w14:textId="77777777" w:rsidR="00EA4ED3" w:rsidRPr="004A785B" w:rsidRDefault="00EA4ED3" w:rsidP="00EA4ED3">
            <w:pPr>
              <w:jc w:val="center"/>
              <w:rPr>
                <w:rFonts w:asciiTheme="minorHAnsi" w:hAnsiTheme="minorHAnsi" w:cs="Arial"/>
                <w:b/>
                <w:bCs/>
                <w:color w:val="112277"/>
                <w:sz w:val="20"/>
                <w:szCs w:val="20"/>
              </w:rPr>
            </w:pPr>
          </w:p>
        </w:tc>
        <w:tc>
          <w:tcPr>
            <w:tcW w:w="1161" w:type="dxa"/>
            <w:vMerge/>
            <w:shd w:val="clear" w:color="auto" w:fill="DBE5F1" w:themeFill="accent1" w:themeFillTint="33"/>
            <w:hideMark/>
          </w:tcPr>
          <w:p w14:paraId="4BAC4600" w14:textId="77777777" w:rsidR="00EA4ED3" w:rsidRPr="004A785B" w:rsidRDefault="00EA4ED3" w:rsidP="00EA4ED3">
            <w:pPr>
              <w:jc w:val="center"/>
              <w:rPr>
                <w:rFonts w:asciiTheme="minorHAnsi" w:hAnsiTheme="minorHAnsi" w:cs="Arial"/>
                <w:b/>
                <w:bCs/>
                <w:color w:val="112277"/>
                <w:sz w:val="20"/>
                <w:szCs w:val="20"/>
              </w:rPr>
            </w:pPr>
          </w:p>
        </w:tc>
        <w:tc>
          <w:tcPr>
            <w:tcW w:w="1209" w:type="dxa"/>
            <w:vMerge/>
            <w:shd w:val="clear" w:color="auto" w:fill="DBE5F1" w:themeFill="accent1" w:themeFillTint="33"/>
            <w:hideMark/>
          </w:tcPr>
          <w:p w14:paraId="2B0642BF" w14:textId="77777777" w:rsidR="00EA4ED3" w:rsidRPr="004A785B" w:rsidRDefault="00EA4ED3" w:rsidP="00EA4ED3">
            <w:pPr>
              <w:jc w:val="center"/>
              <w:rPr>
                <w:rFonts w:asciiTheme="minorHAnsi" w:hAnsiTheme="minorHAnsi" w:cs="Arial"/>
                <w:b/>
                <w:bCs/>
                <w:color w:val="112277"/>
                <w:sz w:val="20"/>
                <w:szCs w:val="20"/>
              </w:rPr>
            </w:pPr>
          </w:p>
        </w:tc>
        <w:tc>
          <w:tcPr>
            <w:tcW w:w="1275" w:type="dxa"/>
            <w:vMerge/>
            <w:shd w:val="clear" w:color="auto" w:fill="DBE5F1" w:themeFill="accent1" w:themeFillTint="33"/>
            <w:hideMark/>
          </w:tcPr>
          <w:p w14:paraId="2A3B5D93" w14:textId="77777777" w:rsidR="00EA4ED3" w:rsidRPr="004A785B" w:rsidRDefault="00EA4ED3" w:rsidP="00EA4ED3">
            <w:pPr>
              <w:jc w:val="center"/>
              <w:rPr>
                <w:rFonts w:asciiTheme="minorHAnsi" w:hAnsiTheme="minorHAnsi" w:cs="Arial"/>
                <w:b/>
                <w:bCs/>
                <w:color w:val="112277"/>
                <w:sz w:val="20"/>
                <w:szCs w:val="20"/>
              </w:rPr>
            </w:pPr>
          </w:p>
        </w:tc>
        <w:tc>
          <w:tcPr>
            <w:tcW w:w="1352" w:type="dxa"/>
            <w:vMerge/>
            <w:shd w:val="clear" w:color="auto" w:fill="DBE5F1" w:themeFill="accent1" w:themeFillTint="33"/>
            <w:hideMark/>
          </w:tcPr>
          <w:p w14:paraId="42818F1E" w14:textId="77777777" w:rsidR="00EA4ED3" w:rsidRPr="004A785B" w:rsidRDefault="00EA4ED3" w:rsidP="00EA4ED3">
            <w:pPr>
              <w:jc w:val="center"/>
              <w:rPr>
                <w:rFonts w:asciiTheme="minorHAnsi" w:hAnsiTheme="minorHAnsi" w:cs="Arial"/>
                <w:b/>
                <w:bCs/>
                <w:color w:val="112277"/>
                <w:sz w:val="20"/>
                <w:szCs w:val="20"/>
              </w:rPr>
            </w:pPr>
          </w:p>
        </w:tc>
        <w:tc>
          <w:tcPr>
            <w:tcW w:w="1352" w:type="dxa"/>
            <w:vMerge/>
            <w:shd w:val="clear" w:color="auto" w:fill="DBE5F1" w:themeFill="accent1" w:themeFillTint="33"/>
            <w:hideMark/>
          </w:tcPr>
          <w:p w14:paraId="7F5C4D02" w14:textId="77777777" w:rsidR="00EA4ED3" w:rsidRPr="004A785B" w:rsidRDefault="00EA4ED3" w:rsidP="00EA4ED3">
            <w:pPr>
              <w:jc w:val="center"/>
              <w:rPr>
                <w:rFonts w:asciiTheme="minorHAnsi" w:hAnsiTheme="minorHAnsi" w:cs="Arial"/>
                <w:b/>
                <w:bCs/>
                <w:color w:val="112277"/>
                <w:sz w:val="20"/>
                <w:szCs w:val="20"/>
              </w:rPr>
            </w:pPr>
          </w:p>
        </w:tc>
      </w:tr>
      <w:tr w:rsidR="00EA4ED3" w:rsidRPr="004A785B" w14:paraId="131C2627" w14:textId="77777777" w:rsidTr="00EA4ED3">
        <w:trPr>
          <w:trHeight w:val="288"/>
        </w:trPr>
        <w:tc>
          <w:tcPr>
            <w:tcW w:w="1355" w:type="dxa"/>
            <w:vMerge w:val="restart"/>
            <w:noWrap/>
            <w:vAlign w:val="center"/>
            <w:hideMark/>
          </w:tcPr>
          <w:p w14:paraId="7EE6957B" w14:textId="77777777" w:rsidR="00EA4ED3" w:rsidRPr="004A785B" w:rsidRDefault="00EA4ED3" w:rsidP="00EA4ED3">
            <w:pPr>
              <w:jc w:val="center"/>
              <w:rPr>
                <w:rFonts w:asciiTheme="minorHAnsi" w:hAnsiTheme="minorHAnsi" w:cs="Arial"/>
                <w:b/>
                <w:bCs/>
                <w:color w:val="000000" w:themeColor="text1"/>
                <w:sz w:val="20"/>
                <w:szCs w:val="20"/>
              </w:rPr>
            </w:pPr>
            <w:r w:rsidRPr="004A785B">
              <w:rPr>
                <w:rFonts w:asciiTheme="minorHAnsi" w:hAnsiTheme="minorHAnsi" w:cs="Arial"/>
                <w:b/>
                <w:bCs/>
                <w:color w:val="000000" w:themeColor="text1"/>
                <w:sz w:val="20"/>
                <w:szCs w:val="20"/>
              </w:rPr>
              <w:t>AI/AN</w:t>
            </w:r>
          </w:p>
        </w:tc>
        <w:tc>
          <w:tcPr>
            <w:tcW w:w="1656" w:type="dxa"/>
            <w:vAlign w:val="center"/>
            <w:hideMark/>
          </w:tcPr>
          <w:p w14:paraId="6F01919B"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Primary Care</w:t>
            </w:r>
          </w:p>
        </w:tc>
        <w:tc>
          <w:tcPr>
            <w:tcW w:w="1161" w:type="dxa"/>
            <w:hideMark/>
          </w:tcPr>
          <w:p w14:paraId="2A3BE65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181.7 </w:t>
            </w:r>
          </w:p>
        </w:tc>
        <w:tc>
          <w:tcPr>
            <w:tcW w:w="1209" w:type="dxa"/>
            <w:hideMark/>
          </w:tcPr>
          <w:p w14:paraId="56FF606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105.1 </w:t>
            </w:r>
          </w:p>
        </w:tc>
        <w:tc>
          <w:tcPr>
            <w:tcW w:w="1275" w:type="dxa"/>
            <w:hideMark/>
          </w:tcPr>
          <w:p w14:paraId="1E224B5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383.8 </w:t>
            </w:r>
          </w:p>
        </w:tc>
        <w:tc>
          <w:tcPr>
            <w:tcW w:w="1352" w:type="dxa"/>
            <w:hideMark/>
          </w:tcPr>
          <w:p w14:paraId="24B17FC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156.1 </w:t>
            </w:r>
          </w:p>
        </w:tc>
        <w:tc>
          <w:tcPr>
            <w:tcW w:w="1352" w:type="dxa"/>
            <w:hideMark/>
          </w:tcPr>
          <w:p w14:paraId="4880DFF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207.2 </w:t>
            </w:r>
          </w:p>
        </w:tc>
      </w:tr>
      <w:tr w:rsidR="00EA4ED3" w:rsidRPr="004A785B" w14:paraId="2724AB08" w14:textId="77777777" w:rsidTr="00EA4ED3">
        <w:trPr>
          <w:trHeight w:val="288"/>
        </w:trPr>
        <w:tc>
          <w:tcPr>
            <w:tcW w:w="1355" w:type="dxa"/>
            <w:vMerge/>
            <w:vAlign w:val="center"/>
            <w:hideMark/>
          </w:tcPr>
          <w:p w14:paraId="39F05479"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53E58989"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Behavioral Care</w:t>
            </w:r>
          </w:p>
        </w:tc>
        <w:tc>
          <w:tcPr>
            <w:tcW w:w="1161" w:type="dxa"/>
            <w:hideMark/>
          </w:tcPr>
          <w:p w14:paraId="27DA35F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4.9 </w:t>
            </w:r>
          </w:p>
        </w:tc>
        <w:tc>
          <w:tcPr>
            <w:tcW w:w="1209" w:type="dxa"/>
            <w:hideMark/>
          </w:tcPr>
          <w:p w14:paraId="795545D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0.8 </w:t>
            </w:r>
          </w:p>
        </w:tc>
        <w:tc>
          <w:tcPr>
            <w:tcW w:w="1275" w:type="dxa"/>
            <w:hideMark/>
          </w:tcPr>
          <w:p w14:paraId="5764D4F1"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14.6 </w:t>
            </w:r>
          </w:p>
        </w:tc>
        <w:tc>
          <w:tcPr>
            <w:tcW w:w="1352" w:type="dxa"/>
            <w:hideMark/>
          </w:tcPr>
          <w:p w14:paraId="524A165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3.7 </w:t>
            </w:r>
          </w:p>
        </w:tc>
        <w:tc>
          <w:tcPr>
            <w:tcW w:w="1352" w:type="dxa"/>
            <w:hideMark/>
          </w:tcPr>
          <w:p w14:paraId="7F48CE7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6.0 </w:t>
            </w:r>
          </w:p>
        </w:tc>
      </w:tr>
      <w:tr w:rsidR="00EA4ED3" w:rsidRPr="004A785B" w14:paraId="014029FE" w14:textId="77777777" w:rsidTr="00EA4ED3">
        <w:trPr>
          <w:trHeight w:val="288"/>
        </w:trPr>
        <w:tc>
          <w:tcPr>
            <w:tcW w:w="1355" w:type="dxa"/>
            <w:vMerge/>
            <w:vAlign w:val="center"/>
            <w:hideMark/>
          </w:tcPr>
          <w:p w14:paraId="44C20DA0"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6391840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Home Health</w:t>
            </w:r>
          </w:p>
        </w:tc>
        <w:tc>
          <w:tcPr>
            <w:tcW w:w="1161" w:type="dxa"/>
            <w:hideMark/>
          </w:tcPr>
          <w:p w14:paraId="6083A0C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2.3 </w:t>
            </w:r>
          </w:p>
        </w:tc>
        <w:tc>
          <w:tcPr>
            <w:tcW w:w="1209" w:type="dxa"/>
            <w:hideMark/>
          </w:tcPr>
          <w:p w14:paraId="34BC5CD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0.5 </w:t>
            </w:r>
          </w:p>
        </w:tc>
        <w:tc>
          <w:tcPr>
            <w:tcW w:w="1275" w:type="dxa"/>
            <w:hideMark/>
          </w:tcPr>
          <w:p w14:paraId="3941AC4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5.9 </w:t>
            </w:r>
          </w:p>
        </w:tc>
        <w:tc>
          <w:tcPr>
            <w:tcW w:w="1352" w:type="dxa"/>
            <w:hideMark/>
          </w:tcPr>
          <w:p w14:paraId="277BA871"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1.8 </w:t>
            </w:r>
          </w:p>
        </w:tc>
        <w:tc>
          <w:tcPr>
            <w:tcW w:w="1352" w:type="dxa"/>
            <w:hideMark/>
          </w:tcPr>
          <w:p w14:paraId="4DF9BFCE"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2.9 </w:t>
            </w:r>
          </w:p>
        </w:tc>
      </w:tr>
      <w:tr w:rsidR="00EA4ED3" w:rsidRPr="004A785B" w14:paraId="016FD8AD" w14:textId="77777777" w:rsidTr="00EA4ED3">
        <w:trPr>
          <w:trHeight w:val="288"/>
        </w:trPr>
        <w:tc>
          <w:tcPr>
            <w:tcW w:w="1355" w:type="dxa"/>
            <w:vMerge/>
            <w:vAlign w:val="center"/>
            <w:hideMark/>
          </w:tcPr>
          <w:p w14:paraId="159794D2"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733501D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vertAlign w:val="superscript"/>
              </w:rPr>
              <w:t>†</w:t>
            </w:r>
            <w:r w:rsidRPr="004A785B">
              <w:rPr>
                <w:rFonts w:asciiTheme="minorHAnsi" w:eastAsiaTheme="minorHAnsi" w:hAnsiTheme="minorHAnsi" w:cstheme="minorBidi"/>
                <w:bCs/>
                <w:sz w:val="20"/>
                <w:szCs w:val="20"/>
              </w:rPr>
              <w:t>Pre-Post-natal</w:t>
            </w:r>
          </w:p>
        </w:tc>
        <w:tc>
          <w:tcPr>
            <w:tcW w:w="1161" w:type="dxa"/>
            <w:vAlign w:val="bottom"/>
          </w:tcPr>
          <w:p w14:paraId="5393D03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225.1</w:t>
            </w:r>
          </w:p>
        </w:tc>
        <w:tc>
          <w:tcPr>
            <w:tcW w:w="1209" w:type="dxa"/>
            <w:vAlign w:val="bottom"/>
          </w:tcPr>
          <w:p w14:paraId="68A76DA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110.3</w:t>
            </w:r>
          </w:p>
        </w:tc>
        <w:tc>
          <w:tcPr>
            <w:tcW w:w="1275" w:type="dxa"/>
            <w:vAlign w:val="bottom"/>
          </w:tcPr>
          <w:p w14:paraId="7A275951"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389.1</w:t>
            </w:r>
          </w:p>
        </w:tc>
        <w:tc>
          <w:tcPr>
            <w:tcW w:w="1352" w:type="dxa"/>
            <w:vAlign w:val="bottom"/>
          </w:tcPr>
          <w:p w14:paraId="529A5F9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202.4</w:t>
            </w:r>
          </w:p>
        </w:tc>
        <w:tc>
          <w:tcPr>
            <w:tcW w:w="1352" w:type="dxa"/>
            <w:vAlign w:val="bottom"/>
          </w:tcPr>
          <w:p w14:paraId="0752756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247.8</w:t>
            </w:r>
          </w:p>
        </w:tc>
      </w:tr>
      <w:tr w:rsidR="00EA4ED3" w:rsidRPr="004A785B" w14:paraId="591340FB" w14:textId="77777777" w:rsidTr="00EA4ED3">
        <w:trPr>
          <w:trHeight w:val="288"/>
        </w:trPr>
        <w:tc>
          <w:tcPr>
            <w:tcW w:w="1355" w:type="dxa"/>
            <w:vMerge/>
            <w:vAlign w:val="center"/>
            <w:hideMark/>
          </w:tcPr>
          <w:p w14:paraId="3AD824E9"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110CE41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Specialty Care</w:t>
            </w:r>
          </w:p>
        </w:tc>
        <w:tc>
          <w:tcPr>
            <w:tcW w:w="1161" w:type="dxa"/>
            <w:hideMark/>
          </w:tcPr>
          <w:p w14:paraId="36977623"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87.3 </w:t>
            </w:r>
          </w:p>
        </w:tc>
        <w:tc>
          <w:tcPr>
            <w:tcW w:w="1209" w:type="dxa"/>
            <w:hideMark/>
          </w:tcPr>
          <w:p w14:paraId="6B9BFB7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59.3 </w:t>
            </w:r>
          </w:p>
        </w:tc>
        <w:tc>
          <w:tcPr>
            <w:tcW w:w="1275" w:type="dxa"/>
            <w:hideMark/>
          </w:tcPr>
          <w:p w14:paraId="5A0C2EB9"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118.6 </w:t>
            </w:r>
          </w:p>
        </w:tc>
        <w:tc>
          <w:tcPr>
            <w:tcW w:w="1352" w:type="dxa"/>
            <w:hideMark/>
          </w:tcPr>
          <w:p w14:paraId="20694527"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81.6 </w:t>
            </w:r>
          </w:p>
        </w:tc>
        <w:tc>
          <w:tcPr>
            <w:tcW w:w="1352" w:type="dxa"/>
            <w:hideMark/>
          </w:tcPr>
          <w:p w14:paraId="018EA9C3"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93.1 </w:t>
            </w:r>
          </w:p>
        </w:tc>
      </w:tr>
      <w:tr w:rsidR="00EA4ED3" w:rsidRPr="004A785B" w14:paraId="24416813" w14:textId="77777777" w:rsidTr="00EA4ED3">
        <w:trPr>
          <w:trHeight w:val="288"/>
        </w:trPr>
        <w:tc>
          <w:tcPr>
            <w:tcW w:w="1355" w:type="dxa"/>
            <w:vMerge w:val="restart"/>
            <w:noWrap/>
            <w:vAlign w:val="center"/>
            <w:hideMark/>
          </w:tcPr>
          <w:p w14:paraId="52B0BE4A"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r w:rsidRPr="004A785B">
              <w:rPr>
                <w:rFonts w:asciiTheme="minorHAnsi" w:eastAsiaTheme="minorHAnsi" w:hAnsiTheme="minorHAnsi" w:cstheme="minorBidi"/>
                <w:b/>
                <w:bCs/>
                <w:color w:val="000000" w:themeColor="text1"/>
                <w:sz w:val="20"/>
                <w:szCs w:val="20"/>
              </w:rPr>
              <w:t>Asian</w:t>
            </w:r>
          </w:p>
        </w:tc>
        <w:tc>
          <w:tcPr>
            <w:tcW w:w="1656" w:type="dxa"/>
            <w:vAlign w:val="center"/>
            <w:hideMark/>
          </w:tcPr>
          <w:p w14:paraId="618111C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Primary Care</w:t>
            </w:r>
          </w:p>
        </w:tc>
        <w:tc>
          <w:tcPr>
            <w:tcW w:w="1161" w:type="dxa"/>
            <w:hideMark/>
          </w:tcPr>
          <w:p w14:paraId="2F939A3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46.2 </w:t>
            </w:r>
          </w:p>
        </w:tc>
        <w:tc>
          <w:tcPr>
            <w:tcW w:w="1209" w:type="dxa"/>
            <w:hideMark/>
          </w:tcPr>
          <w:p w14:paraId="4C8F2BA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32.8 </w:t>
            </w:r>
          </w:p>
        </w:tc>
        <w:tc>
          <w:tcPr>
            <w:tcW w:w="1275" w:type="dxa"/>
            <w:hideMark/>
          </w:tcPr>
          <w:p w14:paraId="2B8AAE6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60.7 </w:t>
            </w:r>
          </w:p>
        </w:tc>
        <w:tc>
          <w:tcPr>
            <w:tcW w:w="1352" w:type="dxa"/>
            <w:hideMark/>
          </w:tcPr>
          <w:p w14:paraId="0251DEF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43.1 </w:t>
            </w:r>
          </w:p>
        </w:tc>
        <w:tc>
          <w:tcPr>
            <w:tcW w:w="1352" w:type="dxa"/>
            <w:hideMark/>
          </w:tcPr>
          <w:p w14:paraId="19E2938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49.2 </w:t>
            </w:r>
          </w:p>
        </w:tc>
      </w:tr>
      <w:tr w:rsidR="00EA4ED3" w:rsidRPr="004A785B" w14:paraId="7ED2BE7B" w14:textId="77777777" w:rsidTr="00EA4ED3">
        <w:trPr>
          <w:trHeight w:val="288"/>
        </w:trPr>
        <w:tc>
          <w:tcPr>
            <w:tcW w:w="1355" w:type="dxa"/>
            <w:vMerge/>
            <w:vAlign w:val="center"/>
            <w:hideMark/>
          </w:tcPr>
          <w:p w14:paraId="7C4271D2"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1C158C1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Behavioral Care</w:t>
            </w:r>
          </w:p>
        </w:tc>
        <w:tc>
          <w:tcPr>
            <w:tcW w:w="1161" w:type="dxa"/>
            <w:hideMark/>
          </w:tcPr>
          <w:p w14:paraId="01ABF92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0.3 </w:t>
            </w:r>
          </w:p>
        </w:tc>
        <w:tc>
          <w:tcPr>
            <w:tcW w:w="1209" w:type="dxa"/>
            <w:hideMark/>
          </w:tcPr>
          <w:p w14:paraId="3D81A90E"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0.2 </w:t>
            </w:r>
          </w:p>
        </w:tc>
        <w:tc>
          <w:tcPr>
            <w:tcW w:w="1275" w:type="dxa"/>
            <w:hideMark/>
          </w:tcPr>
          <w:p w14:paraId="323F42C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0.5 </w:t>
            </w:r>
          </w:p>
        </w:tc>
        <w:tc>
          <w:tcPr>
            <w:tcW w:w="1352" w:type="dxa"/>
            <w:hideMark/>
          </w:tcPr>
          <w:p w14:paraId="3FF26C3E"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0.3 </w:t>
            </w:r>
          </w:p>
        </w:tc>
        <w:tc>
          <w:tcPr>
            <w:tcW w:w="1352" w:type="dxa"/>
            <w:hideMark/>
          </w:tcPr>
          <w:p w14:paraId="522F621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0.3 </w:t>
            </w:r>
          </w:p>
        </w:tc>
      </w:tr>
      <w:tr w:rsidR="00EA4ED3" w:rsidRPr="004A785B" w14:paraId="105C3BEE" w14:textId="77777777" w:rsidTr="00EA4ED3">
        <w:trPr>
          <w:trHeight w:val="288"/>
        </w:trPr>
        <w:tc>
          <w:tcPr>
            <w:tcW w:w="1355" w:type="dxa"/>
            <w:vMerge/>
            <w:vAlign w:val="center"/>
            <w:hideMark/>
          </w:tcPr>
          <w:p w14:paraId="75E26260"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08E4FA1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Home Health</w:t>
            </w:r>
          </w:p>
        </w:tc>
        <w:tc>
          <w:tcPr>
            <w:tcW w:w="1161" w:type="dxa"/>
            <w:hideMark/>
          </w:tcPr>
          <w:p w14:paraId="535ABF2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1.2 </w:t>
            </w:r>
          </w:p>
        </w:tc>
        <w:tc>
          <w:tcPr>
            <w:tcW w:w="1209" w:type="dxa"/>
            <w:hideMark/>
          </w:tcPr>
          <w:p w14:paraId="5B6559D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0.5 </w:t>
            </w:r>
          </w:p>
        </w:tc>
        <w:tc>
          <w:tcPr>
            <w:tcW w:w="1275" w:type="dxa"/>
            <w:hideMark/>
          </w:tcPr>
          <w:p w14:paraId="5A33AEC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3.5 </w:t>
            </w:r>
          </w:p>
        </w:tc>
        <w:tc>
          <w:tcPr>
            <w:tcW w:w="1352" w:type="dxa"/>
            <w:hideMark/>
          </w:tcPr>
          <w:p w14:paraId="0BC4A179"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0.8 </w:t>
            </w:r>
          </w:p>
        </w:tc>
        <w:tc>
          <w:tcPr>
            <w:tcW w:w="1352" w:type="dxa"/>
            <w:hideMark/>
          </w:tcPr>
          <w:p w14:paraId="117353A3"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1.5 </w:t>
            </w:r>
          </w:p>
        </w:tc>
      </w:tr>
      <w:tr w:rsidR="00EA4ED3" w:rsidRPr="004A785B" w14:paraId="6D67AE5F" w14:textId="77777777" w:rsidTr="00EA4ED3">
        <w:trPr>
          <w:trHeight w:val="288"/>
        </w:trPr>
        <w:tc>
          <w:tcPr>
            <w:tcW w:w="1355" w:type="dxa"/>
            <w:vMerge/>
            <w:vAlign w:val="center"/>
            <w:hideMark/>
          </w:tcPr>
          <w:p w14:paraId="3D73D747"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2016930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vertAlign w:val="superscript"/>
              </w:rPr>
              <w:t>†</w:t>
            </w:r>
            <w:r w:rsidRPr="004A785B">
              <w:rPr>
                <w:rFonts w:asciiTheme="minorHAnsi" w:eastAsiaTheme="minorHAnsi" w:hAnsiTheme="minorHAnsi" w:cstheme="minorBidi"/>
                <w:bCs/>
                <w:sz w:val="20"/>
                <w:szCs w:val="20"/>
              </w:rPr>
              <w:t>Pre-Post-natal</w:t>
            </w:r>
          </w:p>
        </w:tc>
        <w:tc>
          <w:tcPr>
            <w:tcW w:w="1161" w:type="dxa"/>
            <w:vAlign w:val="bottom"/>
          </w:tcPr>
          <w:p w14:paraId="1D12BA3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222.7</w:t>
            </w:r>
          </w:p>
        </w:tc>
        <w:tc>
          <w:tcPr>
            <w:tcW w:w="1209" w:type="dxa"/>
            <w:vAlign w:val="bottom"/>
          </w:tcPr>
          <w:p w14:paraId="727EF84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69.9</w:t>
            </w:r>
          </w:p>
        </w:tc>
        <w:tc>
          <w:tcPr>
            <w:tcW w:w="1275" w:type="dxa"/>
            <w:vAlign w:val="bottom"/>
          </w:tcPr>
          <w:p w14:paraId="0C07478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560.0</w:t>
            </w:r>
          </w:p>
        </w:tc>
        <w:tc>
          <w:tcPr>
            <w:tcW w:w="1352" w:type="dxa"/>
            <w:vAlign w:val="bottom"/>
          </w:tcPr>
          <w:p w14:paraId="0E51005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174.1</w:t>
            </w:r>
          </w:p>
        </w:tc>
        <w:tc>
          <w:tcPr>
            <w:tcW w:w="1352" w:type="dxa"/>
            <w:vAlign w:val="bottom"/>
          </w:tcPr>
          <w:p w14:paraId="548780DE"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271.3</w:t>
            </w:r>
          </w:p>
        </w:tc>
      </w:tr>
      <w:tr w:rsidR="00EA4ED3" w:rsidRPr="004A785B" w14:paraId="097BB6A4" w14:textId="77777777" w:rsidTr="00EA4ED3">
        <w:trPr>
          <w:trHeight w:val="288"/>
        </w:trPr>
        <w:tc>
          <w:tcPr>
            <w:tcW w:w="1355" w:type="dxa"/>
            <w:vMerge/>
            <w:vAlign w:val="center"/>
            <w:hideMark/>
          </w:tcPr>
          <w:p w14:paraId="3D9957AA"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3EC4F6F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Specialty Care</w:t>
            </w:r>
          </w:p>
        </w:tc>
        <w:tc>
          <w:tcPr>
            <w:tcW w:w="1161" w:type="dxa"/>
            <w:hideMark/>
          </w:tcPr>
          <w:p w14:paraId="254426C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27.1 </w:t>
            </w:r>
          </w:p>
        </w:tc>
        <w:tc>
          <w:tcPr>
            <w:tcW w:w="1209" w:type="dxa"/>
            <w:hideMark/>
          </w:tcPr>
          <w:p w14:paraId="42902BC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18.9 </w:t>
            </w:r>
          </w:p>
        </w:tc>
        <w:tc>
          <w:tcPr>
            <w:tcW w:w="1275" w:type="dxa"/>
            <w:hideMark/>
          </w:tcPr>
          <w:p w14:paraId="2FEB834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35.4 </w:t>
            </w:r>
          </w:p>
        </w:tc>
        <w:tc>
          <w:tcPr>
            <w:tcW w:w="1352" w:type="dxa"/>
            <w:hideMark/>
          </w:tcPr>
          <w:p w14:paraId="7918E1E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25.7 </w:t>
            </w:r>
          </w:p>
        </w:tc>
        <w:tc>
          <w:tcPr>
            <w:tcW w:w="1352" w:type="dxa"/>
            <w:hideMark/>
          </w:tcPr>
          <w:p w14:paraId="4AA07A2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28.5 </w:t>
            </w:r>
          </w:p>
        </w:tc>
      </w:tr>
      <w:tr w:rsidR="00EA4ED3" w:rsidRPr="004A785B" w14:paraId="339AD794" w14:textId="77777777" w:rsidTr="00EA4ED3">
        <w:trPr>
          <w:trHeight w:val="288"/>
        </w:trPr>
        <w:tc>
          <w:tcPr>
            <w:tcW w:w="1355" w:type="dxa"/>
            <w:vMerge w:val="restart"/>
            <w:noWrap/>
            <w:vAlign w:val="center"/>
            <w:hideMark/>
          </w:tcPr>
          <w:p w14:paraId="6A1A5E15"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r w:rsidRPr="004A785B">
              <w:rPr>
                <w:rFonts w:asciiTheme="minorHAnsi" w:eastAsiaTheme="minorHAnsi" w:hAnsiTheme="minorHAnsi" w:cstheme="minorBidi"/>
                <w:b/>
                <w:bCs/>
                <w:color w:val="000000" w:themeColor="text1"/>
                <w:sz w:val="20"/>
                <w:szCs w:val="20"/>
              </w:rPr>
              <w:t>African-American</w:t>
            </w:r>
          </w:p>
        </w:tc>
        <w:tc>
          <w:tcPr>
            <w:tcW w:w="1656" w:type="dxa"/>
            <w:vAlign w:val="center"/>
            <w:hideMark/>
          </w:tcPr>
          <w:p w14:paraId="109847C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Primary Care</w:t>
            </w:r>
          </w:p>
        </w:tc>
        <w:tc>
          <w:tcPr>
            <w:tcW w:w="1161" w:type="dxa"/>
            <w:hideMark/>
          </w:tcPr>
          <w:p w14:paraId="3D06C309"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107.8 </w:t>
            </w:r>
          </w:p>
        </w:tc>
        <w:tc>
          <w:tcPr>
            <w:tcW w:w="1209" w:type="dxa"/>
            <w:hideMark/>
          </w:tcPr>
          <w:p w14:paraId="4775020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83.6 </w:t>
            </w:r>
          </w:p>
        </w:tc>
        <w:tc>
          <w:tcPr>
            <w:tcW w:w="1275" w:type="dxa"/>
            <w:hideMark/>
          </w:tcPr>
          <w:p w14:paraId="6EDB33C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125.8 </w:t>
            </w:r>
          </w:p>
        </w:tc>
        <w:tc>
          <w:tcPr>
            <w:tcW w:w="1352" w:type="dxa"/>
            <w:hideMark/>
          </w:tcPr>
          <w:p w14:paraId="6A5F7CA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104.3 </w:t>
            </w:r>
          </w:p>
        </w:tc>
        <w:tc>
          <w:tcPr>
            <w:tcW w:w="1352" w:type="dxa"/>
            <w:hideMark/>
          </w:tcPr>
          <w:p w14:paraId="6C3E785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111.3 </w:t>
            </w:r>
          </w:p>
        </w:tc>
      </w:tr>
      <w:tr w:rsidR="00EA4ED3" w:rsidRPr="004A785B" w14:paraId="29FE6F45" w14:textId="77777777" w:rsidTr="00EA4ED3">
        <w:trPr>
          <w:trHeight w:val="288"/>
        </w:trPr>
        <w:tc>
          <w:tcPr>
            <w:tcW w:w="1355" w:type="dxa"/>
            <w:vMerge/>
            <w:vAlign w:val="center"/>
            <w:hideMark/>
          </w:tcPr>
          <w:p w14:paraId="564D10EC"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658F048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Behavioral Care</w:t>
            </w:r>
          </w:p>
        </w:tc>
        <w:tc>
          <w:tcPr>
            <w:tcW w:w="1161" w:type="dxa"/>
            <w:hideMark/>
          </w:tcPr>
          <w:p w14:paraId="3AAC8961"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2.0 </w:t>
            </w:r>
          </w:p>
        </w:tc>
        <w:tc>
          <w:tcPr>
            <w:tcW w:w="1209" w:type="dxa"/>
            <w:hideMark/>
          </w:tcPr>
          <w:p w14:paraId="081F10C7"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1.5 </w:t>
            </w:r>
          </w:p>
        </w:tc>
        <w:tc>
          <w:tcPr>
            <w:tcW w:w="1275" w:type="dxa"/>
            <w:hideMark/>
          </w:tcPr>
          <w:p w14:paraId="2AD36129"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3.0 </w:t>
            </w:r>
          </w:p>
        </w:tc>
        <w:tc>
          <w:tcPr>
            <w:tcW w:w="1352" w:type="dxa"/>
            <w:hideMark/>
          </w:tcPr>
          <w:p w14:paraId="0A43249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1.9 </w:t>
            </w:r>
          </w:p>
        </w:tc>
        <w:tc>
          <w:tcPr>
            <w:tcW w:w="1352" w:type="dxa"/>
            <w:hideMark/>
          </w:tcPr>
          <w:p w14:paraId="4CDF34EE"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2.1 </w:t>
            </w:r>
          </w:p>
        </w:tc>
      </w:tr>
      <w:tr w:rsidR="00EA4ED3" w:rsidRPr="004A785B" w14:paraId="6E8FD00C" w14:textId="77777777" w:rsidTr="00EA4ED3">
        <w:trPr>
          <w:trHeight w:val="288"/>
        </w:trPr>
        <w:tc>
          <w:tcPr>
            <w:tcW w:w="1355" w:type="dxa"/>
            <w:vMerge/>
            <w:vAlign w:val="center"/>
            <w:hideMark/>
          </w:tcPr>
          <w:p w14:paraId="20FF779F"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039CC22B"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Home Health</w:t>
            </w:r>
          </w:p>
        </w:tc>
        <w:tc>
          <w:tcPr>
            <w:tcW w:w="1161" w:type="dxa"/>
            <w:hideMark/>
          </w:tcPr>
          <w:p w14:paraId="2FD18FF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2.7 </w:t>
            </w:r>
          </w:p>
        </w:tc>
        <w:tc>
          <w:tcPr>
            <w:tcW w:w="1209" w:type="dxa"/>
            <w:hideMark/>
          </w:tcPr>
          <w:p w14:paraId="158CADE1"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1.4 </w:t>
            </w:r>
          </w:p>
        </w:tc>
        <w:tc>
          <w:tcPr>
            <w:tcW w:w="1275" w:type="dxa"/>
            <w:hideMark/>
          </w:tcPr>
          <w:p w14:paraId="50F75E97"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6.5 </w:t>
            </w:r>
          </w:p>
        </w:tc>
        <w:tc>
          <w:tcPr>
            <w:tcW w:w="1352" w:type="dxa"/>
            <w:hideMark/>
          </w:tcPr>
          <w:p w14:paraId="3CF49621"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2.2 </w:t>
            </w:r>
          </w:p>
        </w:tc>
        <w:tc>
          <w:tcPr>
            <w:tcW w:w="1352" w:type="dxa"/>
            <w:hideMark/>
          </w:tcPr>
          <w:p w14:paraId="0E305093"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3.3 </w:t>
            </w:r>
          </w:p>
        </w:tc>
      </w:tr>
      <w:tr w:rsidR="00EA4ED3" w:rsidRPr="004A785B" w14:paraId="204B3456" w14:textId="77777777" w:rsidTr="00EA4ED3">
        <w:trPr>
          <w:trHeight w:val="288"/>
        </w:trPr>
        <w:tc>
          <w:tcPr>
            <w:tcW w:w="1355" w:type="dxa"/>
            <w:vMerge/>
            <w:vAlign w:val="center"/>
            <w:hideMark/>
          </w:tcPr>
          <w:p w14:paraId="1E2D427D"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495C7F1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vertAlign w:val="superscript"/>
              </w:rPr>
              <w:t>†</w:t>
            </w:r>
            <w:r w:rsidRPr="004A785B">
              <w:rPr>
                <w:rFonts w:asciiTheme="minorHAnsi" w:eastAsiaTheme="minorHAnsi" w:hAnsiTheme="minorHAnsi" w:cstheme="minorBidi"/>
                <w:bCs/>
                <w:sz w:val="20"/>
                <w:szCs w:val="20"/>
              </w:rPr>
              <w:t>Pre-Post-natal</w:t>
            </w:r>
          </w:p>
        </w:tc>
        <w:tc>
          <w:tcPr>
            <w:tcW w:w="1161" w:type="dxa"/>
            <w:vAlign w:val="bottom"/>
          </w:tcPr>
          <w:p w14:paraId="7C8377D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127.9</w:t>
            </w:r>
          </w:p>
        </w:tc>
        <w:tc>
          <w:tcPr>
            <w:tcW w:w="1209" w:type="dxa"/>
            <w:vAlign w:val="bottom"/>
          </w:tcPr>
          <w:p w14:paraId="5A99EDB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64.1</w:t>
            </w:r>
          </w:p>
        </w:tc>
        <w:tc>
          <w:tcPr>
            <w:tcW w:w="1275" w:type="dxa"/>
            <w:vAlign w:val="bottom"/>
          </w:tcPr>
          <w:p w14:paraId="5E425C2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253.3</w:t>
            </w:r>
          </w:p>
        </w:tc>
        <w:tc>
          <w:tcPr>
            <w:tcW w:w="1352" w:type="dxa"/>
            <w:vAlign w:val="bottom"/>
          </w:tcPr>
          <w:p w14:paraId="32D52A1E"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110.5</w:t>
            </w:r>
          </w:p>
        </w:tc>
        <w:tc>
          <w:tcPr>
            <w:tcW w:w="1352" w:type="dxa"/>
            <w:vAlign w:val="bottom"/>
          </w:tcPr>
          <w:p w14:paraId="36BD895B"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145.4</w:t>
            </w:r>
          </w:p>
        </w:tc>
      </w:tr>
      <w:tr w:rsidR="00EA4ED3" w:rsidRPr="004A785B" w14:paraId="45832AE2" w14:textId="77777777" w:rsidTr="00EA4ED3">
        <w:trPr>
          <w:trHeight w:val="288"/>
        </w:trPr>
        <w:tc>
          <w:tcPr>
            <w:tcW w:w="1355" w:type="dxa"/>
            <w:vMerge/>
            <w:vAlign w:val="center"/>
            <w:hideMark/>
          </w:tcPr>
          <w:p w14:paraId="00239DA4"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71633A3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Specialty Care</w:t>
            </w:r>
          </w:p>
        </w:tc>
        <w:tc>
          <w:tcPr>
            <w:tcW w:w="1161" w:type="dxa"/>
            <w:hideMark/>
          </w:tcPr>
          <w:p w14:paraId="06BE806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62.6 </w:t>
            </w:r>
          </w:p>
        </w:tc>
        <w:tc>
          <w:tcPr>
            <w:tcW w:w="1209" w:type="dxa"/>
            <w:hideMark/>
          </w:tcPr>
          <w:p w14:paraId="55506E2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48.9 </w:t>
            </w:r>
          </w:p>
        </w:tc>
        <w:tc>
          <w:tcPr>
            <w:tcW w:w="1275" w:type="dxa"/>
            <w:hideMark/>
          </w:tcPr>
          <w:p w14:paraId="099E57E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76.8 </w:t>
            </w:r>
          </w:p>
        </w:tc>
        <w:tc>
          <w:tcPr>
            <w:tcW w:w="1352" w:type="dxa"/>
            <w:hideMark/>
          </w:tcPr>
          <w:p w14:paraId="1A9F50A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60.1 </w:t>
            </w:r>
          </w:p>
        </w:tc>
        <w:tc>
          <w:tcPr>
            <w:tcW w:w="1352" w:type="dxa"/>
            <w:hideMark/>
          </w:tcPr>
          <w:p w14:paraId="6CE5C353"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65.2 </w:t>
            </w:r>
          </w:p>
        </w:tc>
      </w:tr>
      <w:tr w:rsidR="00EA4ED3" w:rsidRPr="004A785B" w14:paraId="4CE3684B" w14:textId="77777777" w:rsidTr="00EA4ED3">
        <w:trPr>
          <w:trHeight w:val="288"/>
        </w:trPr>
        <w:tc>
          <w:tcPr>
            <w:tcW w:w="1355" w:type="dxa"/>
            <w:vMerge w:val="restart"/>
            <w:noWrap/>
            <w:vAlign w:val="center"/>
            <w:hideMark/>
          </w:tcPr>
          <w:p w14:paraId="5410F0F3"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r w:rsidRPr="004A785B">
              <w:rPr>
                <w:rFonts w:asciiTheme="minorHAnsi" w:eastAsiaTheme="minorHAnsi" w:hAnsiTheme="minorHAnsi" w:cstheme="minorBidi"/>
                <w:b/>
                <w:bCs/>
                <w:color w:val="000000" w:themeColor="text1"/>
                <w:sz w:val="20"/>
                <w:szCs w:val="20"/>
              </w:rPr>
              <w:t>Hispanic</w:t>
            </w:r>
          </w:p>
        </w:tc>
        <w:tc>
          <w:tcPr>
            <w:tcW w:w="1656" w:type="dxa"/>
            <w:vAlign w:val="center"/>
            <w:hideMark/>
          </w:tcPr>
          <w:p w14:paraId="28F873BE"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Primary Care</w:t>
            </w:r>
          </w:p>
        </w:tc>
        <w:tc>
          <w:tcPr>
            <w:tcW w:w="1161" w:type="dxa"/>
            <w:hideMark/>
          </w:tcPr>
          <w:p w14:paraId="5E7D1537"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122.2 </w:t>
            </w:r>
          </w:p>
        </w:tc>
        <w:tc>
          <w:tcPr>
            <w:tcW w:w="1209" w:type="dxa"/>
            <w:hideMark/>
          </w:tcPr>
          <w:p w14:paraId="7FA3CCF9"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89.8 </w:t>
            </w:r>
          </w:p>
        </w:tc>
        <w:tc>
          <w:tcPr>
            <w:tcW w:w="1275" w:type="dxa"/>
            <w:hideMark/>
          </w:tcPr>
          <w:p w14:paraId="49FB5F2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162.2 </w:t>
            </w:r>
          </w:p>
        </w:tc>
        <w:tc>
          <w:tcPr>
            <w:tcW w:w="1352" w:type="dxa"/>
            <w:hideMark/>
          </w:tcPr>
          <w:p w14:paraId="4B7EF86B"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115.2 </w:t>
            </w:r>
          </w:p>
        </w:tc>
        <w:tc>
          <w:tcPr>
            <w:tcW w:w="1352" w:type="dxa"/>
            <w:hideMark/>
          </w:tcPr>
          <w:p w14:paraId="610D0E1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129.3 </w:t>
            </w:r>
          </w:p>
        </w:tc>
      </w:tr>
      <w:tr w:rsidR="00EA4ED3" w:rsidRPr="004A785B" w14:paraId="6202BD0F" w14:textId="77777777" w:rsidTr="00EA4ED3">
        <w:trPr>
          <w:trHeight w:val="288"/>
        </w:trPr>
        <w:tc>
          <w:tcPr>
            <w:tcW w:w="1355" w:type="dxa"/>
            <w:vMerge/>
            <w:vAlign w:val="center"/>
            <w:hideMark/>
          </w:tcPr>
          <w:p w14:paraId="4B24E574"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618375AB"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Behavioral Care</w:t>
            </w:r>
          </w:p>
        </w:tc>
        <w:tc>
          <w:tcPr>
            <w:tcW w:w="1161" w:type="dxa"/>
            <w:hideMark/>
          </w:tcPr>
          <w:p w14:paraId="0B461BDB"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0.5 </w:t>
            </w:r>
          </w:p>
        </w:tc>
        <w:tc>
          <w:tcPr>
            <w:tcW w:w="1209" w:type="dxa"/>
            <w:hideMark/>
          </w:tcPr>
          <w:p w14:paraId="1BA7684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0.3 </w:t>
            </w:r>
          </w:p>
        </w:tc>
        <w:tc>
          <w:tcPr>
            <w:tcW w:w="1275" w:type="dxa"/>
            <w:hideMark/>
          </w:tcPr>
          <w:p w14:paraId="0057CC07"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0.7 </w:t>
            </w:r>
          </w:p>
        </w:tc>
        <w:tc>
          <w:tcPr>
            <w:tcW w:w="1352" w:type="dxa"/>
            <w:hideMark/>
          </w:tcPr>
          <w:p w14:paraId="433ADB6B"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0.5 </w:t>
            </w:r>
          </w:p>
        </w:tc>
        <w:tc>
          <w:tcPr>
            <w:tcW w:w="1352" w:type="dxa"/>
            <w:hideMark/>
          </w:tcPr>
          <w:p w14:paraId="44007E8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0.6 </w:t>
            </w:r>
          </w:p>
        </w:tc>
      </w:tr>
      <w:tr w:rsidR="00EA4ED3" w:rsidRPr="004A785B" w14:paraId="10A9D906" w14:textId="77777777" w:rsidTr="00EA4ED3">
        <w:trPr>
          <w:trHeight w:val="288"/>
        </w:trPr>
        <w:tc>
          <w:tcPr>
            <w:tcW w:w="1355" w:type="dxa"/>
            <w:vMerge/>
            <w:vAlign w:val="center"/>
            <w:hideMark/>
          </w:tcPr>
          <w:p w14:paraId="1E1BD53F"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2CD0A1D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Home Health</w:t>
            </w:r>
          </w:p>
        </w:tc>
        <w:tc>
          <w:tcPr>
            <w:tcW w:w="1161" w:type="dxa"/>
            <w:hideMark/>
          </w:tcPr>
          <w:p w14:paraId="5ADD615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0.9 </w:t>
            </w:r>
          </w:p>
        </w:tc>
        <w:tc>
          <w:tcPr>
            <w:tcW w:w="1209" w:type="dxa"/>
            <w:hideMark/>
          </w:tcPr>
          <w:p w14:paraId="79EB1A5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0.4 </w:t>
            </w:r>
          </w:p>
        </w:tc>
        <w:tc>
          <w:tcPr>
            <w:tcW w:w="1275" w:type="dxa"/>
            <w:hideMark/>
          </w:tcPr>
          <w:p w14:paraId="4B5E8B7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2.6 </w:t>
            </w:r>
          </w:p>
        </w:tc>
        <w:tc>
          <w:tcPr>
            <w:tcW w:w="1352" w:type="dxa"/>
            <w:hideMark/>
          </w:tcPr>
          <w:p w14:paraId="05194AD9"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0.6 </w:t>
            </w:r>
          </w:p>
        </w:tc>
        <w:tc>
          <w:tcPr>
            <w:tcW w:w="1352" w:type="dxa"/>
            <w:hideMark/>
          </w:tcPr>
          <w:p w14:paraId="3659088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1.1 </w:t>
            </w:r>
          </w:p>
        </w:tc>
      </w:tr>
      <w:tr w:rsidR="00EA4ED3" w:rsidRPr="004A785B" w14:paraId="6067C893" w14:textId="77777777" w:rsidTr="00EA4ED3">
        <w:trPr>
          <w:trHeight w:val="288"/>
        </w:trPr>
        <w:tc>
          <w:tcPr>
            <w:tcW w:w="1355" w:type="dxa"/>
            <w:vMerge/>
            <w:vAlign w:val="center"/>
            <w:hideMark/>
          </w:tcPr>
          <w:p w14:paraId="5EF77FD0"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57EF371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vertAlign w:val="superscript"/>
              </w:rPr>
              <w:t>†</w:t>
            </w:r>
            <w:r w:rsidRPr="004A785B">
              <w:rPr>
                <w:rFonts w:asciiTheme="minorHAnsi" w:eastAsiaTheme="minorHAnsi" w:hAnsiTheme="minorHAnsi" w:cstheme="minorBidi"/>
                <w:bCs/>
                <w:sz w:val="20"/>
                <w:szCs w:val="20"/>
              </w:rPr>
              <w:t>Pre-Post-natal</w:t>
            </w:r>
          </w:p>
        </w:tc>
        <w:tc>
          <w:tcPr>
            <w:tcW w:w="1161" w:type="dxa"/>
            <w:vAlign w:val="bottom"/>
          </w:tcPr>
          <w:p w14:paraId="0F212FB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354.3</w:t>
            </w:r>
          </w:p>
        </w:tc>
        <w:tc>
          <w:tcPr>
            <w:tcW w:w="1209" w:type="dxa"/>
            <w:vAlign w:val="bottom"/>
          </w:tcPr>
          <w:p w14:paraId="0731635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204.2</w:t>
            </w:r>
          </w:p>
        </w:tc>
        <w:tc>
          <w:tcPr>
            <w:tcW w:w="1275" w:type="dxa"/>
            <w:vAlign w:val="bottom"/>
          </w:tcPr>
          <w:p w14:paraId="0CBBE55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606.4</w:t>
            </w:r>
          </w:p>
        </w:tc>
        <w:tc>
          <w:tcPr>
            <w:tcW w:w="1352" w:type="dxa"/>
            <w:vAlign w:val="bottom"/>
          </w:tcPr>
          <w:p w14:paraId="1F5AA01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312.5</w:t>
            </w:r>
          </w:p>
        </w:tc>
        <w:tc>
          <w:tcPr>
            <w:tcW w:w="1352" w:type="dxa"/>
            <w:vAlign w:val="bottom"/>
          </w:tcPr>
          <w:p w14:paraId="72BD3A0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396.1</w:t>
            </w:r>
          </w:p>
        </w:tc>
      </w:tr>
      <w:tr w:rsidR="00EA4ED3" w:rsidRPr="004A785B" w14:paraId="1B364460" w14:textId="77777777" w:rsidTr="00EA4ED3">
        <w:trPr>
          <w:trHeight w:val="288"/>
        </w:trPr>
        <w:tc>
          <w:tcPr>
            <w:tcW w:w="1355" w:type="dxa"/>
            <w:vMerge/>
            <w:vAlign w:val="center"/>
            <w:hideMark/>
          </w:tcPr>
          <w:p w14:paraId="0886ABDD"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317BE573"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Specialty Care</w:t>
            </w:r>
          </w:p>
        </w:tc>
        <w:tc>
          <w:tcPr>
            <w:tcW w:w="1161" w:type="dxa"/>
            <w:hideMark/>
          </w:tcPr>
          <w:p w14:paraId="791E2E09"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48.7 </w:t>
            </w:r>
          </w:p>
        </w:tc>
        <w:tc>
          <w:tcPr>
            <w:tcW w:w="1209" w:type="dxa"/>
            <w:hideMark/>
          </w:tcPr>
          <w:p w14:paraId="15D9177E"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35.5 </w:t>
            </w:r>
          </w:p>
        </w:tc>
        <w:tc>
          <w:tcPr>
            <w:tcW w:w="1275" w:type="dxa"/>
            <w:hideMark/>
          </w:tcPr>
          <w:p w14:paraId="4466F8F1"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59.3 </w:t>
            </w:r>
          </w:p>
        </w:tc>
        <w:tc>
          <w:tcPr>
            <w:tcW w:w="1352" w:type="dxa"/>
            <w:hideMark/>
          </w:tcPr>
          <w:p w14:paraId="3D6909E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46.7 </w:t>
            </w:r>
          </w:p>
        </w:tc>
        <w:tc>
          <w:tcPr>
            <w:tcW w:w="1352" w:type="dxa"/>
            <w:hideMark/>
          </w:tcPr>
          <w:p w14:paraId="01AE6A7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50.6 </w:t>
            </w:r>
          </w:p>
        </w:tc>
      </w:tr>
      <w:tr w:rsidR="00EA4ED3" w:rsidRPr="004A785B" w14:paraId="51F494D2" w14:textId="77777777" w:rsidTr="00EA4ED3">
        <w:trPr>
          <w:trHeight w:val="288"/>
        </w:trPr>
        <w:tc>
          <w:tcPr>
            <w:tcW w:w="1355" w:type="dxa"/>
            <w:vMerge w:val="restart"/>
            <w:noWrap/>
            <w:vAlign w:val="center"/>
            <w:hideMark/>
          </w:tcPr>
          <w:p w14:paraId="0BE9C9C2"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r w:rsidRPr="004A785B">
              <w:rPr>
                <w:rFonts w:asciiTheme="minorHAnsi" w:eastAsiaTheme="minorHAnsi" w:hAnsiTheme="minorHAnsi" w:cstheme="minorBidi"/>
                <w:b/>
                <w:bCs/>
                <w:color w:val="000000" w:themeColor="text1"/>
                <w:sz w:val="20"/>
                <w:szCs w:val="20"/>
              </w:rPr>
              <w:t>Not Reported</w:t>
            </w:r>
          </w:p>
        </w:tc>
        <w:tc>
          <w:tcPr>
            <w:tcW w:w="1656" w:type="dxa"/>
            <w:vAlign w:val="center"/>
            <w:hideMark/>
          </w:tcPr>
          <w:p w14:paraId="22EDC86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Primary Care</w:t>
            </w:r>
          </w:p>
        </w:tc>
        <w:tc>
          <w:tcPr>
            <w:tcW w:w="1161" w:type="dxa"/>
            <w:hideMark/>
          </w:tcPr>
          <w:p w14:paraId="172E08B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291.9 </w:t>
            </w:r>
          </w:p>
        </w:tc>
        <w:tc>
          <w:tcPr>
            <w:tcW w:w="1209" w:type="dxa"/>
            <w:hideMark/>
          </w:tcPr>
          <w:p w14:paraId="5C10FA2B"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103.0 </w:t>
            </w:r>
          </w:p>
        </w:tc>
        <w:tc>
          <w:tcPr>
            <w:tcW w:w="1275" w:type="dxa"/>
            <w:hideMark/>
          </w:tcPr>
          <w:p w14:paraId="125A2B7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677.0 </w:t>
            </w:r>
          </w:p>
        </w:tc>
        <w:tc>
          <w:tcPr>
            <w:tcW w:w="1352" w:type="dxa"/>
            <w:hideMark/>
          </w:tcPr>
          <w:p w14:paraId="2842915B"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226.9 </w:t>
            </w:r>
          </w:p>
        </w:tc>
        <w:tc>
          <w:tcPr>
            <w:tcW w:w="1352" w:type="dxa"/>
            <w:hideMark/>
          </w:tcPr>
          <w:p w14:paraId="1CCF261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356.8 </w:t>
            </w:r>
          </w:p>
        </w:tc>
      </w:tr>
      <w:tr w:rsidR="00EA4ED3" w:rsidRPr="004A785B" w14:paraId="0E0AEE04" w14:textId="77777777" w:rsidTr="00EA4ED3">
        <w:trPr>
          <w:trHeight w:val="288"/>
        </w:trPr>
        <w:tc>
          <w:tcPr>
            <w:tcW w:w="1355" w:type="dxa"/>
            <w:vMerge/>
            <w:vAlign w:val="center"/>
            <w:hideMark/>
          </w:tcPr>
          <w:p w14:paraId="2EFE280A"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6752C2C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Behavioral Care</w:t>
            </w:r>
          </w:p>
        </w:tc>
        <w:tc>
          <w:tcPr>
            <w:tcW w:w="1161" w:type="dxa"/>
            <w:hideMark/>
          </w:tcPr>
          <w:p w14:paraId="6D0625A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2.4 </w:t>
            </w:r>
          </w:p>
        </w:tc>
        <w:tc>
          <w:tcPr>
            <w:tcW w:w="1209" w:type="dxa"/>
            <w:hideMark/>
          </w:tcPr>
          <w:p w14:paraId="1FDF52B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1.3 </w:t>
            </w:r>
          </w:p>
        </w:tc>
        <w:tc>
          <w:tcPr>
            <w:tcW w:w="1275" w:type="dxa"/>
            <w:hideMark/>
          </w:tcPr>
          <w:p w14:paraId="5574B7E7"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4.1 </w:t>
            </w:r>
          </w:p>
        </w:tc>
        <w:tc>
          <w:tcPr>
            <w:tcW w:w="1352" w:type="dxa"/>
            <w:hideMark/>
          </w:tcPr>
          <w:p w14:paraId="79C0041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2.1 </w:t>
            </w:r>
          </w:p>
        </w:tc>
        <w:tc>
          <w:tcPr>
            <w:tcW w:w="1352" w:type="dxa"/>
            <w:hideMark/>
          </w:tcPr>
          <w:p w14:paraId="5668D04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2.7 </w:t>
            </w:r>
          </w:p>
        </w:tc>
      </w:tr>
      <w:tr w:rsidR="00EA4ED3" w:rsidRPr="004A785B" w14:paraId="48AE38A0" w14:textId="77777777" w:rsidTr="00EA4ED3">
        <w:trPr>
          <w:trHeight w:val="288"/>
        </w:trPr>
        <w:tc>
          <w:tcPr>
            <w:tcW w:w="1355" w:type="dxa"/>
            <w:vMerge/>
            <w:vAlign w:val="center"/>
            <w:hideMark/>
          </w:tcPr>
          <w:p w14:paraId="5459C819"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135E4D3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Home Health</w:t>
            </w:r>
          </w:p>
        </w:tc>
        <w:tc>
          <w:tcPr>
            <w:tcW w:w="1161" w:type="dxa"/>
            <w:hideMark/>
          </w:tcPr>
          <w:p w14:paraId="23C4DA33"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2.5 </w:t>
            </w:r>
          </w:p>
        </w:tc>
        <w:tc>
          <w:tcPr>
            <w:tcW w:w="1209" w:type="dxa"/>
            <w:hideMark/>
          </w:tcPr>
          <w:p w14:paraId="51F3983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1.0 </w:t>
            </w:r>
          </w:p>
        </w:tc>
        <w:tc>
          <w:tcPr>
            <w:tcW w:w="1275" w:type="dxa"/>
            <w:hideMark/>
          </w:tcPr>
          <w:p w14:paraId="0924417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5.9 </w:t>
            </w:r>
          </w:p>
        </w:tc>
        <w:tc>
          <w:tcPr>
            <w:tcW w:w="1352" w:type="dxa"/>
            <w:hideMark/>
          </w:tcPr>
          <w:p w14:paraId="4EF03BE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2.0 </w:t>
            </w:r>
          </w:p>
        </w:tc>
        <w:tc>
          <w:tcPr>
            <w:tcW w:w="1352" w:type="dxa"/>
            <w:hideMark/>
          </w:tcPr>
          <w:p w14:paraId="71363C2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3.1 </w:t>
            </w:r>
          </w:p>
        </w:tc>
      </w:tr>
      <w:tr w:rsidR="00EA4ED3" w:rsidRPr="004A785B" w14:paraId="15D427D2" w14:textId="77777777" w:rsidTr="00EA4ED3">
        <w:trPr>
          <w:trHeight w:val="288"/>
        </w:trPr>
        <w:tc>
          <w:tcPr>
            <w:tcW w:w="1355" w:type="dxa"/>
            <w:vMerge/>
            <w:vAlign w:val="center"/>
            <w:hideMark/>
          </w:tcPr>
          <w:p w14:paraId="5EBF1C3A"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64AACF8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vertAlign w:val="superscript"/>
              </w:rPr>
              <w:t>†</w:t>
            </w:r>
            <w:r w:rsidRPr="004A785B">
              <w:rPr>
                <w:rFonts w:asciiTheme="minorHAnsi" w:eastAsiaTheme="minorHAnsi" w:hAnsiTheme="minorHAnsi" w:cstheme="minorBidi"/>
                <w:bCs/>
                <w:sz w:val="20"/>
                <w:szCs w:val="20"/>
              </w:rPr>
              <w:t>Pre-Post-natal</w:t>
            </w:r>
          </w:p>
        </w:tc>
        <w:tc>
          <w:tcPr>
            <w:tcW w:w="1161" w:type="dxa"/>
            <w:vAlign w:val="bottom"/>
          </w:tcPr>
          <w:p w14:paraId="07E98FC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196.1</w:t>
            </w:r>
          </w:p>
        </w:tc>
        <w:tc>
          <w:tcPr>
            <w:tcW w:w="1209" w:type="dxa"/>
            <w:vAlign w:val="bottom"/>
          </w:tcPr>
          <w:p w14:paraId="263D44D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86.9</w:t>
            </w:r>
          </w:p>
        </w:tc>
        <w:tc>
          <w:tcPr>
            <w:tcW w:w="1275" w:type="dxa"/>
            <w:vAlign w:val="bottom"/>
          </w:tcPr>
          <w:p w14:paraId="1786E8D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454.9</w:t>
            </w:r>
          </w:p>
        </w:tc>
        <w:tc>
          <w:tcPr>
            <w:tcW w:w="1352" w:type="dxa"/>
            <w:vAlign w:val="bottom"/>
          </w:tcPr>
          <w:p w14:paraId="2DA02A5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158.0</w:t>
            </w:r>
          </w:p>
        </w:tc>
        <w:tc>
          <w:tcPr>
            <w:tcW w:w="1352" w:type="dxa"/>
            <w:vAlign w:val="bottom"/>
          </w:tcPr>
          <w:p w14:paraId="748462EE"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234.3</w:t>
            </w:r>
          </w:p>
        </w:tc>
      </w:tr>
      <w:tr w:rsidR="00EA4ED3" w:rsidRPr="004A785B" w14:paraId="2A02E4C3" w14:textId="77777777" w:rsidTr="00EA4ED3">
        <w:trPr>
          <w:trHeight w:val="288"/>
        </w:trPr>
        <w:tc>
          <w:tcPr>
            <w:tcW w:w="1355" w:type="dxa"/>
            <w:vMerge/>
            <w:vAlign w:val="center"/>
            <w:hideMark/>
          </w:tcPr>
          <w:p w14:paraId="07085160"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p>
        </w:tc>
        <w:tc>
          <w:tcPr>
            <w:tcW w:w="1656" w:type="dxa"/>
            <w:vAlign w:val="center"/>
            <w:hideMark/>
          </w:tcPr>
          <w:p w14:paraId="6526782F"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Specialty Care</w:t>
            </w:r>
          </w:p>
        </w:tc>
        <w:tc>
          <w:tcPr>
            <w:tcW w:w="1161" w:type="dxa"/>
            <w:hideMark/>
          </w:tcPr>
          <w:p w14:paraId="0FDD98A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128.1 </w:t>
            </w:r>
          </w:p>
        </w:tc>
        <w:tc>
          <w:tcPr>
            <w:tcW w:w="1209" w:type="dxa"/>
            <w:hideMark/>
          </w:tcPr>
          <w:p w14:paraId="43357ED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58.3 </w:t>
            </w:r>
          </w:p>
        </w:tc>
        <w:tc>
          <w:tcPr>
            <w:tcW w:w="1275" w:type="dxa"/>
            <w:hideMark/>
          </w:tcPr>
          <w:p w14:paraId="764F6E25"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273.6 </w:t>
            </w:r>
          </w:p>
        </w:tc>
        <w:tc>
          <w:tcPr>
            <w:tcW w:w="1352" w:type="dxa"/>
            <w:hideMark/>
          </w:tcPr>
          <w:p w14:paraId="60416731"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102.9 </w:t>
            </w:r>
          </w:p>
        </w:tc>
        <w:tc>
          <w:tcPr>
            <w:tcW w:w="1352" w:type="dxa"/>
            <w:hideMark/>
          </w:tcPr>
          <w:p w14:paraId="4820B66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153.3 </w:t>
            </w:r>
          </w:p>
        </w:tc>
      </w:tr>
      <w:tr w:rsidR="00EA4ED3" w:rsidRPr="004A785B" w14:paraId="0FA09F73" w14:textId="77777777" w:rsidTr="00EA4ED3">
        <w:trPr>
          <w:trHeight w:val="288"/>
        </w:trPr>
        <w:tc>
          <w:tcPr>
            <w:tcW w:w="1355" w:type="dxa"/>
            <w:vMerge w:val="restart"/>
            <w:noWrap/>
            <w:vAlign w:val="center"/>
            <w:hideMark/>
          </w:tcPr>
          <w:p w14:paraId="4C0EE807" w14:textId="77777777" w:rsidR="00EA4ED3" w:rsidRPr="004A785B" w:rsidRDefault="00EA4ED3" w:rsidP="00EA4ED3">
            <w:pPr>
              <w:jc w:val="center"/>
              <w:rPr>
                <w:rFonts w:asciiTheme="minorHAnsi" w:eastAsiaTheme="minorHAnsi" w:hAnsiTheme="minorHAnsi" w:cstheme="minorBidi"/>
                <w:b/>
                <w:bCs/>
                <w:color w:val="000000" w:themeColor="text1"/>
                <w:sz w:val="20"/>
                <w:szCs w:val="20"/>
              </w:rPr>
            </w:pPr>
            <w:r w:rsidRPr="004A785B">
              <w:rPr>
                <w:rFonts w:asciiTheme="minorHAnsi" w:eastAsiaTheme="minorHAnsi" w:hAnsiTheme="minorHAnsi" w:cstheme="minorBidi"/>
                <w:b/>
                <w:bCs/>
                <w:color w:val="000000" w:themeColor="text1"/>
                <w:sz w:val="20"/>
                <w:szCs w:val="20"/>
              </w:rPr>
              <w:t>White</w:t>
            </w:r>
          </w:p>
        </w:tc>
        <w:tc>
          <w:tcPr>
            <w:tcW w:w="1656" w:type="dxa"/>
            <w:vAlign w:val="center"/>
            <w:hideMark/>
          </w:tcPr>
          <w:p w14:paraId="72E8308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Primary Care</w:t>
            </w:r>
          </w:p>
        </w:tc>
        <w:tc>
          <w:tcPr>
            <w:tcW w:w="1161" w:type="dxa"/>
            <w:hideMark/>
          </w:tcPr>
          <w:p w14:paraId="509B938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126.7 </w:t>
            </w:r>
          </w:p>
        </w:tc>
        <w:tc>
          <w:tcPr>
            <w:tcW w:w="1209" w:type="dxa"/>
            <w:hideMark/>
          </w:tcPr>
          <w:p w14:paraId="7B7750B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87.6 </w:t>
            </w:r>
          </w:p>
        </w:tc>
        <w:tc>
          <w:tcPr>
            <w:tcW w:w="1275" w:type="dxa"/>
            <w:hideMark/>
          </w:tcPr>
          <w:p w14:paraId="2B60A94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215.5 </w:t>
            </w:r>
          </w:p>
        </w:tc>
        <w:tc>
          <w:tcPr>
            <w:tcW w:w="1352" w:type="dxa"/>
            <w:hideMark/>
          </w:tcPr>
          <w:p w14:paraId="364A6A73"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113.2 </w:t>
            </w:r>
          </w:p>
        </w:tc>
        <w:tc>
          <w:tcPr>
            <w:tcW w:w="1352" w:type="dxa"/>
            <w:hideMark/>
          </w:tcPr>
          <w:p w14:paraId="5FE281F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140.1 </w:t>
            </w:r>
          </w:p>
        </w:tc>
      </w:tr>
      <w:tr w:rsidR="00EA4ED3" w:rsidRPr="004A785B" w14:paraId="76F0576D" w14:textId="77777777" w:rsidTr="00EA4ED3">
        <w:trPr>
          <w:trHeight w:val="288"/>
        </w:trPr>
        <w:tc>
          <w:tcPr>
            <w:tcW w:w="1355" w:type="dxa"/>
            <w:vMerge/>
            <w:hideMark/>
          </w:tcPr>
          <w:p w14:paraId="2011B387" w14:textId="77777777" w:rsidR="00EA4ED3" w:rsidRPr="004A785B" w:rsidRDefault="00EA4ED3" w:rsidP="00EA4ED3">
            <w:pPr>
              <w:rPr>
                <w:rFonts w:asciiTheme="minorHAnsi" w:eastAsiaTheme="minorHAnsi" w:hAnsiTheme="minorHAnsi" w:cstheme="minorBidi"/>
                <w:bCs/>
                <w:sz w:val="20"/>
                <w:szCs w:val="20"/>
              </w:rPr>
            </w:pPr>
          </w:p>
        </w:tc>
        <w:tc>
          <w:tcPr>
            <w:tcW w:w="1656" w:type="dxa"/>
            <w:vAlign w:val="center"/>
            <w:hideMark/>
          </w:tcPr>
          <w:p w14:paraId="62211716"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Behavioral Care</w:t>
            </w:r>
          </w:p>
        </w:tc>
        <w:tc>
          <w:tcPr>
            <w:tcW w:w="1161" w:type="dxa"/>
            <w:hideMark/>
          </w:tcPr>
          <w:p w14:paraId="2A7F870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2.4 </w:t>
            </w:r>
          </w:p>
        </w:tc>
        <w:tc>
          <w:tcPr>
            <w:tcW w:w="1209" w:type="dxa"/>
            <w:hideMark/>
          </w:tcPr>
          <w:p w14:paraId="796CD25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1.6 </w:t>
            </w:r>
          </w:p>
        </w:tc>
        <w:tc>
          <w:tcPr>
            <w:tcW w:w="1275" w:type="dxa"/>
            <w:hideMark/>
          </w:tcPr>
          <w:p w14:paraId="5ECD4A09"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3.7 </w:t>
            </w:r>
          </w:p>
        </w:tc>
        <w:tc>
          <w:tcPr>
            <w:tcW w:w="1352" w:type="dxa"/>
            <w:hideMark/>
          </w:tcPr>
          <w:p w14:paraId="049E289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2.2 </w:t>
            </w:r>
          </w:p>
        </w:tc>
        <w:tc>
          <w:tcPr>
            <w:tcW w:w="1352" w:type="dxa"/>
            <w:hideMark/>
          </w:tcPr>
          <w:p w14:paraId="42880338"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2.6 </w:t>
            </w:r>
          </w:p>
        </w:tc>
      </w:tr>
      <w:tr w:rsidR="00EA4ED3" w:rsidRPr="004A785B" w14:paraId="74B02FD2" w14:textId="77777777" w:rsidTr="00EA4ED3">
        <w:trPr>
          <w:trHeight w:val="288"/>
        </w:trPr>
        <w:tc>
          <w:tcPr>
            <w:tcW w:w="1355" w:type="dxa"/>
            <w:vMerge/>
            <w:hideMark/>
          </w:tcPr>
          <w:p w14:paraId="7D56F9DD" w14:textId="77777777" w:rsidR="00EA4ED3" w:rsidRPr="004A785B" w:rsidRDefault="00EA4ED3" w:rsidP="00EA4ED3">
            <w:pPr>
              <w:rPr>
                <w:rFonts w:asciiTheme="minorHAnsi" w:eastAsiaTheme="minorHAnsi" w:hAnsiTheme="minorHAnsi" w:cstheme="minorBidi"/>
                <w:bCs/>
                <w:sz w:val="20"/>
                <w:szCs w:val="20"/>
              </w:rPr>
            </w:pPr>
          </w:p>
        </w:tc>
        <w:tc>
          <w:tcPr>
            <w:tcW w:w="1656" w:type="dxa"/>
            <w:vAlign w:val="center"/>
            <w:hideMark/>
          </w:tcPr>
          <w:p w14:paraId="0CBC8A80"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Home Health</w:t>
            </w:r>
          </w:p>
        </w:tc>
        <w:tc>
          <w:tcPr>
            <w:tcW w:w="1161" w:type="dxa"/>
            <w:hideMark/>
          </w:tcPr>
          <w:p w14:paraId="381A03AD"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3.0 </w:t>
            </w:r>
          </w:p>
        </w:tc>
        <w:tc>
          <w:tcPr>
            <w:tcW w:w="1209" w:type="dxa"/>
            <w:hideMark/>
          </w:tcPr>
          <w:p w14:paraId="590BE00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1.5 </w:t>
            </w:r>
          </w:p>
        </w:tc>
        <w:tc>
          <w:tcPr>
            <w:tcW w:w="1275" w:type="dxa"/>
            <w:hideMark/>
          </w:tcPr>
          <w:p w14:paraId="379D969A"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6.7 </w:t>
            </w:r>
          </w:p>
        </w:tc>
        <w:tc>
          <w:tcPr>
            <w:tcW w:w="1352" w:type="dxa"/>
            <w:hideMark/>
          </w:tcPr>
          <w:p w14:paraId="33A75EA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2.5 </w:t>
            </w:r>
          </w:p>
        </w:tc>
        <w:tc>
          <w:tcPr>
            <w:tcW w:w="1352" w:type="dxa"/>
            <w:hideMark/>
          </w:tcPr>
          <w:p w14:paraId="36E7C653"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3.6 </w:t>
            </w:r>
          </w:p>
        </w:tc>
      </w:tr>
      <w:tr w:rsidR="00EA4ED3" w:rsidRPr="004A785B" w14:paraId="583D838F" w14:textId="77777777" w:rsidTr="00EA4ED3">
        <w:trPr>
          <w:trHeight w:val="288"/>
        </w:trPr>
        <w:tc>
          <w:tcPr>
            <w:tcW w:w="1355" w:type="dxa"/>
            <w:vMerge/>
            <w:hideMark/>
          </w:tcPr>
          <w:p w14:paraId="26278B0B" w14:textId="77777777" w:rsidR="00EA4ED3" w:rsidRPr="004A785B" w:rsidRDefault="00EA4ED3" w:rsidP="00EA4ED3">
            <w:pPr>
              <w:rPr>
                <w:rFonts w:asciiTheme="minorHAnsi" w:eastAsiaTheme="minorHAnsi" w:hAnsiTheme="minorHAnsi" w:cstheme="minorBidi"/>
                <w:bCs/>
                <w:sz w:val="20"/>
                <w:szCs w:val="20"/>
              </w:rPr>
            </w:pPr>
          </w:p>
        </w:tc>
        <w:tc>
          <w:tcPr>
            <w:tcW w:w="1656" w:type="dxa"/>
            <w:vAlign w:val="center"/>
            <w:hideMark/>
          </w:tcPr>
          <w:p w14:paraId="560DF34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vertAlign w:val="superscript"/>
              </w:rPr>
              <w:t>†</w:t>
            </w:r>
            <w:r w:rsidRPr="004A785B">
              <w:rPr>
                <w:rFonts w:asciiTheme="minorHAnsi" w:eastAsiaTheme="minorHAnsi" w:hAnsiTheme="minorHAnsi" w:cstheme="minorBidi"/>
                <w:bCs/>
                <w:sz w:val="20"/>
                <w:szCs w:val="20"/>
              </w:rPr>
              <w:t>Pre-Post-natal</w:t>
            </w:r>
          </w:p>
        </w:tc>
        <w:tc>
          <w:tcPr>
            <w:tcW w:w="1161" w:type="dxa"/>
            <w:vAlign w:val="bottom"/>
          </w:tcPr>
          <w:p w14:paraId="703B7D5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188.9</w:t>
            </w:r>
          </w:p>
        </w:tc>
        <w:tc>
          <w:tcPr>
            <w:tcW w:w="1209" w:type="dxa"/>
            <w:vAlign w:val="bottom"/>
          </w:tcPr>
          <w:p w14:paraId="3543EDB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88.9</w:t>
            </w:r>
          </w:p>
        </w:tc>
        <w:tc>
          <w:tcPr>
            <w:tcW w:w="1275" w:type="dxa"/>
            <w:vAlign w:val="bottom"/>
          </w:tcPr>
          <w:p w14:paraId="0A0426A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396.4</w:t>
            </w:r>
          </w:p>
        </w:tc>
        <w:tc>
          <w:tcPr>
            <w:tcW w:w="1352" w:type="dxa"/>
            <w:vAlign w:val="bottom"/>
          </w:tcPr>
          <w:p w14:paraId="5C4AC674"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163.9</w:t>
            </w:r>
          </w:p>
        </w:tc>
        <w:tc>
          <w:tcPr>
            <w:tcW w:w="1352" w:type="dxa"/>
            <w:vAlign w:val="bottom"/>
          </w:tcPr>
          <w:p w14:paraId="3BAC336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213.8</w:t>
            </w:r>
          </w:p>
        </w:tc>
      </w:tr>
      <w:tr w:rsidR="00EA4ED3" w:rsidRPr="004A785B" w14:paraId="63F457A7" w14:textId="77777777" w:rsidTr="00EA4ED3">
        <w:trPr>
          <w:trHeight w:val="288"/>
        </w:trPr>
        <w:tc>
          <w:tcPr>
            <w:tcW w:w="1355" w:type="dxa"/>
            <w:vMerge/>
            <w:hideMark/>
          </w:tcPr>
          <w:p w14:paraId="4AECF02C" w14:textId="77777777" w:rsidR="00EA4ED3" w:rsidRPr="004A785B" w:rsidRDefault="00EA4ED3" w:rsidP="00EA4ED3">
            <w:pPr>
              <w:rPr>
                <w:rFonts w:asciiTheme="minorHAnsi" w:eastAsiaTheme="minorHAnsi" w:hAnsiTheme="minorHAnsi" w:cstheme="minorBidi"/>
                <w:bCs/>
                <w:sz w:val="20"/>
                <w:szCs w:val="20"/>
              </w:rPr>
            </w:pPr>
          </w:p>
        </w:tc>
        <w:tc>
          <w:tcPr>
            <w:tcW w:w="1656" w:type="dxa"/>
            <w:vAlign w:val="center"/>
            <w:hideMark/>
          </w:tcPr>
          <w:p w14:paraId="7EC69F0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Specialty Care</w:t>
            </w:r>
          </w:p>
        </w:tc>
        <w:tc>
          <w:tcPr>
            <w:tcW w:w="1161" w:type="dxa"/>
            <w:hideMark/>
          </w:tcPr>
          <w:p w14:paraId="24D0921C"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63.8 </w:t>
            </w:r>
          </w:p>
        </w:tc>
        <w:tc>
          <w:tcPr>
            <w:tcW w:w="1209" w:type="dxa"/>
            <w:hideMark/>
          </w:tcPr>
          <w:p w14:paraId="708214A9"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44.3 </w:t>
            </w:r>
          </w:p>
        </w:tc>
        <w:tc>
          <w:tcPr>
            <w:tcW w:w="1275" w:type="dxa"/>
            <w:hideMark/>
          </w:tcPr>
          <w:p w14:paraId="495F8517"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84.4 </w:t>
            </w:r>
          </w:p>
        </w:tc>
        <w:tc>
          <w:tcPr>
            <w:tcW w:w="1352" w:type="dxa"/>
            <w:hideMark/>
          </w:tcPr>
          <w:p w14:paraId="70819A32"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59.7 </w:t>
            </w:r>
          </w:p>
        </w:tc>
        <w:tc>
          <w:tcPr>
            <w:tcW w:w="1352" w:type="dxa"/>
            <w:hideMark/>
          </w:tcPr>
          <w:p w14:paraId="37055E03" w14:textId="77777777" w:rsidR="00EA4ED3" w:rsidRPr="004A785B" w:rsidRDefault="00EA4ED3" w:rsidP="00EA4ED3">
            <w:pPr>
              <w:rPr>
                <w:rFonts w:asciiTheme="minorHAnsi" w:eastAsiaTheme="minorHAnsi" w:hAnsiTheme="minorHAnsi" w:cstheme="minorBidi"/>
                <w:bCs/>
                <w:sz w:val="20"/>
                <w:szCs w:val="20"/>
              </w:rPr>
            </w:pPr>
            <w:r w:rsidRPr="004A785B">
              <w:rPr>
                <w:rFonts w:asciiTheme="minorHAnsi" w:eastAsiaTheme="minorHAnsi" w:hAnsiTheme="minorHAnsi" w:cstheme="minorBidi"/>
                <w:bCs/>
                <w:sz w:val="20"/>
                <w:szCs w:val="20"/>
              </w:rPr>
              <w:t xml:space="preserve">                      67.8 </w:t>
            </w:r>
          </w:p>
        </w:tc>
      </w:tr>
    </w:tbl>
    <w:p w14:paraId="2FD39535" w14:textId="77777777" w:rsidR="00EA4ED3" w:rsidRPr="004A785B" w:rsidRDefault="00EA4ED3" w:rsidP="00EA4ED3">
      <w:pPr>
        <w:rPr>
          <w:rFonts w:asciiTheme="minorHAnsi" w:eastAsiaTheme="minorHAnsi" w:hAnsiTheme="minorHAnsi" w:cs="Tahoma"/>
          <w:sz w:val="16"/>
          <w:szCs w:val="16"/>
        </w:rPr>
      </w:pPr>
      <w:r w:rsidRPr="004A785B">
        <w:rPr>
          <w:rFonts w:asciiTheme="minorHAnsi" w:eastAsiaTheme="minorHAnsi" w:hAnsiTheme="minorHAnsi" w:cs="Tahoma"/>
          <w:b/>
          <w:sz w:val="16"/>
          <w:szCs w:val="16"/>
        </w:rPr>
        <w:t>Source:</w:t>
      </w:r>
      <w:r w:rsidRPr="004A785B">
        <w:rPr>
          <w:rFonts w:asciiTheme="minorHAnsi" w:eastAsiaTheme="minorHAnsi" w:hAnsiTheme="minorHAnsi" w:cs="Tahoma"/>
          <w:sz w:val="16"/>
          <w:szCs w:val="16"/>
        </w:rPr>
        <w:t xml:space="preserve"> Created by DHCS Research and Analytic Studies Division using data from the Medi-Cal Management Information System/Decision Support System (MIS/DSS) claims, provider, and enrollment tables.</w:t>
      </w:r>
    </w:p>
    <w:p w14:paraId="630FEF8A" w14:textId="77777777" w:rsidR="00EA4ED3" w:rsidRPr="004A785B" w:rsidRDefault="00EA4ED3" w:rsidP="00EA4ED3">
      <w:pPr>
        <w:rPr>
          <w:rFonts w:asciiTheme="minorHAnsi" w:eastAsiaTheme="minorHAnsi" w:hAnsiTheme="minorHAnsi" w:cs="Tahoma"/>
          <w:sz w:val="20"/>
          <w:szCs w:val="20"/>
        </w:rPr>
      </w:pPr>
      <w:r w:rsidRPr="004A785B">
        <w:rPr>
          <w:rFonts w:asciiTheme="minorHAnsi" w:eastAsiaTheme="minorHAnsi" w:hAnsiTheme="minorHAnsi" w:cs="Tahoma"/>
          <w:sz w:val="16"/>
          <w:szCs w:val="16"/>
          <w:vertAlign w:val="superscript"/>
        </w:rPr>
        <w:t>†</w:t>
      </w:r>
      <w:r w:rsidRPr="004A785B">
        <w:rPr>
          <w:rFonts w:asciiTheme="minorHAnsi" w:eastAsiaTheme="minorHAnsi" w:hAnsiTheme="minorHAnsi" w:cs="Tahoma"/>
          <w:sz w:val="16"/>
          <w:szCs w:val="16"/>
        </w:rPr>
        <w:t>The Pre-Post-natal service category includes services for women ages 15-44 enrolled in FFS for any length of period. It is not limited to only those women with at least 11 months of enrollment in FFS.</w:t>
      </w:r>
    </w:p>
    <w:p w14:paraId="75656070" w14:textId="77777777" w:rsidR="00EA4ED3" w:rsidRPr="004A785B" w:rsidRDefault="00EA4ED3" w:rsidP="00EA4ED3">
      <w:pPr>
        <w:rPr>
          <w:rFonts w:asciiTheme="minorHAnsi" w:eastAsiaTheme="minorHAnsi" w:hAnsiTheme="minorHAnsi" w:cstheme="minorBidi"/>
          <w:b/>
          <w:bCs/>
          <w:sz w:val="20"/>
          <w:szCs w:val="20"/>
        </w:rPr>
      </w:pPr>
    </w:p>
    <w:bookmarkEnd w:id="414"/>
    <w:p w14:paraId="4D31AAB0" w14:textId="77777777" w:rsidR="00B43BB5" w:rsidRDefault="00B43BB5" w:rsidP="00EA4ED3">
      <w:pPr>
        <w:spacing w:after="120"/>
        <w:rPr>
          <w:rFonts w:asciiTheme="minorHAnsi" w:eastAsia="Calibri" w:hAnsiTheme="minorHAnsi" w:cs="Tahoma"/>
          <w:b/>
        </w:rPr>
      </w:pPr>
    </w:p>
    <w:p w14:paraId="056E017A" w14:textId="77777777" w:rsidR="00EA4ED3" w:rsidRPr="004A785B" w:rsidRDefault="00EA4ED3" w:rsidP="00EA4ED3">
      <w:pPr>
        <w:spacing w:after="120"/>
        <w:rPr>
          <w:rFonts w:asciiTheme="minorHAnsi" w:eastAsia="Calibri" w:hAnsiTheme="minorHAnsi" w:cs="Tahoma"/>
          <w:b/>
        </w:rPr>
      </w:pPr>
      <w:r w:rsidRPr="004A785B">
        <w:rPr>
          <w:rFonts w:asciiTheme="minorHAnsi" w:eastAsia="Calibri" w:hAnsiTheme="minorHAnsi" w:cs="Tahoma"/>
          <w:b/>
        </w:rPr>
        <w:t>Conclusion</w:t>
      </w:r>
    </w:p>
    <w:p w14:paraId="683B4922" w14:textId="77777777" w:rsidR="00EA4ED3" w:rsidRPr="00B43BB5" w:rsidRDefault="00EA4ED3" w:rsidP="00B43BB5">
      <w:pPr>
        <w:pStyle w:val="ListParagraph"/>
        <w:numPr>
          <w:ilvl w:val="0"/>
          <w:numId w:val="42"/>
        </w:numPr>
        <w:autoSpaceDE w:val="0"/>
        <w:autoSpaceDN w:val="0"/>
        <w:spacing w:after="200" w:line="276" w:lineRule="auto"/>
        <w:rPr>
          <w:rFonts w:asciiTheme="minorHAnsi" w:eastAsiaTheme="minorHAnsi" w:hAnsiTheme="minorHAnsi" w:cs="Georgia"/>
          <w:color w:val="000000"/>
        </w:rPr>
      </w:pPr>
      <w:r w:rsidRPr="00B43BB5">
        <w:rPr>
          <w:rFonts w:asciiTheme="minorHAnsi" w:eastAsiaTheme="minorHAnsi" w:hAnsiTheme="minorHAnsi" w:cstheme="minorBidi"/>
        </w:rPr>
        <w:t>The utilization statistics presented in this domain for state fiscal years 2012-13, 2013-14, and 2014-15 form a baseline that will be utilized to develop Shewhart control charts. This will allow DHCS to c</w:t>
      </w:r>
      <w:r w:rsidRPr="00B43BB5">
        <w:rPr>
          <w:rFonts w:asciiTheme="minorHAnsi" w:eastAsiaTheme="minorHAnsi" w:hAnsiTheme="minorHAnsi" w:cs="Georgia"/>
          <w:color w:val="000000"/>
        </w:rPr>
        <w:t xml:space="preserve">ompare future utilization rates to the mean, upper, and lower control limits and can lead to inferences regarding whether the data are within an expected or predictable range, or whether there are marked changes in the data over time. </w:t>
      </w:r>
    </w:p>
    <w:p w14:paraId="457196CF" w14:textId="77777777" w:rsidR="00EA4ED3" w:rsidRPr="00B43BB5" w:rsidRDefault="00EA4ED3" w:rsidP="00B43BB5">
      <w:pPr>
        <w:pStyle w:val="ListParagraph"/>
        <w:numPr>
          <w:ilvl w:val="0"/>
          <w:numId w:val="42"/>
        </w:numPr>
        <w:autoSpaceDE w:val="0"/>
        <w:autoSpaceDN w:val="0"/>
        <w:spacing w:after="200" w:line="276" w:lineRule="auto"/>
        <w:rPr>
          <w:rFonts w:asciiTheme="minorHAnsi" w:eastAsia="Calibri" w:hAnsiTheme="minorHAnsi"/>
        </w:rPr>
      </w:pPr>
      <w:r w:rsidRPr="00B43BB5">
        <w:rPr>
          <w:rFonts w:asciiTheme="minorHAnsi" w:eastAsiaTheme="minorHAnsi" w:hAnsiTheme="minorHAnsi" w:cs="Georgia"/>
          <w:color w:val="000000"/>
        </w:rPr>
        <w:t xml:space="preserve">Although the utilization data will be utilized for subsequent analyses, the rates presented for each grouping are consistent with scope of coverage, geographic dispersion,   </w:t>
      </w:r>
    </w:p>
    <w:p w14:paraId="31B36DE6" w14:textId="77777777" w:rsidR="00EA4ED3" w:rsidRPr="00B43BB5" w:rsidRDefault="00EA4ED3" w:rsidP="00B43BB5">
      <w:pPr>
        <w:pStyle w:val="ListParagraph"/>
        <w:numPr>
          <w:ilvl w:val="0"/>
          <w:numId w:val="42"/>
        </w:numPr>
        <w:autoSpaceDE w:val="0"/>
        <w:autoSpaceDN w:val="0"/>
        <w:spacing w:after="200" w:line="276" w:lineRule="auto"/>
        <w:rPr>
          <w:rFonts w:asciiTheme="minorHAnsi" w:eastAsiaTheme="minorHAnsi" w:hAnsiTheme="minorHAnsi" w:cstheme="minorBidi"/>
        </w:rPr>
      </w:pPr>
      <w:r w:rsidRPr="00B43BB5">
        <w:rPr>
          <w:rFonts w:asciiTheme="minorHAnsi" w:eastAsiaTheme="minorHAnsi" w:hAnsiTheme="minorHAnsi" w:cstheme="minorBidi"/>
        </w:rPr>
        <w:t xml:space="preserve">As previously discussed, when individuals and specific services are moved and delegated to managed care delivery systems, the utilization among the FFS population is dramatically altered.  As a result, sample size and rate stability may become problematic and require reevaluation of groupings and specific baselines.  </w:t>
      </w:r>
    </w:p>
    <w:p w14:paraId="4B8BDD35" w14:textId="77777777" w:rsidR="00EA4ED3" w:rsidRDefault="00EA4ED3">
      <w:pPr>
        <w:spacing w:after="200" w:line="276" w:lineRule="auto"/>
        <w:rPr>
          <w:rFonts w:asciiTheme="minorHAnsi" w:eastAsiaTheme="majorEastAsia" w:hAnsiTheme="minorHAnsi" w:cstheme="majorBidi"/>
          <w:b/>
          <w:bCs/>
          <w:sz w:val="32"/>
          <w:szCs w:val="26"/>
        </w:rPr>
      </w:pPr>
      <w:r>
        <w:rPr>
          <w:rFonts w:asciiTheme="minorHAnsi" w:eastAsiaTheme="majorEastAsia" w:hAnsiTheme="minorHAnsi" w:cstheme="majorBidi"/>
          <w:b/>
          <w:bCs/>
          <w:sz w:val="32"/>
          <w:szCs w:val="26"/>
        </w:rPr>
        <w:br w:type="page"/>
      </w:r>
    </w:p>
    <w:p w14:paraId="4FB20D20" w14:textId="77777777" w:rsidR="00FD328A" w:rsidRPr="00105FFC" w:rsidRDefault="00FD328A" w:rsidP="00FD328A">
      <w:pPr>
        <w:keepNext/>
        <w:keepLines/>
        <w:outlineLvl w:val="1"/>
        <w:rPr>
          <w:rFonts w:asciiTheme="minorHAnsi" w:eastAsiaTheme="majorEastAsia" w:hAnsiTheme="minorHAnsi" w:cstheme="majorBidi"/>
          <w:b/>
          <w:bCs/>
          <w:sz w:val="32"/>
          <w:szCs w:val="26"/>
        </w:rPr>
      </w:pPr>
      <w:bookmarkStart w:id="423" w:name="_Toc459287768"/>
      <w:r w:rsidRPr="00105FFC">
        <w:rPr>
          <w:rFonts w:asciiTheme="minorHAnsi" w:eastAsiaTheme="majorEastAsia" w:hAnsiTheme="minorHAnsi" w:cstheme="majorBidi"/>
          <w:b/>
          <w:bCs/>
          <w:sz w:val="32"/>
          <w:szCs w:val="26"/>
        </w:rPr>
        <w:t xml:space="preserve">Domain: </w:t>
      </w:r>
      <w:r w:rsidRPr="00105FFC">
        <w:rPr>
          <w:rFonts w:asciiTheme="minorHAnsi" w:eastAsiaTheme="majorEastAsia" w:hAnsiTheme="minorHAnsi" w:cstheme="majorBidi"/>
          <w:b/>
          <w:bCs/>
          <w:sz w:val="28"/>
        </w:rPr>
        <w:t>Obstetric Services and Births Outcomes</w:t>
      </w:r>
      <w:bookmarkEnd w:id="423"/>
      <w:r w:rsidRPr="00105FFC" w:rsidDel="00FC79DC">
        <w:rPr>
          <w:rFonts w:asciiTheme="minorHAnsi" w:eastAsiaTheme="majorEastAsia" w:hAnsiTheme="minorHAnsi" w:cstheme="majorBidi"/>
          <w:b/>
          <w:bCs/>
          <w:sz w:val="32"/>
          <w:szCs w:val="26"/>
        </w:rPr>
        <w:t xml:space="preserve"> </w:t>
      </w:r>
    </w:p>
    <w:p w14:paraId="7CAE5A6A" w14:textId="77777777" w:rsidR="00FD328A" w:rsidRPr="00105FFC" w:rsidRDefault="00FD328A" w:rsidP="00FD328A">
      <w:pPr>
        <w:rPr>
          <w:rFonts w:asciiTheme="minorHAnsi" w:hAnsiTheme="minorHAnsi"/>
        </w:rPr>
      </w:pPr>
    </w:p>
    <w:p w14:paraId="47CF93E3" w14:textId="77777777" w:rsidR="00FD328A" w:rsidRPr="00105FFC" w:rsidRDefault="00FD328A" w:rsidP="00FD328A">
      <w:pPr>
        <w:keepNext/>
        <w:keepLines/>
        <w:spacing w:after="120" w:line="276" w:lineRule="auto"/>
        <w:outlineLvl w:val="2"/>
        <w:rPr>
          <w:rFonts w:asciiTheme="minorHAnsi" w:eastAsiaTheme="majorEastAsia" w:hAnsiTheme="minorHAnsi" w:cstheme="majorBidi"/>
          <w:b/>
          <w:bCs/>
          <w:color w:val="000000" w:themeColor="text1"/>
          <w:sz w:val="28"/>
        </w:rPr>
      </w:pPr>
      <w:bookmarkStart w:id="424" w:name="_Toc459287769"/>
      <w:r w:rsidRPr="00105FFC">
        <w:rPr>
          <w:rFonts w:asciiTheme="minorHAnsi" w:eastAsiaTheme="majorEastAsia" w:hAnsiTheme="minorHAnsi" w:cstheme="majorBidi"/>
          <w:b/>
          <w:bCs/>
          <w:color w:val="000000" w:themeColor="text1"/>
          <w:sz w:val="28"/>
        </w:rPr>
        <w:t>Introduction</w:t>
      </w:r>
      <w:bookmarkEnd w:id="424"/>
    </w:p>
    <w:p w14:paraId="01693D37"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Timely prenatal care initiation, preterm births, and low-birthweight births.  According to the American Congress of Obstetricians and Gynecologists (ACOG), prenatal care should begin in the first trimester of pregnancy, with a total of 14 prenatal care visits in a standard 40-week pregnancy.</w:t>
      </w:r>
      <w:r w:rsidRPr="00105FFC">
        <w:rPr>
          <w:rFonts w:asciiTheme="minorHAnsi" w:hAnsiTheme="minorHAnsi" w:cs="Arial"/>
          <w:vertAlign w:val="superscript"/>
        </w:rPr>
        <w:endnoteReference w:id="81"/>
      </w:r>
      <w:r w:rsidRPr="00105FFC">
        <w:rPr>
          <w:rFonts w:asciiTheme="minorHAnsi" w:hAnsiTheme="minorHAnsi" w:cs="Arial"/>
        </w:rPr>
        <w:t xml:space="preserve">  A normal pregnancy generally lasts 40 weeks.</w:t>
      </w:r>
      <w:r w:rsidRPr="00105FFC">
        <w:rPr>
          <w:rFonts w:asciiTheme="minorHAnsi" w:hAnsiTheme="minorHAnsi" w:cs="Arial"/>
          <w:vertAlign w:val="superscript"/>
        </w:rPr>
        <w:endnoteReference w:id="82"/>
      </w:r>
      <w:r w:rsidRPr="00105FFC" w:rsidDel="00951312">
        <w:rPr>
          <w:rFonts w:asciiTheme="minorHAnsi" w:hAnsiTheme="minorHAnsi" w:cs="Arial"/>
        </w:rPr>
        <w:t xml:space="preserve"> </w:t>
      </w:r>
      <w:r w:rsidRPr="00105FFC">
        <w:rPr>
          <w:rFonts w:asciiTheme="minorHAnsi" w:hAnsiTheme="minorHAnsi" w:cs="Arial"/>
        </w:rPr>
        <w:t>E</w:t>
      </w:r>
      <w:r w:rsidRPr="00105FFC" w:rsidDel="00951312">
        <w:rPr>
          <w:rFonts w:asciiTheme="minorHAnsi" w:hAnsiTheme="minorHAnsi" w:cs="Arial"/>
        </w:rPr>
        <w:t>arly births, or preterm births</w:t>
      </w:r>
      <w:r w:rsidRPr="00105FFC">
        <w:rPr>
          <w:rFonts w:asciiTheme="minorHAnsi" w:hAnsiTheme="minorHAnsi" w:cs="Arial"/>
        </w:rPr>
        <w:t xml:space="preserve">, denote </w:t>
      </w:r>
      <w:r w:rsidRPr="00105FFC" w:rsidDel="00951312">
        <w:rPr>
          <w:rFonts w:asciiTheme="minorHAnsi" w:hAnsiTheme="minorHAnsi" w:cs="Arial"/>
        </w:rPr>
        <w:t>babies born before 37 full weeks of gestation</w:t>
      </w:r>
      <w:r w:rsidRPr="00105FFC">
        <w:rPr>
          <w:rFonts w:asciiTheme="minorHAnsi" w:hAnsiTheme="minorHAnsi" w:cs="Arial"/>
        </w:rPr>
        <w:t>.</w:t>
      </w:r>
      <w:r w:rsidRPr="00105FFC">
        <w:rPr>
          <w:rFonts w:asciiTheme="minorHAnsi" w:hAnsiTheme="minorHAnsi" w:cs="Arial"/>
          <w:vertAlign w:val="superscript"/>
        </w:rPr>
        <w:endnoteReference w:id="83"/>
      </w:r>
      <w:r w:rsidRPr="00105FFC">
        <w:rPr>
          <w:rFonts w:asciiTheme="minorHAnsi" w:hAnsiTheme="minorHAnsi" w:cs="Arial"/>
        </w:rPr>
        <w:t xml:space="preserve"> Preterm deliveries can result in babies being born at low birthweight.</w:t>
      </w:r>
      <w:r w:rsidRPr="00105FFC">
        <w:rPr>
          <w:rFonts w:asciiTheme="minorHAnsi" w:hAnsiTheme="minorHAnsi" w:cs="Arial"/>
          <w:vertAlign w:val="superscript"/>
        </w:rPr>
        <w:endnoteReference w:id="84"/>
      </w:r>
      <w:r w:rsidRPr="00105FFC">
        <w:rPr>
          <w:rFonts w:asciiTheme="minorHAnsi" w:hAnsiTheme="minorHAnsi" w:cs="Arial"/>
        </w:rPr>
        <w:t xml:space="preserve"> </w:t>
      </w:r>
      <w:r w:rsidRPr="00105FFC" w:rsidDel="00951312">
        <w:rPr>
          <w:rFonts w:asciiTheme="minorHAnsi" w:hAnsiTheme="minorHAnsi" w:cs="Arial"/>
        </w:rPr>
        <w:t xml:space="preserve">Low birthweight </w:t>
      </w:r>
      <w:r w:rsidRPr="00105FFC">
        <w:rPr>
          <w:rFonts w:asciiTheme="minorHAnsi" w:hAnsiTheme="minorHAnsi" w:cs="Arial"/>
        </w:rPr>
        <w:t xml:space="preserve">refers to a </w:t>
      </w:r>
      <w:r w:rsidRPr="00105FFC" w:rsidDel="00951312">
        <w:rPr>
          <w:rFonts w:asciiTheme="minorHAnsi" w:hAnsiTheme="minorHAnsi" w:cs="Arial"/>
        </w:rPr>
        <w:t>birthweight less than 2,500 grams.</w:t>
      </w:r>
      <w:r w:rsidRPr="00105FFC">
        <w:rPr>
          <w:rFonts w:asciiTheme="minorHAnsi" w:hAnsiTheme="minorHAnsi" w:cs="Arial"/>
        </w:rPr>
        <w:endnoteReference w:id="85"/>
      </w:r>
      <w:r w:rsidRPr="00105FFC">
        <w:rPr>
          <w:rFonts w:asciiTheme="minorHAnsi" w:hAnsiTheme="minorHAnsi" w:cs="Arial"/>
        </w:rPr>
        <w:t xml:space="preserve"> Low-birthweight and preterm deliveries are important public health indicators as they can reveal long-term maternal malnutrition, poor health, and poor pregnancy care.</w:t>
      </w:r>
      <w:r w:rsidRPr="00105FFC">
        <w:rPr>
          <w:rFonts w:asciiTheme="minorHAnsi" w:hAnsiTheme="minorHAnsi" w:cs="Arial"/>
          <w:vertAlign w:val="superscript"/>
        </w:rPr>
        <w:endnoteReference w:id="86"/>
      </w:r>
    </w:p>
    <w:p w14:paraId="647C926F"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Health professionals consider prenatal care an effective and efficient way to improve birth outcomes, prevent complications, and decrease the incidence of maternal and infant mortality.</w:t>
      </w:r>
      <w:r w:rsidRPr="00105FFC">
        <w:rPr>
          <w:rFonts w:asciiTheme="minorHAnsi" w:hAnsiTheme="minorHAnsi" w:cs="Arial"/>
          <w:vertAlign w:val="superscript"/>
        </w:rPr>
        <w:endnoteReference w:id="87"/>
      </w:r>
      <w:r w:rsidRPr="00105FFC">
        <w:rPr>
          <w:rFonts w:asciiTheme="minorHAnsi" w:hAnsiTheme="minorHAnsi" w:cs="Arial"/>
        </w:rPr>
        <w:t xml:space="preserve"> Prenatal care is one of the most widely used preventive health services in the United States, yet prenatal care is often underutilized among low-income women.</w:t>
      </w:r>
      <w:r w:rsidRPr="00105FFC">
        <w:rPr>
          <w:rFonts w:asciiTheme="minorHAnsi" w:hAnsiTheme="minorHAnsi" w:cs="Arial"/>
          <w:vertAlign w:val="superscript"/>
        </w:rPr>
        <w:endnoteReference w:id="88"/>
      </w:r>
      <w:r w:rsidRPr="00105FFC">
        <w:rPr>
          <w:rFonts w:asciiTheme="minorHAnsi" w:hAnsiTheme="minorHAnsi" w:cs="Arial"/>
        </w:rPr>
        <w:t xml:space="preserve"> Failure to receive early and adequate prenatal care is associated with poor birth outcomes such as low birthweight and preterm delivery.</w:t>
      </w:r>
      <w:r w:rsidRPr="00105FFC">
        <w:rPr>
          <w:rFonts w:asciiTheme="minorHAnsi" w:hAnsiTheme="minorHAnsi" w:cs="Arial"/>
          <w:vertAlign w:val="superscript"/>
        </w:rPr>
        <w:endnoteReference w:id="89"/>
      </w:r>
    </w:p>
    <w:p w14:paraId="5E300D55" w14:textId="77777777" w:rsidR="00186BB7" w:rsidRPr="00105FFC" w:rsidRDefault="00186BB7" w:rsidP="00186BB7">
      <w:pPr>
        <w:spacing w:after="160" w:line="259" w:lineRule="auto"/>
        <w:rPr>
          <w:rFonts w:asciiTheme="minorHAnsi" w:hAnsiTheme="minorHAnsi"/>
        </w:rPr>
      </w:pPr>
      <w:r w:rsidRPr="00105FFC">
        <w:rPr>
          <w:rFonts w:asciiTheme="minorHAnsi" w:eastAsiaTheme="majorEastAsia" w:hAnsiTheme="minorHAnsi" w:cstheme="majorBidi"/>
          <w:bCs/>
        </w:rPr>
        <w:t xml:space="preserve">In this evaluation domain, measures related to timely prenatal care initiation and select birth outcomes are considered. </w:t>
      </w:r>
      <w:r w:rsidRPr="00105FFC">
        <w:rPr>
          <w:rFonts w:asciiTheme="minorHAnsi" w:eastAsiaTheme="minorHAnsi" w:hAnsiTheme="minorHAnsi" w:cstheme="minorBidi"/>
        </w:rPr>
        <w:t>These include:</w:t>
      </w:r>
      <w:r w:rsidRPr="00105FFC">
        <w:rPr>
          <w:rFonts w:asciiTheme="minorHAnsi" w:hAnsiTheme="minorHAnsi"/>
        </w:rPr>
        <w:t xml:space="preserve"> </w:t>
      </w:r>
    </w:p>
    <w:p w14:paraId="747C5CC1" w14:textId="77777777" w:rsidR="00186BB7" w:rsidRPr="00105FFC" w:rsidRDefault="00186BB7" w:rsidP="00186BB7">
      <w:pPr>
        <w:pStyle w:val="ListParagraph"/>
        <w:numPr>
          <w:ilvl w:val="0"/>
          <w:numId w:val="28"/>
        </w:numPr>
        <w:spacing w:after="120" w:line="276" w:lineRule="auto"/>
        <w:rPr>
          <w:rFonts w:asciiTheme="minorHAnsi" w:hAnsiTheme="minorHAnsi"/>
        </w:rPr>
      </w:pPr>
      <w:r w:rsidRPr="00105FFC">
        <w:rPr>
          <w:rFonts w:asciiTheme="minorHAnsi" w:hAnsiTheme="minorHAnsi"/>
        </w:rPr>
        <w:t>Characteristics of Medi-Cal funded births</w:t>
      </w:r>
    </w:p>
    <w:p w14:paraId="61FF4103"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Distribution of California Births in CY 2013 by payer type and delivery system,</w:t>
      </w:r>
    </w:p>
    <w:p w14:paraId="186DF552"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Distribution of FFS Medi-Cal births in CY 2013 by age group,</w:t>
      </w:r>
    </w:p>
    <w:p w14:paraId="4D690D7A"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Distribution of FFS Medi-Cal births in CY 2013 by aid category,</w:t>
      </w:r>
    </w:p>
    <w:p w14:paraId="5236CE1F"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Distribution of FFS Medi-Cal births in CY 2013 by race/ethnicity, and</w:t>
      </w:r>
    </w:p>
    <w:p w14:paraId="1B8E5C12"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Distribution of FFS Medi-Cal births in CY 2013 by geographic region.</w:t>
      </w:r>
    </w:p>
    <w:p w14:paraId="3F6EEC17" w14:textId="77777777" w:rsidR="00186BB7" w:rsidRPr="00105FFC" w:rsidRDefault="00186BB7" w:rsidP="00186BB7">
      <w:pPr>
        <w:pStyle w:val="ListParagraph"/>
        <w:numPr>
          <w:ilvl w:val="0"/>
          <w:numId w:val="28"/>
        </w:numPr>
        <w:spacing w:after="120" w:line="276" w:lineRule="auto"/>
        <w:rPr>
          <w:rFonts w:asciiTheme="minorHAnsi" w:hAnsiTheme="minorHAnsi"/>
        </w:rPr>
      </w:pPr>
      <w:r w:rsidRPr="00105FFC">
        <w:rPr>
          <w:rFonts w:asciiTheme="minorHAnsi" w:hAnsiTheme="minorHAnsi"/>
        </w:rPr>
        <w:t>Initiation of prenatal care</w:t>
      </w:r>
    </w:p>
    <w:p w14:paraId="1D64081F"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Percentage of California mothers that initiated prenatal care in the first trimester during CY 2013 by payer type,</w:t>
      </w:r>
    </w:p>
    <w:p w14:paraId="219857F8"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Percentage of FFS Medi-Cal mothers that initiated prenatal care in the first trimester during CY 2013 by scope of coverage,</w:t>
      </w:r>
    </w:p>
    <w:p w14:paraId="6C737C3D"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Percentage of FFS Medi-Cal mothers that initiated prenatal care in the first trimester during CY 2013 by aid category,</w:t>
      </w:r>
    </w:p>
    <w:p w14:paraId="25722460"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Percentage of FFS Medi-Cal mothers that initiated prenatal care in the first trimester during CY 2013 by geographic region,</w:t>
      </w:r>
    </w:p>
    <w:p w14:paraId="26EA463A"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 xml:space="preserve">Percentage of FFS Medi-Cal mothers that initiated prenatal care in the first trimester during CY 2013 by age group, and </w:t>
      </w:r>
    </w:p>
    <w:p w14:paraId="0494E043" w14:textId="77777777" w:rsidR="00186BB7" w:rsidRPr="00105FFC" w:rsidRDefault="00186BB7" w:rsidP="00186BB7">
      <w:pPr>
        <w:pStyle w:val="ListParagraph"/>
        <w:numPr>
          <w:ilvl w:val="1"/>
          <w:numId w:val="28"/>
        </w:numPr>
        <w:spacing w:after="120" w:line="276" w:lineRule="auto"/>
        <w:rPr>
          <w:rFonts w:asciiTheme="minorHAnsi" w:hAnsiTheme="minorHAnsi"/>
        </w:rPr>
      </w:pPr>
      <w:r w:rsidRPr="00105FFC">
        <w:rPr>
          <w:rFonts w:asciiTheme="minorHAnsi" w:hAnsiTheme="minorHAnsi"/>
        </w:rPr>
        <w:t>Percentage of FFS Medi-Cal mothers that initiated prenatal care in the first trimester during CY 2013 by race/ethnicity.</w:t>
      </w:r>
    </w:p>
    <w:p w14:paraId="5E6C1EDD" w14:textId="77777777" w:rsidR="00186BB7" w:rsidRPr="00105FFC" w:rsidRDefault="00186BB7" w:rsidP="00186BB7">
      <w:pPr>
        <w:pStyle w:val="ListParagraph"/>
        <w:numPr>
          <w:ilvl w:val="0"/>
          <w:numId w:val="30"/>
        </w:numPr>
        <w:spacing w:after="120" w:line="276" w:lineRule="auto"/>
        <w:rPr>
          <w:rFonts w:asciiTheme="minorHAnsi" w:hAnsiTheme="minorHAnsi"/>
        </w:rPr>
      </w:pPr>
      <w:r w:rsidRPr="00105FFC">
        <w:rPr>
          <w:rFonts w:asciiTheme="minorHAnsi" w:hAnsiTheme="minorHAnsi"/>
        </w:rPr>
        <w:t>Low-Birthweight among Singleton births</w:t>
      </w:r>
    </w:p>
    <w:p w14:paraId="74E8EAC9"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in CY 2013 by payer type,</w:t>
      </w:r>
    </w:p>
    <w:p w14:paraId="26840D71"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among FFS Medi-Cal mothers in CY 2013 by timing of prenatal care initiation,</w:t>
      </w:r>
    </w:p>
    <w:p w14:paraId="33047B99"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 xml:space="preserve"> Percentage of singleton births classified as low birthweight (&lt;2,500 grams) among FFS Medi-Cal mothers in CY 2013 by scope of coverage,</w:t>
      </w:r>
    </w:p>
    <w:p w14:paraId="4E06645D"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among FFS Medi-Cal mothers in CY 2013 by aid category,</w:t>
      </w:r>
    </w:p>
    <w:p w14:paraId="66451E12"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among FFS Medi-Cal mothers in CY 2013 by geographic region,</w:t>
      </w:r>
    </w:p>
    <w:p w14:paraId="049F9406"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among FFS Medi-Cal mothers in CY 2013 by age group, and</w:t>
      </w:r>
    </w:p>
    <w:p w14:paraId="78FE6AD7"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low birthweight (&lt;2,500 grams) among FFS Medi-Cal mothers in CY 2013 by race/ethnicity.</w:t>
      </w:r>
    </w:p>
    <w:p w14:paraId="5355B0F1" w14:textId="77777777" w:rsidR="00186BB7" w:rsidRPr="00105FFC" w:rsidRDefault="00186BB7" w:rsidP="00186BB7">
      <w:pPr>
        <w:pStyle w:val="ListParagraph"/>
        <w:numPr>
          <w:ilvl w:val="0"/>
          <w:numId w:val="30"/>
        </w:numPr>
        <w:spacing w:after="120" w:line="276" w:lineRule="auto"/>
        <w:rPr>
          <w:rFonts w:asciiTheme="minorHAnsi" w:hAnsiTheme="minorHAnsi"/>
        </w:rPr>
      </w:pPr>
      <w:r w:rsidRPr="00105FFC">
        <w:rPr>
          <w:rFonts w:asciiTheme="minorHAnsi" w:hAnsiTheme="minorHAnsi"/>
        </w:rPr>
        <w:t>Pre-Term among Singleton Births</w:t>
      </w:r>
    </w:p>
    <w:p w14:paraId="1971EAB0"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in 2013 by payer type,</w:t>
      </w:r>
    </w:p>
    <w:p w14:paraId="4245334F"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timing of prenatal care initiation,</w:t>
      </w:r>
    </w:p>
    <w:p w14:paraId="73CE4193"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scope of coverage,</w:t>
      </w:r>
    </w:p>
    <w:p w14:paraId="4AB6A97A"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aid category,</w:t>
      </w:r>
    </w:p>
    <w:p w14:paraId="5C907793"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geographic region,</w:t>
      </w:r>
    </w:p>
    <w:p w14:paraId="2D481C78" w14:textId="77777777" w:rsidR="00186BB7" w:rsidRPr="00105FFC" w:rsidRDefault="00186BB7" w:rsidP="00186BB7">
      <w:pPr>
        <w:numPr>
          <w:ilvl w:val="1"/>
          <w:numId w:val="30"/>
        </w:numPr>
        <w:spacing w:after="120"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age group, and</w:t>
      </w:r>
    </w:p>
    <w:p w14:paraId="4278E7CF" w14:textId="77777777" w:rsidR="00186BB7" w:rsidRPr="00105FFC" w:rsidRDefault="00186BB7" w:rsidP="00186BB7">
      <w:pPr>
        <w:numPr>
          <w:ilvl w:val="1"/>
          <w:numId w:val="30"/>
        </w:numPr>
        <w:spacing w:line="276" w:lineRule="auto"/>
        <w:rPr>
          <w:rFonts w:asciiTheme="minorHAnsi" w:hAnsiTheme="minorHAnsi"/>
        </w:rPr>
      </w:pPr>
      <w:r w:rsidRPr="00105FFC">
        <w:rPr>
          <w:rFonts w:asciiTheme="minorHAnsi" w:hAnsiTheme="minorHAnsi"/>
        </w:rPr>
        <w:t>Percentage of singleton births classified as preterm (&lt;37 complete weeks of gestation) among FFS Medi-Cal mothers in 2013 by race/ethnicity.</w:t>
      </w:r>
    </w:p>
    <w:p w14:paraId="3361BD3A" w14:textId="77777777" w:rsidR="00186BB7" w:rsidRPr="00105FFC" w:rsidRDefault="00186BB7" w:rsidP="00186BB7">
      <w:pPr>
        <w:spacing w:line="259" w:lineRule="auto"/>
        <w:rPr>
          <w:rFonts w:asciiTheme="minorHAnsi" w:hAnsiTheme="minorHAnsi" w:cs="Arial"/>
        </w:rPr>
      </w:pPr>
    </w:p>
    <w:p w14:paraId="47A5296B" w14:textId="77777777" w:rsidR="00FD328A" w:rsidRPr="00105FFC" w:rsidRDefault="00FD328A" w:rsidP="00FD328A">
      <w:pPr>
        <w:keepNext/>
        <w:keepLines/>
        <w:spacing w:after="120" w:line="276" w:lineRule="auto"/>
        <w:outlineLvl w:val="2"/>
        <w:rPr>
          <w:rFonts w:asciiTheme="minorHAnsi" w:eastAsiaTheme="majorEastAsia" w:hAnsiTheme="minorHAnsi" w:cstheme="majorBidi"/>
          <w:b/>
          <w:bCs/>
          <w:color w:val="000000" w:themeColor="text1"/>
          <w:sz w:val="28"/>
        </w:rPr>
      </w:pPr>
      <w:bookmarkStart w:id="425" w:name="_Toc459287770"/>
      <w:r w:rsidRPr="00105FFC">
        <w:rPr>
          <w:rFonts w:asciiTheme="minorHAnsi" w:eastAsiaTheme="majorEastAsia" w:hAnsiTheme="minorHAnsi" w:cstheme="majorBidi"/>
          <w:b/>
          <w:bCs/>
          <w:color w:val="000000" w:themeColor="text1"/>
          <w:sz w:val="28"/>
        </w:rPr>
        <w:t>Characteristics of Medi-Cal FFS Funded Births</w:t>
      </w:r>
      <w:bookmarkEnd w:id="425"/>
    </w:p>
    <w:p w14:paraId="2632D56D"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In calendar year (CY) 2013, FFS funded births accounted for 29% of all births in California and 58% of all Medi-Cal births.  Medi-Cal as a whole funded 50% of births in California (</w:t>
      </w:r>
      <w:r w:rsidR="00A1643E" w:rsidRPr="00105FFC">
        <w:rPr>
          <w:rFonts w:asciiTheme="minorHAnsi" w:hAnsiTheme="minorHAnsi" w:cs="Arial"/>
        </w:rPr>
        <w:t xml:space="preserve">Figure </w:t>
      </w:r>
      <w:r w:rsidR="00441962">
        <w:rPr>
          <w:rFonts w:asciiTheme="minorHAnsi" w:hAnsiTheme="minorHAnsi" w:cs="Arial"/>
        </w:rPr>
        <w:t>37</w:t>
      </w:r>
      <w:r w:rsidR="000F06D1" w:rsidRPr="00105FFC">
        <w:rPr>
          <w:rFonts w:asciiTheme="minorHAnsi" w:hAnsiTheme="minorHAnsi" w:cs="Arial"/>
        </w:rPr>
        <w:t>)</w:t>
      </w:r>
      <w:r w:rsidRPr="00105FFC">
        <w:rPr>
          <w:rFonts w:asciiTheme="minorHAnsi" w:hAnsiTheme="minorHAnsi" w:cs="Arial"/>
        </w:rPr>
        <w:t xml:space="preserve">.  </w:t>
      </w:r>
    </w:p>
    <w:p w14:paraId="07326B20" w14:textId="77777777" w:rsidR="00186BB7" w:rsidRPr="00105FFC" w:rsidRDefault="00186BB7" w:rsidP="00186BB7">
      <w:pPr>
        <w:spacing w:line="259" w:lineRule="auto"/>
        <w:rPr>
          <w:rFonts w:asciiTheme="minorHAnsi" w:hAnsiTheme="minorHAnsi" w:cs="Arial"/>
        </w:rPr>
      </w:pPr>
    </w:p>
    <w:p w14:paraId="34446AC4" w14:textId="77777777" w:rsidR="00FD328A" w:rsidRPr="00BD3F43" w:rsidRDefault="00BD3F43" w:rsidP="000E1B8E">
      <w:pPr>
        <w:pStyle w:val="Caption"/>
        <w:spacing w:after="0"/>
        <w:rPr>
          <w:rFonts w:asciiTheme="minorHAnsi" w:eastAsia="Calibri" w:hAnsiTheme="minorHAnsi"/>
          <w:b w:val="0"/>
          <w:bCs w:val="0"/>
          <w:color w:val="000000" w:themeColor="text1"/>
          <w:sz w:val="20"/>
          <w:szCs w:val="20"/>
        </w:rPr>
      </w:pPr>
      <w:bookmarkStart w:id="426" w:name="_Toc458782975"/>
      <w:bookmarkStart w:id="427" w:name="_Toc459286718"/>
      <w:r w:rsidRPr="00BD3F43">
        <w:rPr>
          <w:rFonts w:asciiTheme="minorHAnsi" w:hAnsiTheme="minorHAnsi"/>
          <w:color w:val="000000" w:themeColor="text1"/>
          <w:sz w:val="20"/>
          <w:szCs w:val="20"/>
        </w:rPr>
        <w:t xml:space="preserve">Figure </w:t>
      </w:r>
      <w:r w:rsidRPr="00BD3F43">
        <w:rPr>
          <w:rFonts w:asciiTheme="minorHAnsi" w:hAnsiTheme="minorHAnsi"/>
          <w:color w:val="000000" w:themeColor="text1"/>
          <w:sz w:val="20"/>
          <w:szCs w:val="20"/>
        </w:rPr>
        <w:fldChar w:fldCharType="begin"/>
      </w:r>
      <w:r w:rsidRPr="00BD3F43">
        <w:rPr>
          <w:rFonts w:asciiTheme="minorHAnsi" w:hAnsiTheme="minorHAnsi"/>
          <w:color w:val="000000" w:themeColor="text1"/>
          <w:sz w:val="20"/>
          <w:szCs w:val="20"/>
        </w:rPr>
        <w:instrText xml:space="preserve"> SEQ Figure \* ARABIC </w:instrText>
      </w:r>
      <w:r w:rsidRPr="00BD3F43">
        <w:rPr>
          <w:rFonts w:asciiTheme="minorHAnsi" w:hAnsiTheme="minorHAnsi"/>
          <w:color w:val="000000" w:themeColor="text1"/>
          <w:sz w:val="20"/>
          <w:szCs w:val="20"/>
        </w:rPr>
        <w:fldChar w:fldCharType="separate"/>
      </w:r>
      <w:r w:rsidR="000E1B8E">
        <w:rPr>
          <w:rFonts w:asciiTheme="minorHAnsi" w:hAnsiTheme="minorHAnsi"/>
          <w:noProof/>
          <w:color w:val="000000" w:themeColor="text1"/>
          <w:sz w:val="20"/>
          <w:szCs w:val="20"/>
        </w:rPr>
        <w:t>37</w:t>
      </w:r>
      <w:r w:rsidRPr="00BD3F43">
        <w:rPr>
          <w:rFonts w:asciiTheme="minorHAnsi" w:hAnsiTheme="minorHAnsi"/>
          <w:color w:val="000000" w:themeColor="text1"/>
          <w:sz w:val="20"/>
          <w:szCs w:val="20"/>
        </w:rPr>
        <w:fldChar w:fldCharType="end"/>
      </w:r>
      <w:r w:rsidRPr="00BD3F43">
        <w:rPr>
          <w:rFonts w:asciiTheme="minorHAnsi" w:hAnsiTheme="minorHAnsi"/>
          <w:color w:val="000000" w:themeColor="text1"/>
          <w:sz w:val="20"/>
          <w:szCs w:val="20"/>
        </w:rPr>
        <w:t>:</w:t>
      </w:r>
      <w:r w:rsidRPr="00BD3F43">
        <w:rPr>
          <w:rFonts w:asciiTheme="minorHAnsi" w:hAnsiTheme="minorHAnsi"/>
          <w:b w:val="0"/>
          <w:color w:val="000000" w:themeColor="text1"/>
          <w:sz w:val="20"/>
          <w:szCs w:val="20"/>
        </w:rPr>
        <w:t xml:space="preserve"> </w:t>
      </w:r>
      <w:r w:rsidR="00FD328A" w:rsidRPr="00BD3F43">
        <w:rPr>
          <w:rFonts w:asciiTheme="minorHAnsi" w:eastAsia="Calibri" w:hAnsiTheme="minorHAnsi"/>
          <w:b w:val="0"/>
          <w:color w:val="000000" w:themeColor="text1"/>
          <w:sz w:val="20"/>
          <w:szCs w:val="20"/>
        </w:rPr>
        <w:t>Distribution of California Births in 2013, by Payer Type and Delivery System</w:t>
      </w:r>
      <w:bookmarkEnd w:id="426"/>
      <w:bookmarkEnd w:id="427"/>
    </w:p>
    <w:p w14:paraId="3FC0A743" w14:textId="77777777" w:rsidR="00FD328A" w:rsidRPr="00105FFC" w:rsidRDefault="00FD328A" w:rsidP="00FD328A">
      <w:pPr>
        <w:spacing w:line="259" w:lineRule="auto"/>
        <w:jc w:val="center"/>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2C4DFE00" wp14:editId="4716174C">
            <wp:extent cx="5486400" cy="2571750"/>
            <wp:effectExtent l="0" t="0" r="0" b="0"/>
            <wp:docPr id="21" name="Chart 21" descr="Non Medi-Cal Births: 244,491; 50%&#10;FFS Medi-Cal Births: 141,855; 29%&#10;Non FFS Medi-Cal Births 100,806; 21%" title="Distribution of California Births in 2013, by Payer Type and Delivery System"/>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CDD88CF" w14:textId="77777777" w:rsidR="00A1643E" w:rsidRPr="00105FFC" w:rsidRDefault="00FD328A" w:rsidP="00A1643E">
      <w:pPr>
        <w:spacing w:after="120"/>
        <w:rPr>
          <w:rFonts w:asciiTheme="minorHAnsi" w:eastAsia="Calibri" w:hAnsiTheme="minorHAnsi"/>
          <w:sz w:val="16"/>
          <w:szCs w:val="16"/>
        </w:rPr>
      </w:pPr>
      <w:r w:rsidRPr="00105FFC">
        <w:rPr>
          <w:rFonts w:asciiTheme="minorHAnsi" w:eastAsia="Calibri" w:hAnsiTheme="minorHAnsi"/>
          <w:b/>
          <w:sz w:val="16"/>
          <w:szCs w:val="16"/>
        </w:rPr>
        <w:t>Source:</w:t>
      </w:r>
      <w:r w:rsidRPr="00105FFC">
        <w:rPr>
          <w:rFonts w:asciiTheme="minorHAnsi" w:eastAsia="Calibri" w:hAnsiTheme="minorHAnsi"/>
          <w:sz w:val="16"/>
          <w:szCs w:val="16"/>
        </w:rPr>
        <w:t xml:space="preserve"> Watkins, J. 2016. </w:t>
      </w:r>
      <w:r w:rsidRPr="00105FFC">
        <w:rPr>
          <w:rFonts w:asciiTheme="minorHAnsi" w:eastAsia="Calibri" w:hAnsiTheme="minorHAnsi"/>
          <w:iCs/>
          <w:sz w:val="16"/>
          <w:szCs w:val="16"/>
          <w:u w:val="single"/>
        </w:rPr>
        <w:t>2013 Medi-Cal Birth Statistics</w:t>
      </w:r>
      <w:r w:rsidRPr="00105FFC">
        <w:rPr>
          <w:rFonts w:asciiTheme="minorHAnsi" w:eastAsia="Calibri" w:hAnsiTheme="minorHAnsi"/>
          <w:i/>
          <w:iCs/>
          <w:sz w:val="16"/>
          <w:szCs w:val="16"/>
        </w:rPr>
        <w:t xml:space="preserve">. </w:t>
      </w:r>
      <w:r w:rsidRPr="00105FFC">
        <w:rPr>
          <w:rFonts w:asciiTheme="minorHAnsi" w:eastAsia="Calibri" w:hAnsiTheme="minorHAnsi"/>
          <w:sz w:val="16"/>
          <w:szCs w:val="16"/>
        </w:rPr>
        <w:t>California Department of Health Care Serv</w:t>
      </w:r>
      <w:r w:rsidR="00A1643E" w:rsidRPr="00105FFC">
        <w:rPr>
          <w:rFonts w:asciiTheme="minorHAnsi" w:eastAsia="Calibri" w:hAnsiTheme="minorHAnsi"/>
          <w:sz w:val="16"/>
          <w:szCs w:val="16"/>
        </w:rPr>
        <w:t>ices. Sacramento, CA. July 2016</w:t>
      </w:r>
    </w:p>
    <w:p w14:paraId="39D65460" w14:textId="77777777" w:rsidR="00A1643E" w:rsidRPr="00105FFC" w:rsidRDefault="00A1643E" w:rsidP="00A1643E">
      <w:pPr>
        <w:rPr>
          <w:rFonts w:asciiTheme="minorHAnsi" w:hAnsiTheme="minorHAnsi" w:cs="Arial"/>
        </w:rPr>
      </w:pPr>
    </w:p>
    <w:p w14:paraId="6E6FC548" w14:textId="77777777" w:rsidR="00FD328A" w:rsidRPr="00105FFC" w:rsidRDefault="00FD328A" w:rsidP="00A1643E">
      <w:pPr>
        <w:spacing w:after="120"/>
        <w:rPr>
          <w:rFonts w:asciiTheme="minorHAnsi" w:hAnsiTheme="minorHAnsi" w:cs="Arial"/>
        </w:rPr>
      </w:pPr>
      <w:r w:rsidRPr="00105FFC">
        <w:rPr>
          <w:rFonts w:asciiTheme="minorHAnsi" w:hAnsiTheme="minorHAnsi" w:cs="Arial"/>
        </w:rPr>
        <w:t xml:space="preserve">The largest age group for mothers whose births in 2013 were funded by Medi-Cal’s FFS delivery system was those Ages 25-29 (29%) closely followed by those Ages 20-24 (27%).  Age groups with the smallest proportion of FFS births were those ages 0-17 (2%) and those ages 18-19 (6%; </w:t>
      </w:r>
      <w:r w:rsidR="00A1643E" w:rsidRPr="00105FFC">
        <w:rPr>
          <w:rFonts w:asciiTheme="minorHAnsi" w:hAnsiTheme="minorHAnsi" w:cs="Arial"/>
        </w:rPr>
        <w:t xml:space="preserve">Figure </w:t>
      </w:r>
      <w:r w:rsidR="00441962">
        <w:rPr>
          <w:rFonts w:asciiTheme="minorHAnsi" w:hAnsiTheme="minorHAnsi" w:cs="Arial"/>
        </w:rPr>
        <w:t>38</w:t>
      </w:r>
      <w:r w:rsidRPr="00105FFC">
        <w:rPr>
          <w:rFonts w:asciiTheme="minorHAnsi" w:hAnsiTheme="minorHAnsi" w:cs="Arial"/>
        </w:rPr>
        <w:t xml:space="preserve">). </w:t>
      </w:r>
    </w:p>
    <w:p w14:paraId="50F05643" w14:textId="77777777" w:rsidR="00AD078F" w:rsidRPr="00105FFC" w:rsidRDefault="00AD078F">
      <w:pPr>
        <w:spacing w:after="200" w:line="276" w:lineRule="auto"/>
        <w:rPr>
          <w:rFonts w:asciiTheme="minorHAnsi" w:hAnsiTheme="minorHAnsi"/>
          <w:b/>
          <w:color w:val="000000" w:themeColor="text1"/>
          <w:sz w:val="20"/>
          <w:szCs w:val="20"/>
        </w:rPr>
      </w:pPr>
      <w:r w:rsidRPr="00105FFC">
        <w:rPr>
          <w:rFonts w:asciiTheme="minorHAnsi" w:hAnsiTheme="minorHAnsi"/>
          <w:b/>
          <w:color w:val="000000" w:themeColor="text1"/>
          <w:sz w:val="20"/>
          <w:szCs w:val="20"/>
        </w:rPr>
        <w:br w:type="page"/>
      </w:r>
    </w:p>
    <w:p w14:paraId="2F2A32F7" w14:textId="77777777" w:rsidR="00FD328A" w:rsidRPr="000E1B8E" w:rsidRDefault="000E1B8E" w:rsidP="000E1B8E">
      <w:pPr>
        <w:pStyle w:val="Caption"/>
        <w:spacing w:after="0"/>
        <w:rPr>
          <w:rFonts w:asciiTheme="minorHAnsi" w:eastAsia="Calibri" w:hAnsiTheme="minorHAnsi"/>
          <w:b w:val="0"/>
          <w:color w:val="000000" w:themeColor="text1"/>
          <w:sz w:val="20"/>
          <w:szCs w:val="20"/>
        </w:rPr>
      </w:pPr>
      <w:bookmarkStart w:id="428" w:name="_Toc458782976"/>
      <w:bookmarkStart w:id="429" w:name="_Toc459286719"/>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38</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b w:val="0"/>
          <w:color w:val="000000" w:themeColor="text1"/>
          <w:sz w:val="20"/>
          <w:szCs w:val="20"/>
        </w:rPr>
        <w:t>Distribution of FFS Medi-Cal Births in 2013, by Age Group</w:t>
      </w:r>
      <w:bookmarkEnd w:id="428"/>
      <w:bookmarkEnd w:id="429"/>
    </w:p>
    <w:p w14:paraId="00F1F36B"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35889B85" wp14:editId="54C32025">
            <wp:extent cx="5486400" cy="2647950"/>
            <wp:effectExtent l="0" t="0" r="0" b="0"/>
            <wp:docPr id="29" name="Chart 29" descr="Age 0-17: 2,942; 2%&#10;Age 18-19: 8,211; 6%&#10;Age 20-24: 38,102; 27%&#10;Age 25-29: 40,928; 29%&#10;Age 30-34: 30,733; 22%&#10;Age 35 and Older: 20,760; 14%&#10;Invalid Age: 1; &lt;1%&#10;" title="Distribution of FFS Medi-Cal Births in 2013,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D140080" w14:textId="77777777" w:rsidR="00FD328A" w:rsidRPr="00105FFC" w:rsidRDefault="00FD328A" w:rsidP="00AD078F">
      <w:pPr>
        <w:rPr>
          <w:rFonts w:asciiTheme="minorHAnsi" w:eastAsia="Calibri" w:hAnsiTheme="minorHAnsi"/>
          <w:b/>
          <w:sz w:val="16"/>
          <w:szCs w:val="16"/>
        </w:rPr>
      </w:pPr>
      <w:r w:rsidRPr="00105FFC">
        <w:rPr>
          <w:rFonts w:asciiTheme="minorHAnsi" w:eastAsia="Calibri" w:hAnsiTheme="minorHAnsi"/>
          <w:b/>
          <w:sz w:val="16"/>
          <w:szCs w:val="16"/>
        </w:rPr>
        <w:t xml:space="preserve">Source: </w:t>
      </w:r>
      <w:r w:rsidRPr="00105FFC">
        <w:rPr>
          <w:rFonts w:asciiTheme="minorHAnsi" w:eastAsia="Calibri" w:hAnsiTheme="minorHAnsi"/>
          <w:sz w:val="16"/>
          <w:szCs w:val="16"/>
        </w:rPr>
        <w:t>California Birth Statistical Master File, 2013 and Medi-Cal Eligibility Data.</w:t>
      </w:r>
    </w:p>
    <w:p w14:paraId="636403EB" w14:textId="77777777" w:rsidR="00AD078F" w:rsidRPr="00105FFC" w:rsidRDefault="00AD078F" w:rsidP="00AD078F">
      <w:pPr>
        <w:spacing w:line="259" w:lineRule="auto"/>
        <w:rPr>
          <w:rFonts w:asciiTheme="minorHAnsi" w:hAnsiTheme="minorHAnsi" w:cs="Arial"/>
        </w:rPr>
      </w:pPr>
    </w:p>
    <w:p w14:paraId="0EF73660" w14:textId="77777777" w:rsidR="00FD328A" w:rsidRPr="00105FFC" w:rsidRDefault="00FD328A" w:rsidP="00AD078F">
      <w:pPr>
        <w:spacing w:line="259" w:lineRule="auto"/>
        <w:rPr>
          <w:rFonts w:asciiTheme="minorHAnsi" w:hAnsiTheme="minorHAnsi" w:cs="Arial"/>
        </w:rPr>
      </w:pPr>
      <w:r w:rsidRPr="00105FFC">
        <w:rPr>
          <w:rFonts w:asciiTheme="minorHAnsi" w:hAnsiTheme="minorHAnsi" w:cs="Arial"/>
        </w:rPr>
        <w:t>Two aid code groupings, Parent/Caretaker Relative &amp; Child and Undocumented, accounted for 99% of all FFS funded births</w:t>
      </w:r>
      <w:r w:rsidR="00B03934" w:rsidRPr="00105FFC">
        <w:rPr>
          <w:rFonts w:asciiTheme="minorHAnsi" w:hAnsiTheme="minorHAnsi" w:cs="Arial"/>
        </w:rPr>
        <w:t xml:space="preserve"> (Figure </w:t>
      </w:r>
      <w:r w:rsidR="00F9361C">
        <w:rPr>
          <w:rFonts w:asciiTheme="minorHAnsi" w:hAnsiTheme="minorHAnsi" w:cs="Arial"/>
        </w:rPr>
        <w:t>39</w:t>
      </w:r>
      <w:r w:rsidRPr="00105FFC">
        <w:rPr>
          <w:rFonts w:asciiTheme="minorHAnsi" w:hAnsiTheme="minorHAnsi" w:cs="Arial"/>
        </w:rPr>
        <w:t xml:space="preserve">).  The Undocumented aid code group is only eligible for emergency and pregnancy-related services. </w:t>
      </w:r>
    </w:p>
    <w:p w14:paraId="3CEDB8D9" w14:textId="77777777" w:rsidR="00AD078F" w:rsidRPr="00105FFC" w:rsidRDefault="00AD078F" w:rsidP="00AD078F">
      <w:pPr>
        <w:spacing w:line="259" w:lineRule="auto"/>
        <w:rPr>
          <w:rFonts w:asciiTheme="minorHAnsi" w:hAnsiTheme="minorHAnsi" w:cs="Arial"/>
        </w:rPr>
      </w:pPr>
    </w:p>
    <w:p w14:paraId="06D92A9D" w14:textId="77777777" w:rsidR="00FD328A" w:rsidRPr="000E1B8E" w:rsidRDefault="000E1B8E" w:rsidP="000E1B8E">
      <w:pPr>
        <w:pStyle w:val="Caption"/>
        <w:spacing w:after="0"/>
        <w:rPr>
          <w:rFonts w:asciiTheme="minorHAnsi" w:eastAsia="Calibri" w:hAnsiTheme="minorHAnsi"/>
          <w:b w:val="0"/>
          <w:color w:val="000000" w:themeColor="text1"/>
          <w:sz w:val="20"/>
          <w:szCs w:val="20"/>
        </w:rPr>
      </w:pPr>
      <w:bookmarkStart w:id="430" w:name="_Toc458782977"/>
      <w:bookmarkStart w:id="431" w:name="_Toc459286720"/>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39</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b w:val="0"/>
          <w:color w:val="000000" w:themeColor="text1"/>
          <w:sz w:val="20"/>
          <w:szCs w:val="20"/>
        </w:rPr>
        <w:t>Distribution of FFS Medi-Cal Births in 2013, by Aid Category</w:t>
      </w:r>
      <w:bookmarkEnd w:id="430"/>
      <w:bookmarkEnd w:id="431"/>
    </w:p>
    <w:p w14:paraId="54446AFA" w14:textId="77777777" w:rsidR="00FD328A" w:rsidRPr="00105FFC" w:rsidRDefault="00FD328A" w:rsidP="00FD328A">
      <w:pPr>
        <w:spacing w:line="259" w:lineRule="auto"/>
        <w:jc w:val="center"/>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5CB51BAF" wp14:editId="2AF3E629">
            <wp:extent cx="5486400" cy="2276475"/>
            <wp:effectExtent l="0" t="0" r="0" b="9525"/>
            <wp:docPr id="55" name="Chart 55" descr="Parent/Caretaker Relative &amp; Child: 78,294; 55%&#10;Undocumented: 61,428; 43%&#10;Seniors and Persons with Disabilities: 987; 1%&#10;Other: 506; &lt;1%&#10;Adoption/Foster Care: 462; &lt;1%&#10;" title="Distribution of FFS Medi-Cal Births in 2013, by Aid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FC8DD86" w14:textId="77777777" w:rsidR="00FD328A" w:rsidRPr="00105FFC" w:rsidRDefault="00FD328A" w:rsidP="00AD078F">
      <w:pPr>
        <w:rPr>
          <w:rFonts w:asciiTheme="minorHAnsi" w:eastAsia="Calibri" w:hAnsiTheme="minorHAnsi"/>
          <w:b/>
          <w:sz w:val="16"/>
          <w:szCs w:val="16"/>
        </w:rPr>
      </w:pPr>
      <w:r w:rsidRPr="00105FFC">
        <w:rPr>
          <w:rFonts w:asciiTheme="minorHAnsi" w:eastAsia="Calibri" w:hAnsiTheme="minorHAnsi"/>
          <w:b/>
          <w:sz w:val="16"/>
          <w:szCs w:val="16"/>
        </w:rPr>
        <w:t xml:space="preserve">Source: </w:t>
      </w:r>
      <w:r w:rsidRPr="00105FFC">
        <w:rPr>
          <w:rFonts w:asciiTheme="minorHAnsi" w:eastAsia="Calibri" w:hAnsiTheme="minorHAnsi"/>
          <w:sz w:val="16"/>
          <w:szCs w:val="16"/>
        </w:rPr>
        <w:t>California Birth Statistical Master File, 2013 and Medi-Cal Eligibility Data.</w:t>
      </w:r>
    </w:p>
    <w:p w14:paraId="37E73C51" w14:textId="77777777" w:rsidR="00AD078F" w:rsidRPr="00105FFC" w:rsidRDefault="00AD078F" w:rsidP="00AD078F">
      <w:pPr>
        <w:spacing w:line="259" w:lineRule="auto"/>
        <w:rPr>
          <w:rFonts w:asciiTheme="minorHAnsi" w:hAnsiTheme="minorHAnsi" w:cs="Arial"/>
        </w:rPr>
      </w:pPr>
    </w:p>
    <w:p w14:paraId="3D01B2B6"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The vast majority of women who experienced a FFS funded birth in 2013 were Hispanic (73%).  The next most common race/ethnicity was White, with 14% of births being to white mothers (</w:t>
      </w:r>
      <w:r w:rsidR="00B03934" w:rsidRPr="00105FFC">
        <w:rPr>
          <w:rFonts w:asciiTheme="minorHAnsi" w:hAnsiTheme="minorHAnsi" w:cs="Arial"/>
        </w:rPr>
        <w:t>Figure 4</w:t>
      </w:r>
      <w:r w:rsidR="00F9361C">
        <w:rPr>
          <w:rFonts w:asciiTheme="minorHAnsi" w:hAnsiTheme="minorHAnsi" w:cs="Arial"/>
        </w:rPr>
        <w:t>0</w:t>
      </w:r>
      <w:r w:rsidRPr="00105FFC">
        <w:rPr>
          <w:rFonts w:asciiTheme="minorHAnsi" w:hAnsiTheme="minorHAnsi" w:cs="Arial"/>
        </w:rPr>
        <w:t>).</w:t>
      </w:r>
    </w:p>
    <w:p w14:paraId="0531CE4E" w14:textId="77777777" w:rsidR="00AD078F" w:rsidRPr="00105FFC" w:rsidRDefault="00AD078F">
      <w:pPr>
        <w:spacing w:after="200" w:line="276" w:lineRule="auto"/>
        <w:rPr>
          <w:rFonts w:asciiTheme="minorHAnsi" w:hAnsiTheme="minorHAnsi" w:cs="Arial"/>
        </w:rPr>
      </w:pPr>
      <w:r w:rsidRPr="00105FFC">
        <w:rPr>
          <w:rFonts w:asciiTheme="minorHAnsi" w:hAnsiTheme="minorHAnsi" w:cs="Arial"/>
        </w:rPr>
        <w:br w:type="page"/>
      </w:r>
    </w:p>
    <w:p w14:paraId="62C4462C" w14:textId="77777777" w:rsidR="00FD328A" w:rsidRPr="000E1B8E" w:rsidRDefault="000E1B8E" w:rsidP="000E1B8E">
      <w:pPr>
        <w:pStyle w:val="Caption"/>
        <w:spacing w:after="0"/>
        <w:rPr>
          <w:rFonts w:asciiTheme="minorHAnsi" w:eastAsia="Calibri" w:hAnsiTheme="minorHAnsi"/>
          <w:b w:val="0"/>
          <w:color w:val="000000" w:themeColor="text1"/>
          <w:sz w:val="20"/>
          <w:szCs w:val="20"/>
        </w:rPr>
      </w:pPr>
      <w:bookmarkStart w:id="432" w:name="_Toc458782978"/>
      <w:bookmarkStart w:id="433" w:name="_Toc459286721"/>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40</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b w:val="0"/>
          <w:color w:val="000000" w:themeColor="text1"/>
          <w:sz w:val="20"/>
          <w:szCs w:val="20"/>
        </w:rPr>
        <w:t>Distribution of FFS Medi-Cal Births in 2013, by Race/Ethnicity</w:t>
      </w:r>
      <w:bookmarkEnd w:id="432"/>
      <w:bookmarkEnd w:id="433"/>
    </w:p>
    <w:p w14:paraId="1EC4FCE6" w14:textId="77777777" w:rsidR="00FD328A" w:rsidRPr="00105FFC" w:rsidRDefault="00FD328A" w:rsidP="00FD328A">
      <w:pPr>
        <w:spacing w:line="259" w:lineRule="auto"/>
        <w:jc w:val="center"/>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69D187B6" wp14:editId="265042A3">
            <wp:extent cx="5486400" cy="2714625"/>
            <wp:effectExtent l="0" t="0" r="0" b="9525"/>
            <wp:docPr id="56" name="Chart 56" descr="Hispanic: 103,607; 73%&#10;White: 19,606; 14%&#10;Asian/Pacific Islander: 9,058; 6%&#10;African American: 5,162; 4%&#10;Other: 3,854; 3%&#10;American Indian/Alaskan Native: 598; &lt;1%&#10;" title="Distribution of FFS Medi-Cal Births in 2013,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26C126" w14:textId="77777777" w:rsidR="00FD328A" w:rsidRPr="00105FFC" w:rsidRDefault="00FD328A" w:rsidP="00FD328A">
      <w:pPr>
        <w:spacing w:after="120"/>
        <w:rPr>
          <w:rFonts w:asciiTheme="minorHAnsi" w:eastAsia="Calibri" w:hAnsiTheme="minorHAnsi"/>
          <w:b/>
          <w:sz w:val="16"/>
          <w:szCs w:val="16"/>
        </w:rPr>
      </w:pPr>
      <w:r w:rsidRPr="00105FFC">
        <w:rPr>
          <w:rFonts w:asciiTheme="minorHAnsi" w:eastAsia="Calibri" w:hAnsiTheme="minorHAnsi"/>
          <w:b/>
          <w:sz w:val="16"/>
          <w:szCs w:val="16"/>
        </w:rPr>
        <w:t xml:space="preserve">Source: </w:t>
      </w:r>
      <w:r w:rsidRPr="00105FFC">
        <w:rPr>
          <w:rFonts w:asciiTheme="minorHAnsi" w:eastAsia="Calibri" w:hAnsiTheme="minorHAnsi"/>
          <w:sz w:val="16"/>
          <w:szCs w:val="16"/>
        </w:rPr>
        <w:t>California Birth Statistical Master File, 2013 and Medi-Cal Eligibility Data.</w:t>
      </w:r>
    </w:p>
    <w:p w14:paraId="17CC8E1F" w14:textId="77777777" w:rsidR="00186BB7" w:rsidRPr="00105FFC" w:rsidRDefault="00186BB7" w:rsidP="00186BB7">
      <w:pPr>
        <w:spacing w:line="276" w:lineRule="auto"/>
        <w:rPr>
          <w:rFonts w:asciiTheme="minorHAnsi" w:hAnsiTheme="minorHAnsi" w:cs="Arial"/>
        </w:rPr>
      </w:pPr>
    </w:p>
    <w:p w14:paraId="1D750166" w14:textId="77777777" w:rsidR="00FD328A" w:rsidRPr="00105FFC" w:rsidRDefault="00FD328A" w:rsidP="00A1643E">
      <w:pPr>
        <w:spacing w:line="276" w:lineRule="auto"/>
        <w:rPr>
          <w:rFonts w:asciiTheme="minorHAnsi" w:hAnsiTheme="minorHAnsi" w:cs="Arial"/>
        </w:rPr>
      </w:pPr>
      <w:r w:rsidRPr="00105FFC">
        <w:rPr>
          <w:rFonts w:asciiTheme="minorHAnsi" w:hAnsiTheme="minorHAnsi" w:cs="Arial"/>
        </w:rPr>
        <w:t>The Los Angeles (29%) and Southern California (28%) regions had the largest proportions FFS births in 2013. Combined, these two geographic regions accounted for more than half of the total FFS births at 57%, or roughly 80,949 births. The North Coast (1%) and Far North (1%) regions had the smallest proportions of births covered by FFS (</w:t>
      </w:r>
      <w:r w:rsidR="00B03934" w:rsidRPr="00105FFC">
        <w:rPr>
          <w:rFonts w:asciiTheme="minorHAnsi" w:hAnsiTheme="minorHAnsi" w:cs="Arial"/>
        </w:rPr>
        <w:t>Figure 4</w:t>
      </w:r>
      <w:r w:rsidR="00F9361C">
        <w:rPr>
          <w:rFonts w:asciiTheme="minorHAnsi" w:hAnsiTheme="minorHAnsi" w:cs="Arial"/>
        </w:rPr>
        <w:t>1</w:t>
      </w:r>
      <w:r w:rsidRPr="00105FFC">
        <w:rPr>
          <w:rFonts w:asciiTheme="minorHAnsi" w:hAnsiTheme="minorHAnsi" w:cs="Arial"/>
        </w:rPr>
        <w:t>).</w:t>
      </w:r>
    </w:p>
    <w:p w14:paraId="2CC35A22" w14:textId="77777777" w:rsidR="00186BB7" w:rsidRPr="00105FFC" w:rsidRDefault="00186BB7" w:rsidP="00186BB7">
      <w:pPr>
        <w:spacing w:line="276" w:lineRule="auto"/>
        <w:rPr>
          <w:rFonts w:asciiTheme="minorHAnsi" w:hAnsiTheme="minorHAnsi" w:cs="Arial"/>
        </w:rPr>
      </w:pPr>
    </w:p>
    <w:p w14:paraId="5D65870B" w14:textId="77777777" w:rsidR="00FD328A" w:rsidRPr="000E1B8E" w:rsidRDefault="000E1B8E" w:rsidP="000E1B8E">
      <w:pPr>
        <w:pStyle w:val="Caption"/>
        <w:spacing w:after="0"/>
        <w:rPr>
          <w:rFonts w:asciiTheme="minorHAnsi" w:eastAsia="Calibri" w:hAnsiTheme="minorHAnsi"/>
          <w:b w:val="0"/>
          <w:color w:val="000000" w:themeColor="text1"/>
          <w:sz w:val="20"/>
          <w:szCs w:val="20"/>
        </w:rPr>
      </w:pPr>
      <w:bookmarkStart w:id="434" w:name="_Toc458782979"/>
      <w:bookmarkStart w:id="435" w:name="_Toc459286722"/>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41</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b w:val="0"/>
          <w:color w:val="000000" w:themeColor="text1"/>
          <w:sz w:val="20"/>
          <w:szCs w:val="20"/>
        </w:rPr>
        <w:t>Distribution of FFS Medi-Cal Births in 2013, by Geographic Region</w:t>
      </w:r>
      <w:bookmarkEnd w:id="434"/>
      <w:bookmarkEnd w:id="435"/>
    </w:p>
    <w:p w14:paraId="1AFA8FC8" w14:textId="77777777" w:rsidR="00FD328A" w:rsidRPr="00105FFC" w:rsidRDefault="00FD328A" w:rsidP="00FD328A">
      <w:pPr>
        <w:spacing w:line="259" w:lineRule="auto"/>
        <w:jc w:val="center"/>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701921CE" wp14:editId="0F32DDB1">
            <wp:extent cx="5191125" cy="3028950"/>
            <wp:effectExtent l="0" t="0" r="9525" b="0"/>
            <wp:docPr id="57" name="Chart 57" descr="Los Angeles: 40,914; 29%&#10;Southern California: 40,035; 28%&#10;Central Valley: 19,639; 14%&#10;Bay Area: 17,078; 12%&#10;Central Coast: 10,146; 7%&#10;Sacramento Valley: 8,180; 6%&#10;Sierra Range/Foothills: 2,724; 2%&#10;North Coast: 1,697; 1%&#10;Far North: 1,258; 1%" title="Distribution of FFS Medi-Cal Births in 2013, by Geographic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96ABCE2" w14:textId="77777777" w:rsidR="00FD328A" w:rsidRPr="00105FFC" w:rsidRDefault="00FD328A" w:rsidP="00FD328A">
      <w:pPr>
        <w:spacing w:after="120"/>
        <w:rPr>
          <w:rFonts w:asciiTheme="minorHAnsi" w:eastAsia="Calibri" w:hAnsiTheme="minorHAnsi"/>
          <w:b/>
          <w:sz w:val="20"/>
          <w:szCs w:val="20"/>
        </w:rPr>
      </w:pPr>
      <w:r w:rsidRPr="00105FFC">
        <w:rPr>
          <w:rFonts w:asciiTheme="minorHAnsi" w:eastAsia="Calibri" w:hAnsiTheme="minorHAnsi"/>
          <w:b/>
          <w:sz w:val="20"/>
          <w:szCs w:val="20"/>
        </w:rPr>
        <w:t xml:space="preserve">Source: </w:t>
      </w:r>
      <w:r w:rsidRPr="00105FFC">
        <w:rPr>
          <w:rFonts w:asciiTheme="minorHAnsi" w:eastAsia="Calibri" w:hAnsiTheme="minorHAnsi"/>
          <w:sz w:val="20"/>
          <w:szCs w:val="20"/>
        </w:rPr>
        <w:t>California Birth Statistical Master File, 2013 and Medi-Cal Eligibility Data.</w:t>
      </w:r>
    </w:p>
    <w:p w14:paraId="2EDCD9AF" w14:textId="77777777" w:rsidR="00FD328A" w:rsidRPr="00105FFC" w:rsidRDefault="00FD328A" w:rsidP="00FD328A">
      <w:pPr>
        <w:keepNext/>
        <w:keepLines/>
        <w:spacing w:after="120" w:line="276" w:lineRule="auto"/>
        <w:outlineLvl w:val="2"/>
        <w:rPr>
          <w:rFonts w:asciiTheme="minorHAnsi" w:eastAsiaTheme="majorEastAsia" w:hAnsiTheme="minorHAnsi" w:cstheme="majorBidi"/>
          <w:b/>
          <w:bCs/>
          <w:color w:val="000000" w:themeColor="text1"/>
          <w:sz w:val="28"/>
        </w:rPr>
      </w:pPr>
      <w:bookmarkStart w:id="436" w:name="_Toc459287771"/>
      <w:r w:rsidRPr="00105FFC">
        <w:rPr>
          <w:rFonts w:asciiTheme="minorHAnsi" w:eastAsiaTheme="majorEastAsia" w:hAnsiTheme="minorHAnsi" w:cstheme="majorBidi"/>
          <w:b/>
          <w:bCs/>
          <w:color w:val="000000" w:themeColor="text1"/>
          <w:sz w:val="28"/>
        </w:rPr>
        <w:t>Initiation of Prenatal Care</w:t>
      </w:r>
      <w:bookmarkEnd w:id="436"/>
    </w:p>
    <w:p w14:paraId="6997CF29" w14:textId="77777777" w:rsidR="00FD328A" w:rsidRPr="00105FFC" w:rsidRDefault="00FD328A" w:rsidP="00FD328A">
      <w:pPr>
        <w:spacing w:after="120" w:line="276" w:lineRule="auto"/>
        <w:rPr>
          <w:rFonts w:asciiTheme="minorHAnsi" w:hAnsiTheme="minorHAnsi" w:cs="Arial"/>
        </w:rPr>
      </w:pPr>
      <w:r w:rsidRPr="00105FFC">
        <w:rPr>
          <w:rFonts w:asciiTheme="minorHAnsi" w:hAnsiTheme="minorHAnsi" w:cs="Arial"/>
        </w:rPr>
        <w:t>FFS Medi-Cal mothers (78.2%) met the Healthy People 2020 goal of having at least 77.9% access early prenatal care, compared 88.9% of non-Medi-Cal births (</w:t>
      </w:r>
      <w:r w:rsidR="00B03934" w:rsidRPr="00105FFC">
        <w:rPr>
          <w:rFonts w:asciiTheme="minorHAnsi" w:hAnsiTheme="minorHAnsi" w:cs="Arial"/>
        </w:rPr>
        <w:t>Figure 4</w:t>
      </w:r>
      <w:r w:rsidR="00F9361C">
        <w:rPr>
          <w:rFonts w:asciiTheme="minorHAnsi" w:hAnsiTheme="minorHAnsi" w:cs="Arial"/>
        </w:rPr>
        <w:t>2</w:t>
      </w:r>
      <w:r w:rsidRPr="00105FFC">
        <w:rPr>
          <w:rFonts w:asciiTheme="minorHAnsi" w:hAnsiTheme="minorHAnsi" w:cs="Arial"/>
        </w:rPr>
        <w:t xml:space="preserve">). </w:t>
      </w:r>
    </w:p>
    <w:p w14:paraId="7FF347C2"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37" w:name="_Toc458782980"/>
      <w:bookmarkStart w:id="438" w:name="_Toc459286723"/>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42</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Early Prenatal Care Initiation among new Californian Mothers in 2013, by Payer Type</w:t>
      </w:r>
      <w:bookmarkEnd w:id="437"/>
      <w:bookmarkEnd w:id="438"/>
    </w:p>
    <w:p w14:paraId="3314E4F3"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2D6F7A89" wp14:editId="28BCAC31">
            <wp:extent cx="5486400" cy="2438400"/>
            <wp:effectExtent l="0" t="0" r="0" b="0"/>
            <wp:docPr id="58" name="Chart 58" descr="Healthy People 2020 Goal: 77.9%&#10;FFS Medi-Cal Births: 78.2%&#10;Non-Medi-Cal: 88.9%" title="Percent of Early Prenatal Care Initiation among new Californian Mothers in 2013, by Payer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3A00157"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6C602FE2" w14:textId="77777777" w:rsidR="00FD328A" w:rsidRPr="00105FFC" w:rsidRDefault="00FD328A" w:rsidP="00FD328A">
      <w:pPr>
        <w:spacing w:before="360" w:after="160" w:line="259" w:lineRule="auto"/>
        <w:rPr>
          <w:rFonts w:asciiTheme="minorHAnsi" w:hAnsiTheme="minorHAnsi" w:cs="Arial"/>
        </w:rPr>
      </w:pPr>
      <w:r w:rsidRPr="00105FFC">
        <w:rPr>
          <w:rFonts w:asciiTheme="minorHAnsi" w:hAnsiTheme="minorHAnsi" w:cs="Arial"/>
        </w:rPr>
        <w:t>FFS restricted-scope Medi-Cal mothers (80.1%) were more likely to access timely prenatal care than those entitled to full-scope benefits (71.5%) (</w:t>
      </w:r>
      <w:r w:rsidR="00A1643E" w:rsidRPr="00105FFC">
        <w:rPr>
          <w:rFonts w:asciiTheme="minorHAnsi" w:hAnsiTheme="minorHAnsi" w:cs="Arial"/>
        </w:rPr>
        <w:t xml:space="preserve">Figure </w:t>
      </w:r>
      <w:r w:rsidR="000F06D1" w:rsidRPr="00105FFC">
        <w:rPr>
          <w:rFonts w:asciiTheme="minorHAnsi" w:hAnsiTheme="minorHAnsi" w:cs="Arial"/>
        </w:rPr>
        <w:t>4</w:t>
      </w:r>
      <w:r w:rsidR="00F9361C">
        <w:rPr>
          <w:rFonts w:asciiTheme="minorHAnsi" w:hAnsiTheme="minorHAnsi" w:cs="Arial"/>
        </w:rPr>
        <w:t>3</w:t>
      </w:r>
      <w:r w:rsidRPr="00105FFC">
        <w:rPr>
          <w:rFonts w:asciiTheme="minorHAnsi" w:hAnsiTheme="minorHAnsi" w:cs="Arial"/>
        </w:rPr>
        <w:t>).</w:t>
      </w:r>
    </w:p>
    <w:p w14:paraId="4119E3AB"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39" w:name="_Toc458782981"/>
      <w:bookmarkStart w:id="440" w:name="_Toc459286724"/>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43</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Early Prenatal Care Initiation among FFS Medi-Cal Mothers in 2013, by Scope of Coverage</w:t>
      </w:r>
      <w:bookmarkEnd w:id="439"/>
      <w:bookmarkEnd w:id="440"/>
    </w:p>
    <w:p w14:paraId="193FE69F"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6926A625" wp14:editId="0AC0CB30">
            <wp:extent cx="5486400" cy="2466975"/>
            <wp:effectExtent l="0" t="0" r="0" b="9525"/>
            <wp:docPr id="62" name="Chart 62" descr="Full-Scope Medi-Cal Mothers&#10;71.5% Accessed early prenatal care&#10;28.5% Did not access early prenatal care&#10;&#10;Restricted Scope Medi-Cal Mothers&#10;80.1% Accessed early prenatal care&#10;19.9% Did not access early prenatal care" title="Percent of Early Prenatal Care Initiation among FFS Medi-Cal Mothers in 2013, by Scope of Co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37F30E3"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 xml:space="preserve">Source: </w:t>
      </w:r>
      <w:r w:rsidRPr="00105FFC">
        <w:rPr>
          <w:rFonts w:asciiTheme="minorHAnsi" w:eastAsia="Calibri" w:hAnsiTheme="minorHAnsi" w:cs="Tahoma"/>
          <w:bCs/>
          <w:color w:val="000000"/>
          <w:sz w:val="16"/>
          <w:szCs w:val="16"/>
        </w:rPr>
        <w:t>Created by DHCS Research and Analytic Studies Division using data from the California Department of Public Health 2013 Birth Statistical Master File, the Office of Statewide Health Planning and Development 2012 Patient Discharge Data, and the Medi-Cal Eligibility Data System Monthly Extract Files for January 2013–December 2013, reflecting a 12-month reporting lag.</w:t>
      </w:r>
    </w:p>
    <w:p w14:paraId="0183471D" w14:textId="77777777" w:rsidR="00FD328A" w:rsidRPr="00105FFC" w:rsidRDefault="00FD328A" w:rsidP="00FD328A">
      <w:pPr>
        <w:spacing w:before="360" w:after="160" w:line="259" w:lineRule="auto"/>
        <w:rPr>
          <w:rFonts w:asciiTheme="minorHAnsi" w:hAnsiTheme="minorHAnsi" w:cs="Arial"/>
        </w:rPr>
      </w:pPr>
      <w:r w:rsidRPr="00105FFC">
        <w:rPr>
          <w:rFonts w:asciiTheme="minorHAnsi" w:hAnsiTheme="minorHAnsi" w:cs="Arial"/>
        </w:rPr>
        <w:t>FFS Medi-Cal mothers in the Undocumented (80.7%) and Other (79.3%) aid categories had the highest percentages of early prenatal care initiation, while those in the Disabilities (68.5%) and Foster Care (69.3%) aid categories had the lowest percentages (</w:t>
      </w:r>
      <w:r w:rsidR="00A65569" w:rsidRPr="00105FFC">
        <w:rPr>
          <w:rFonts w:asciiTheme="minorHAnsi" w:hAnsiTheme="minorHAnsi" w:cs="Arial"/>
        </w:rPr>
        <w:t xml:space="preserve">Figure </w:t>
      </w:r>
      <w:r w:rsidR="00F9361C">
        <w:rPr>
          <w:rFonts w:asciiTheme="minorHAnsi" w:hAnsiTheme="minorHAnsi" w:cs="Arial"/>
        </w:rPr>
        <w:t>44</w:t>
      </w:r>
      <w:r w:rsidRPr="00105FFC">
        <w:rPr>
          <w:rFonts w:asciiTheme="minorHAnsi" w:hAnsiTheme="minorHAnsi" w:cs="Arial"/>
        </w:rPr>
        <w:t>).</w:t>
      </w:r>
      <w:bookmarkStart w:id="441" w:name="_Ref386180246"/>
    </w:p>
    <w:p w14:paraId="244BE46D"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42" w:name="_Toc458782982"/>
      <w:bookmarkStart w:id="443" w:name="_Toc459286725"/>
      <w:bookmarkEnd w:id="441"/>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44</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Early Prenatal Care Initiation among FFS Medi-Cal Mothers in 2013, by Aid Category</w:t>
      </w:r>
      <w:bookmarkEnd w:id="442"/>
      <w:bookmarkEnd w:id="443"/>
    </w:p>
    <w:p w14:paraId="0E86E89E" w14:textId="77777777" w:rsidR="00FD328A" w:rsidRPr="00105FFC" w:rsidRDefault="00FD328A" w:rsidP="00A65569">
      <w:pPr>
        <w:spacing w:after="240"/>
        <w:rPr>
          <w:rFonts w:asciiTheme="minorHAnsi" w:eastAsia="Calibri" w:hAnsiTheme="minorHAnsi" w:cs="Tahoma"/>
          <w:bCs/>
          <w:color w:val="000000"/>
          <w:sz w:val="22"/>
          <w:szCs w:val="18"/>
        </w:rPr>
      </w:pPr>
      <w:r w:rsidRPr="00105FFC">
        <w:rPr>
          <w:rFonts w:asciiTheme="minorHAnsi" w:eastAsia="Calibri" w:hAnsiTheme="minorHAnsi" w:cs="Tahoma"/>
          <w:bCs/>
          <w:noProof/>
          <w:color w:val="000000"/>
          <w:sz w:val="22"/>
          <w:szCs w:val="18"/>
        </w:rPr>
        <w:drawing>
          <wp:inline distT="0" distB="0" distL="0" distR="0" wp14:anchorId="213F9993" wp14:editId="1FF36B87">
            <wp:extent cx="5486400" cy="2762250"/>
            <wp:effectExtent l="0" t="0" r="0" b="0"/>
            <wp:docPr id="63" name="Chart 63" descr="Adoption/Foster Care&#10;69.3% Accessed early prenatal care&#10;30.7% Did not access early prenatal care&#10;&#10;Dual&#10;75.0% Accessed early prenatal care&#10;25.0% Did not access early prenatal care&#10;&#10;Parent/Caretaker Relative &amp; Child&#10;71.3% Accessed early prenatal care&#10;28.7% Did not access early prenatal care&#10;&#10;Senior and Person with Disabilities&#10;68.5% Accessed early prenatal care&#10;31.5% Did not access early prenatal care&#10;&#10;Undocumented&#10;80.7% Accessed early prenatal care&#10;17.3% Did not access early prenatal care&#10;&#10;Other&#10;79.3% Accessed early prenatal care&#10;20.7% Did not access early prenatal care&#10;" title="Percent of Early Prenatal Care Initiation among FFS Medi-Cal Mothers in 2013, by Aid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896AB28"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 xml:space="preserve">Source: </w:t>
      </w:r>
      <w:r w:rsidRPr="00105FFC">
        <w:rPr>
          <w:rFonts w:asciiTheme="minorHAnsi" w:eastAsia="Calibri" w:hAnsiTheme="minorHAnsi" w:cs="Tahoma"/>
          <w:bCs/>
          <w:color w:val="000000"/>
          <w:sz w:val="16"/>
          <w:szCs w:val="16"/>
        </w:rPr>
        <w:t>Created by DHCS Research and Analytic Studies Division using data from the California Department of Public Health 2013Birth Statistical Master File, the Office of Statewide Health Planning and Development 2013 Patient Discharge Data, and the Medi-Cal Eligibility Data System Monthly Extract Files for January 2013–December 2013, reflecting a 12-month reporting lag.</w:t>
      </w:r>
      <w:bookmarkStart w:id="444" w:name="_Ref386181513"/>
    </w:p>
    <w:p w14:paraId="77311719" w14:textId="77777777" w:rsidR="00186BB7" w:rsidRPr="00105FFC" w:rsidRDefault="00186BB7" w:rsidP="00A65569">
      <w:pPr>
        <w:rPr>
          <w:rFonts w:asciiTheme="minorHAnsi" w:eastAsia="Calibri" w:hAnsiTheme="minorHAnsi" w:cs="Tahoma"/>
          <w:bCs/>
          <w:color w:val="000000"/>
          <w:sz w:val="20"/>
          <w:szCs w:val="20"/>
        </w:rPr>
      </w:pPr>
    </w:p>
    <w:p w14:paraId="31502274" w14:textId="77777777" w:rsidR="00FD328A" w:rsidRPr="00105FFC" w:rsidRDefault="00FD328A" w:rsidP="00FD328A">
      <w:pPr>
        <w:spacing w:after="120" w:line="276" w:lineRule="auto"/>
        <w:rPr>
          <w:rFonts w:asciiTheme="minorHAnsi" w:hAnsiTheme="minorHAnsi" w:cs="Arial"/>
        </w:rPr>
      </w:pPr>
      <w:r w:rsidRPr="00105FFC">
        <w:rPr>
          <w:rFonts w:asciiTheme="minorHAnsi" w:hAnsiTheme="minorHAnsi" w:cs="Arial"/>
        </w:rPr>
        <w:t>Only two regions met or exceeded the Healthy People 2020 goal of 77.9% of women accessing prenatal care in the first trimester: Lost Angeles (81.7%) and Southern California (80.4%).  Those living in the North Coast (69.3%) and the Far North regions (61.3%) were the least likely to hav</w:t>
      </w:r>
      <w:r w:rsidR="00B03934" w:rsidRPr="00105FFC">
        <w:rPr>
          <w:rFonts w:asciiTheme="minorHAnsi" w:hAnsiTheme="minorHAnsi" w:cs="Arial"/>
        </w:rPr>
        <w:t>e initiated early prenatal care</w:t>
      </w:r>
      <w:r w:rsidRPr="00105FFC">
        <w:rPr>
          <w:rFonts w:asciiTheme="minorHAnsi" w:hAnsiTheme="minorHAnsi" w:cs="Arial"/>
        </w:rPr>
        <w:t xml:space="preserve"> (</w:t>
      </w:r>
      <w:r w:rsidR="00A65569" w:rsidRPr="00105FFC">
        <w:rPr>
          <w:rFonts w:asciiTheme="minorHAnsi" w:hAnsiTheme="minorHAnsi" w:cs="Arial"/>
        </w:rPr>
        <w:t xml:space="preserve">Figure </w:t>
      </w:r>
      <w:r w:rsidR="00F9361C">
        <w:rPr>
          <w:rFonts w:asciiTheme="minorHAnsi" w:hAnsiTheme="minorHAnsi" w:cs="Arial"/>
        </w:rPr>
        <w:t>45</w:t>
      </w:r>
      <w:r w:rsidRPr="00105FFC">
        <w:rPr>
          <w:rFonts w:asciiTheme="minorHAnsi" w:hAnsiTheme="minorHAnsi" w:cs="Arial"/>
        </w:rPr>
        <w:t>).</w:t>
      </w:r>
    </w:p>
    <w:p w14:paraId="6A468618" w14:textId="77777777" w:rsidR="00FD328A" w:rsidRPr="00105FFC" w:rsidRDefault="00FD328A" w:rsidP="00FD328A">
      <w:pPr>
        <w:spacing w:after="120" w:line="276" w:lineRule="auto"/>
        <w:rPr>
          <w:rFonts w:asciiTheme="minorHAnsi" w:hAnsiTheme="minorHAnsi" w:cs="Arial"/>
        </w:rPr>
      </w:pPr>
      <w:r w:rsidRPr="00105FFC">
        <w:rPr>
          <w:rFonts w:asciiTheme="minorHAnsi" w:hAnsiTheme="minorHAnsi" w:cs="Arial"/>
        </w:rPr>
        <w:br w:type="page"/>
      </w:r>
    </w:p>
    <w:p w14:paraId="2E932B46"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45" w:name="_Toc458782983"/>
      <w:bookmarkStart w:id="446" w:name="_Toc459286726"/>
      <w:bookmarkEnd w:id="444"/>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45</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Early Prenatal Care Initiation among FFS Medi-Cal Mothers in 2013, by Geographic Region</w:t>
      </w:r>
      <w:bookmarkEnd w:id="445"/>
      <w:bookmarkEnd w:id="446"/>
    </w:p>
    <w:p w14:paraId="5EEFED20"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5870ECB0" wp14:editId="7F35032F">
            <wp:extent cx="5486400" cy="2647950"/>
            <wp:effectExtent l="0" t="0" r="0" b="0"/>
            <wp:docPr id="320" name="Chart 320" descr="Bay Area: 78.2% Accessed early prenatal care;  21.8% Did not access prenatal care&#10;&#10;Central Coast: 70.4% Accessed early prenatal care;  29.6% Did not access prenatal care&#10;&#10;Central Valley: 75.2% Accessed early prenatal care;  24.8% Did not access prenatal care&#10;&#10;Far North: 61.3% Accessed early prenatal care;  38.7% Did not access prenatal care&#10;&#10;Los Angeles: 81.7% Accessed early prenatal care;  18.3% Did not access prenatal care&#10;&#10;North Coast: 69.3% Accessed early prenatal care;  30.7% Did not access prenatal care&#10;&#10;Sacramento Valley: 70.1% Accessed early prenatal care;  29.9% Did not access prenatal care&#10;&#10;Sierra Range/Foothills: 69.1% Accessed early prenatal care;  30.9% Did not access prenatal care&#10;&#10;Southern California: 80.4% Accessed early prenatal care;  19.6% Did not access prenatal care&#10;" title="Percent of Early Prenatal Care Initiation among FFS Medi-Cal Mothers in 2013, by Geographic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68D684" w14:textId="77777777" w:rsidR="00FD328A" w:rsidRPr="00105FFC" w:rsidRDefault="00FD328A" w:rsidP="00FD328A">
      <w:pPr>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11FA6364" w14:textId="77777777" w:rsidR="00FD328A" w:rsidRPr="00105FFC" w:rsidRDefault="00FD328A" w:rsidP="00FD328A">
      <w:pPr>
        <w:spacing w:line="259" w:lineRule="auto"/>
        <w:rPr>
          <w:rFonts w:asciiTheme="minorHAnsi" w:eastAsia="Calibri" w:hAnsiTheme="minorHAnsi"/>
          <w:noProof/>
          <w:sz w:val="22"/>
          <w:szCs w:val="22"/>
        </w:rPr>
      </w:pPr>
    </w:p>
    <w:p w14:paraId="4DC3BA36"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FFS Medi-Cal mothers ages 25-34 (80.3%) and mothers ages 35-44 (80.1%) were most likely to access early prenatal care (80.3%). Mothers ages 15 and younger (52.0%) and mothers ages 16-17 (62.1%) were the least likely to access early prenatal care (</w:t>
      </w:r>
      <w:r w:rsidR="00A65569" w:rsidRPr="00105FFC">
        <w:rPr>
          <w:rFonts w:asciiTheme="minorHAnsi" w:hAnsiTheme="minorHAnsi" w:cs="Arial"/>
        </w:rPr>
        <w:t xml:space="preserve">Figure </w:t>
      </w:r>
      <w:r w:rsidR="00F9361C">
        <w:rPr>
          <w:rFonts w:asciiTheme="minorHAnsi" w:hAnsiTheme="minorHAnsi" w:cs="Arial"/>
        </w:rPr>
        <w:t>46</w:t>
      </w:r>
      <w:r w:rsidRPr="00105FFC">
        <w:rPr>
          <w:rFonts w:asciiTheme="minorHAnsi" w:hAnsiTheme="minorHAnsi" w:cs="Arial"/>
        </w:rPr>
        <w:t xml:space="preserve">). </w:t>
      </w:r>
      <w:bookmarkStart w:id="447" w:name="_Ref386181546"/>
      <w:bookmarkStart w:id="448" w:name="_Ref387135015"/>
    </w:p>
    <w:p w14:paraId="68CB7D03" w14:textId="77777777" w:rsidR="00FD328A" w:rsidRPr="000E1B8E" w:rsidRDefault="000E1B8E" w:rsidP="000E1B8E">
      <w:pPr>
        <w:pStyle w:val="Caption"/>
        <w:spacing w:after="0"/>
        <w:rPr>
          <w:rFonts w:asciiTheme="minorHAnsi" w:eastAsia="Calibri" w:hAnsiTheme="minorHAnsi" w:cs="Tahoma"/>
          <w:b w:val="0"/>
          <w:color w:val="000000" w:themeColor="text1"/>
          <w:sz w:val="20"/>
          <w:szCs w:val="20"/>
        </w:rPr>
      </w:pPr>
      <w:bookmarkStart w:id="449" w:name="_Toc458782984"/>
      <w:bookmarkStart w:id="450" w:name="_Toc459286727"/>
      <w:bookmarkEnd w:id="447"/>
      <w:bookmarkEnd w:id="448"/>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46</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color w:val="000000" w:themeColor="text1"/>
          <w:sz w:val="20"/>
          <w:szCs w:val="20"/>
        </w:rPr>
        <w:t>Percent of Early Prenatal Care Initiation among FFS Medi-Cal Mothers in 2013, by Age Group</w:t>
      </w:r>
      <w:bookmarkEnd w:id="449"/>
      <w:bookmarkEnd w:id="450"/>
    </w:p>
    <w:p w14:paraId="6187BC4C" w14:textId="77777777" w:rsidR="00FD328A" w:rsidRPr="00105FFC" w:rsidRDefault="00FD328A" w:rsidP="00FD328A">
      <w:pPr>
        <w:spacing w:line="276" w:lineRule="auto"/>
        <w:rPr>
          <w:rFonts w:asciiTheme="minorHAnsi" w:eastAsia="Calibri" w:hAnsiTheme="minorHAnsi" w:cs="Tahoma"/>
          <w:b/>
          <w:sz w:val="22"/>
          <w:szCs w:val="22"/>
        </w:rPr>
      </w:pPr>
      <w:r w:rsidRPr="00105FFC">
        <w:rPr>
          <w:rFonts w:asciiTheme="minorHAnsi" w:eastAsia="Calibri" w:hAnsiTheme="minorHAnsi" w:cs="Tahoma"/>
          <w:b/>
          <w:noProof/>
          <w:sz w:val="22"/>
          <w:szCs w:val="22"/>
        </w:rPr>
        <w:drawing>
          <wp:inline distT="0" distB="0" distL="0" distR="0" wp14:anchorId="2FC82DD1" wp14:editId="2D927BA0">
            <wp:extent cx="5486400" cy="2295525"/>
            <wp:effectExtent l="0" t="0" r="0" b="9525"/>
            <wp:docPr id="321" name="Chart 321" descr="Age 15 or Less: 52.0% Accessed early prenatal care;  48.0% Did not access prenatal care&#10;&#10;Age 16-17: 62.1% Accessed early prenatal care;  37.9% Did not access prenatal care&#10;&#10;Age 18-19: 69.2% Accessed early prenatal care;  30.8% Did not access prenatal care&#10;&#10;Age 20-24: 75.7% Accessed early prenatal care;  24.3% Did not access prenatal care&#10;&#10;Age 25-34: 80.3% Accessed early prenatal care;  19.7% Did not access prenatal care&#10;&#10;Age 35-44: 80.1% Accessed early prenatal care;  19.9% Did not access prenatal care&#10;&#10;Age 45 and Older: 72.2% Accessed early prenatal care;  27.8% Did not access prenatal care&#10;" title="Percent of Early Prenatal Care Initiation among FFS Medi-Cal Mothers in 2013,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F4F9224" w14:textId="77777777" w:rsidR="00FD328A" w:rsidRPr="00105FFC" w:rsidRDefault="00FD328A" w:rsidP="00A65569">
      <w:pPr>
        <w:rPr>
          <w:rFonts w:asciiTheme="minorHAnsi" w:eastAsia="Calibri" w:hAnsiTheme="minorHAnsi" w:cs="Tahoma"/>
          <w:b/>
          <w:bCs/>
          <w:color w:val="000000"/>
          <w:sz w:val="16"/>
          <w:szCs w:val="16"/>
        </w:rPr>
      </w:pPr>
      <w:r w:rsidRPr="00105FFC">
        <w:rPr>
          <w:rFonts w:asciiTheme="minorHAnsi" w:eastAsia="Calibri" w:hAnsiTheme="minorHAnsi" w:cs="Tahoma"/>
          <w:b/>
          <w:bCs/>
          <w:color w:val="000000"/>
          <w:sz w:val="16"/>
          <w:szCs w:val="16"/>
        </w:rPr>
        <w:t xml:space="preserve">Source: </w:t>
      </w:r>
      <w:r w:rsidRPr="00105FFC">
        <w:rPr>
          <w:rFonts w:asciiTheme="minorHAnsi" w:eastAsia="Calibri" w:hAnsiTheme="minorHAnsi" w:cs="Tahoma"/>
          <w:bCs/>
          <w:color w:val="000000"/>
          <w:sz w:val="16"/>
          <w:szCs w:val="16"/>
        </w:rPr>
        <w:t>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1AA64373" w14:textId="77777777" w:rsidR="00A65569" w:rsidRPr="00105FFC" w:rsidRDefault="00A65569" w:rsidP="00A65569">
      <w:pPr>
        <w:spacing w:line="259" w:lineRule="auto"/>
        <w:rPr>
          <w:rFonts w:asciiTheme="minorHAnsi" w:hAnsiTheme="minorHAnsi" w:cs="Arial"/>
        </w:rPr>
      </w:pPr>
    </w:p>
    <w:p w14:paraId="77765A7B"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American Indians/Alaskan Natives (63.4%) had the lowest percentage of early prenatal care initiation, while Hispanics (79.6%) had the highest percentage (</w:t>
      </w:r>
      <w:r w:rsidR="00A65569" w:rsidRPr="00105FFC">
        <w:rPr>
          <w:rFonts w:asciiTheme="minorHAnsi" w:hAnsiTheme="minorHAnsi" w:cs="Arial"/>
        </w:rPr>
        <w:t xml:space="preserve">Figure </w:t>
      </w:r>
      <w:r w:rsidR="00F9361C">
        <w:rPr>
          <w:rFonts w:asciiTheme="minorHAnsi" w:hAnsiTheme="minorHAnsi" w:cs="Arial"/>
        </w:rPr>
        <w:t>47</w:t>
      </w:r>
      <w:r w:rsidRPr="00105FFC">
        <w:rPr>
          <w:rFonts w:asciiTheme="minorHAnsi" w:hAnsiTheme="minorHAnsi" w:cs="Arial"/>
        </w:rPr>
        <w:t>).</w:t>
      </w:r>
    </w:p>
    <w:p w14:paraId="127A1A5F"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br w:type="page"/>
      </w:r>
    </w:p>
    <w:p w14:paraId="71526163"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51" w:name="_Toc458782985"/>
      <w:bookmarkStart w:id="452" w:name="_Toc459286728"/>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47</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Proportion of Early Prenatal Care Initiation among FFS Medi-Cal Mothers in 2013, by Race/Ethnicity</w:t>
      </w:r>
      <w:bookmarkEnd w:id="451"/>
      <w:bookmarkEnd w:id="452"/>
    </w:p>
    <w:p w14:paraId="006EF99F"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679D74A7" wp14:editId="1E91081B">
            <wp:extent cx="5486400" cy="2447925"/>
            <wp:effectExtent l="0" t="0" r="0" b="9525"/>
            <wp:docPr id="322" name="Chart 322" descr="White: 73.9% Accessed early prenatal care;  26.1% Did not access prenatal care&#10;&#10;African-American: 73.8% Accessed early prenatal care;  26.2% Did not access prenatal care&#10;&#10;Hispanic: 79.6% Accessed early prenatal care;  20.4% Did not access prenatal care&#10;&#10;Asian: 76.7% Accessed early prenatal care;  23.3% Did not access prenatal care&#10;&#10;American Indian/Alaskan Native: 63.4% Accessed early prenatal care;  36.6% Did not access &#10;prenatal care&#10;&#10;Other/Not Reported: 76.3% Accessed early prenatal care;  23.7% Did not access prenatal care&#10;" title="Proportion of Early Prenatal Care Initiation among FFS Medi-Cal Mothers in 2013,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C6AF68B"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20132, reflecting a 12-month reporting lag.</w:t>
      </w:r>
    </w:p>
    <w:p w14:paraId="6E810BA9" w14:textId="77777777" w:rsidR="00186BB7" w:rsidRPr="00105FFC" w:rsidRDefault="00186BB7" w:rsidP="00186BB7">
      <w:pPr>
        <w:rPr>
          <w:rFonts w:asciiTheme="minorHAnsi" w:eastAsia="Calibri" w:hAnsiTheme="minorHAnsi" w:cs="Tahoma"/>
          <w:bCs/>
          <w:color w:val="000000"/>
          <w:sz w:val="20"/>
          <w:szCs w:val="20"/>
        </w:rPr>
      </w:pPr>
    </w:p>
    <w:p w14:paraId="67A93D8A" w14:textId="77777777" w:rsidR="00FD328A" w:rsidRPr="00105FFC" w:rsidRDefault="00FD328A" w:rsidP="00FD328A">
      <w:pPr>
        <w:keepNext/>
        <w:keepLines/>
        <w:spacing w:after="120" w:line="276" w:lineRule="auto"/>
        <w:outlineLvl w:val="2"/>
        <w:rPr>
          <w:rFonts w:asciiTheme="minorHAnsi" w:eastAsiaTheme="majorEastAsia" w:hAnsiTheme="minorHAnsi" w:cstheme="majorBidi"/>
          <w:b/>
          <w:bCs/>
          <w:color w:val="000000" w:themeColor="text1"/>
          <w:sz w:val="28"/>
        </w:rPr>
      </w:pPr>
      <w:bookmarkStart w:id="453" w:name="_Toc459287772"/>
      <w:r w:rsidRPr="00105FFC">
        <w:rPr>
          <w:rFonts w:asciiTheme="minorHAnsi" w:eastAsiaTheme="majorEastAsia" w:hAnsiTheme="minorHAnsi" w:cstheme="majorBidi"/>
          <w:b/>
          <w:bCs/>
          <w:color w:val="000000" w:themeColor="text1"/>
          <w:sz w:val="28"/>
        </w:rPr>
        <w:t>Low-Birthweight among Singleton Births</w:t>
      </w:r>
      <w:bookmarkEnd w:id="453"/>
    </w:p>
    <w:p w14:paraId="62AACDBE"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In 2013, the percent of FFS Medi-Cal mothers with a low-birthw</w:t>
      </w:r>
      <w:r w:rsidR="00151524" w:rsidRPr="00105FFC">
        <w:rPr>
          <w:rFonts w:asciiTheme="minorHAnsi" w:hAnsiTheme="minorHAnsi" w:cs="Arial"/>
        </w:rPr>
        <w:t>eight singleton delivery was 5.5</w:t>
      </w:r>
      <w:r w:rsidRPr="00105FFC">
        <w:rPr>
          <w:rFonts w:asciiTheme="minorHAnsi" w:hAnsiTheme="minorHAnsi" w:cs="Arial"/>
        </w:rPr>
        <w:t>%, meeting the Healthy People 2020 Goal of 7.8% or less (</w:t>
      </w:r>
      <w:r w:rsidR="00B03934" w:rsidRPr="00105FFC">
        <w:rPr>
          <w:rFonts w:asciiTheme="minorHAnsi" w:hAnsiTheme="minorHAnsi" w:cs="Arial"/>
        </w:rPr>
        <w:t xml:space="preserve">Figure </w:t>
      </w:r>
      <w:r w:rsidR="00F9361C">
        <w:rPr>
          <w:rFonts w:asciiTheme="minorHAnsi" w:hAnsiTheme="minorHAnsi" w:cs="Arial"/>
        </w:rPr>
        <w:t>48</w:t>
      </w:r>
      <w:r w:rsidRPr="00105FFC">
        <w:rPr>
          <w:rFonts w:asciiTheme="minorHAnsi" w:hAnsiTheme="minorHAnsi" w:cs="Arial"/>
        </w:rPr>
        <w:t xml:space="preserve">). </w:t>
      </w:r>
    </w:p>
    <w:p w14:paraId="4DA3E078" w14:textId="77777777" w:rsidR="00FD328A" w:rsidRPr="000E1B8E" w:rsidRDefault="000E1B8E" w:rsidP="000E1B8E">
      <w:pPr>
        <w:pStyle w:val="Caption"/>
        <w:spacing w:after="0"/>
        <w:rPr>
          <w:rFonts w:asciiTheme="minorHAnsi" w:eastAsia="Calibri" w:hAnsiTheme="minorHAnsi"/>
          <w:b w:val="0"/>
          <w:color w:val="000000" w:themeColor="text1"/>
          <w:sz w:val="20"/>
          <w:szCs w:val="20"/>
        </w:rPr>
      </w:pPr>
      <w:bookmarkStart w:id="454" w:name="_Toc458782986"/>
      <w:bookmarkStart w:id="455" w:name="_Toc459286729"/>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48</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b w:val="0"/>
          <w:color w:val="000000" w:themeColor="text1"/>
          <w:sz w:val="20"/>
          <w:szCs w:val="20"/>
        </w:rPr>
        <w:t>Percent of Low-Birthweight Singleton Births in 2013, by Payer Source</w:t>
      </w:r>
      <w:bookmarkEnd w:id="454"/>
      <w:bookmarkEnd w:id="455"/>
    </w:p>
    <w:p w14:paraId="22E72B65"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3CF0BAB1" wp14:editId="7A36EBB1">
            <wp:extent cx="5486400" cy="2724150"/>
            <wp:effectExtent l="0" t="0" r="0" b="0"/>
            <wp:docPr id="323" name="Chart 323" descr="Healthy People 2020 Goal: 7.8%&#10;FFS Medi-Cal Births: 5.5%&#10;Non-Medi-Cal: 4.8%" title="Percent of Low-Birthweight Singleton Births in 2013, by Payer Sou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9788654" w14:textId="77777777" w:rsidR="00FD328A" w:rsidRPr="00105FFC" w:rsidRDefault="00FD328A" w:rsidP="00FD328A">
      <w:pPr>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3FC606AD" w14:textId="77777777" w:rsidR="00FD328A" w:rsidRPr="00105FFC" w:rsidRDefault="00FD328A" w:rsidP="00FD328A">
      <w:pPr>
        <w:rPr>
          <w:rFonts w:asciiTheme="minorHAnsi" w:eastAsia="Calibri" w:hAnsiTheme="minorHAnsi" w:cs="Tahoma"/>
          <w:bCs/>
          <w:color w:val="000000"/>
          <w:sz w:val="16"/>
          <w:szCs w:val="18"/>
        </w:rPr>
      </w:pPr>
    </w:p>
    <w:p w14:paraId="2AFB0399"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FFS Medi-Cal mothers who received no prenatal care (9.2%) had a much larger percentage of low-birthweight deliveries than those who initiated prenatal care at any time during their pregnancy, and were 1.6 times more likely to have a low-birthweight delivery than mothers who initiated prenatal care in the first trimester (5.5%) (</w:t>
      </w:r>
      <w:r w:rsidR="00B03934" w:rsidRPr="00105FFC">
        <w:rPr>
          <w:rFonts w:asciiTheme="minorHAnsi" w:hAnsiTheme="minorHAnsi" w:cs="Arial"/>
        </w:rPr>
        <w:t xml:space="preserve">Figure </w:t>
      </w:r>
      <w:r w:rsidR="00F9361C">
        <w:rPr>
          <w:rFonts w:asciiTheme="minorHAnsi" w:hAnsiTheme="minorHAnsi" w:cs="Arial"/>
        </w:rPr>
        <w:t>49</w:t>
      </w:r>
      <w:r w:rsidRPr="00105FFC">
        <w:rPr>
          <w:rFonts w:asciiTheme="minorHAnsi" w:hAnsiTheme="minorHAnsi" w:cs="Arial"/>
        </w:rPr>
        <w:t>).</w:t>
      </w:r>
    </w:p>
    <w:p w14:paraId="7AC5DBDF"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56" w:name="_Toc458782987"/>
      <w:bookmarkStart w:id="457" w:name="_Toc459286730"/>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49</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Low-Birthweight Singleton Births among FFS Medi-Cal Mothers in 2013, by Timing of Prenatal Care Initiation</w:t>
      </w:r>
      <w:bookmarkEnd w:id="456"/>
      <w:bookmarkEnd w:id="457"/>
    </w:p>
    <w:p w14:paraId="1390EB4E"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27FCEBE0" wp14:editId="2CF1AC8B">
            <wp:extent cx="5486400" cy="2124075"/>
            <wp:effectExtent l="0" t="0" r="0" b="9525"/>
            <wp:docPr id="324" name="Chart 324" descr="No Prenatal Care: 9.2%&#10;Early Prenatal Care: 5.5%&#10;Late Prenatal Care: 5.1%" title="Percent of Low-Birthweight Singleton Births among FFS Medi-Cal Mothers in 2013, by Timing of Prenatal Care Init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99FDB64"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44B04CD1" w14:textId="77777777" w:rsidR="00186BB7" w:rsidRPr="00105FFC" w:rsidRDefault="00186BB7" w:rsidP="00186BB7">
      <w:pPr>
        <w:rPr>
          <w:rFonts w:asciiTheme="minorHAnsi" w:eastAsia="Calibri" w:hAnsiTheme="minorHAnsi" w:cs="Tahoma"/>
          <w:bCs/>
          <w:color w:val="000000"/>
          <w:sz w:val="20"/>
          <w:szCs w:val="20"/>
        </w:rPr>
      </w:pPr>
    </w:p>
    <w:p w14:paraId="3A7FBE53"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Among FFS Medi-Cal mothers in 2013, those entitled to full-scope benefits (7.0%) had a higher percentage of low-birthweight deliveries than those covered by restricted-scope benefits (5.0%) (</w:t>
      </w:r>
      <w:r w:rsidR="00B03934" w:rsidRPr="00105FFC">
        <w:rPr>
          <w:rFonts w:asciiTheme="minorHAnsi" w:hAnsiTheme="minorHAnsi" w:cs="Arial"/>
        </w:rPr>
        <w:t>Figure 5</w:t>
      </w:r>
      <w:r w:rsidR="00F9361C">
        <w:rPr>
          <w:rFonts w:asciiTheme="minorHAnsi" w:hAnsiTheme="minorHAnsi" w:cs="Arial"/>
        </w:rPr>
        <w:t>0</w:t>
      </w:r>
      <w:r w:rsidRPr="00105FFC">
        <w:rPr>
          <w:rFonts w:asciiTheme="minorHAnsi" w:hAnsiTheme="minorHAnsi" w:cs="Arial"/>
        </w:rPr>
        <w:t xml:space="preserve">). </w:t>
      </w:r>
    </w:p>
    <w:p w14:paraId="51B54C2B"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58" w:name="_Toc458782988"/>
      <w:bookmarkStart w:id="459" w:name="_Toc459286731"/>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50</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Low-Birthweight Singleton Births among FFS Medi-Cal Mothers in 2013, by Scope of Coverage</w:t>
      </w:r>
      <w:bookmarkEnd w:id="458"/>
      <w:bookmarkEnd w:id="459"/>
    </w:p>
    <w:p w14:paraId="3337FB8B" w14:textId="77777777" w:rsidR="00FD328A" w:rsidRPr="00105FFC" w:rsidRDefault="00FD328A" w:rsidP="00A65569">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4E7524DD" wp14:editId="7F14205A">
            <wp:extent cx="5486400" cy="2238375"/>
            <wp:effectExtent l="0" t="0" r="0" b="9525"/>
            <wp:docPr id="325" name="Chart 325" descr="Full-Scope: 7.0%&#10;Restricted: 5.0%" title="Percent of Low-Birthweight Singleton Births among FFS Medi-Cal Mothers in 2013, by Scope of Co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105FFC">
        <w:rPr>
          <w:rFonts w:asciiTheme="minorHAnsi" w:eastAsia="Calibri" w:hAnsiTheme="minorHAnsi"/>
          <w:sz w:val="22"/>
          <w:szCs w:val="22"/>
        </w:rPr>
        <w:br/>
      </w:r>
      <w:r w:rsidRPr="00105FFC">
        <w:rPr>
          <w:rFonts w:asciiTheme="minorHAnsi" w:eastAsia="Calibri" w:hAnsiTheme="minorHAnsi" w:cs="Tahoma"/>
          <w:b/>
          <w:bCs/>
          <w:color w:val="000000"/>
          <w:sz w:val="16"/>
          <w:szCs w:val="16"/>
        </w:rPr>
        <w:t>Source:</w:t>
      </w:r>
      <w:bookmarkStart w:id="460" w:name="_Ref387061292"/>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bookmarkEnd w:id="460"/>
    <w:p w14:paraId="05B9C8E2" w14:textId="77777777" w:rsidR="00A65569" w:rsidRPr="00105FFC" w:rsidRDefault="00A65569" w:rsidP="00A65569">
      <w:pPr>
        <w:spacing w:line="259" w:lineRule="auto"/>
        <w:rPr>
          <w:rFonts w:asciiTheme="minorHAnsi" w:hAnsiTheme="minorHAnsi" w:cs="Arial"/>
        </w:rPr>
      </w:pPr>
    </w:p>
    <w:p w14:paraId="435C4138"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FFS Medi-Cal mothers categorized as Dually eligible for Medi-Cal and Medicare eligible (8.6%) and those with a Disability (8.5%) had the highest percentage of low-birthweight deliveries, while mothers in the Undocumented aid category (4.7%) had the lowest percentage (</w:t>
      </w:r>
      <w:r w:rsidR="00B03934" w:rsidRPr="00105FFC">
        <w:rPr>
          <w:rFonts w:asciiTheme="minorHAnsi" w:hAnsiTheme="minorHAnsi" w:cs="Arial"/>
        </w:rPr>
        <w:t>Figure 5</w:t>
      </w:r>
      <w:r w:rsidR="00F9361C">
        <w:rPr>
          <w:rFonts w:asciiTheme="minorHAnsi" w:hAnsiTheme="minorHAnsi" w:cs="Arial"/>
        </w:rPr>
        <w:t>1</w:t>
      </w:r>
      <w:r w:rsidRPr="00105FFC">
        <w:rPr>
          <w:rFonts w:asciiTheme="minorHAnsi" w:hAnsiTheme="minorHAnsi" w:cs="Arial"/>
        </w:rPr>
        <w:t xml:space="preserve">). </w:t>
      </w:r>
    </w:p>
    <w:p w14:paraId="453EE73F" w14:textId="77777777" w:rsidR="00A65569" w:rsidRPr="00105FFC" w:rsidRDefault="00A65569" w:rsidP="00FD328A">
      <w:pPr>
        <w:spacing w:after="160" w:line="259" w:lineRule="auto"/>
        <w:rPr>
          <w:rFonts w:asciiTheme="minorHAnsi" w:hAnsiTheme="minorHAnsi" w:cs="Arial"/>
        </w:rPr>
      </w:pPr>
    </w:p>
    <w:p w14:paraId="193A36ED"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61" w:name="_Toc458782989"/>
      <w:bookmarkStart w:id="462" w:name="_Toc459286732"/>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51</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Low-Birthweight Singleton Births among FFS Medi-Cal Mothers in 2013, by Aid Category</w:t>
      </w:r>
      <w:bookmarkEnd w:id="461"/>
      <w:bookmarkEnd w:id="462"/>
    </w:p>
    <w:p w14:paraId="6959F02C"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422A1661" wp14:editId="63A9607A">
            <wp:extent cx="5486400" cy="2047875"/>
            <wp:effectExtent l="0" t="0" r="0" b="9525"/>
            <wp:docPr id="326" name="Chart 326" descr="Adoption/Foster Care: 7.1%&#10;Dual: 8.6%&#10;Parent/Caretaker Relative &amp; Child: 6.9%&#10;Senior and Person with Disabilities: 8.5%&#10;Undocumented: 4.7%&#10;Other: 5.4%&#10;" title="Percent of Low-Birthweight Singleton Births among FFS Medi-Cal Mothers in 2013, by Aid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A5FAC2A"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035C9B7B" w14:textId="77777777" w:rsidR="00FD328A" w:rsidRPr="00105FFC" w:rsidRDefault="00FD328A" w:rsidP="00FD328A">
      <w:pPr>
        <w:tabs>
          <w:tab w:val="left" w:pos="4050"/>
        </w:tabs>
        <w:spacing w:after="160" w:line="259" w:lineRule="auto"/>
        <w:ind w:right="630"/>
        <w:rPr>
          <w:rFonts w:asciiTheme="minorHAnsi" w:hAnsiTheme="minorHAnsi" w:cs="Arial"/>
        </w:rPr>
      </w:pPr>
      <w:r w:rsidRPr="00105FFC">
        <w:rPr>
          <w:rFonts w:asciiTheme="minorHAnsi" w:hAnsiTheme="minorHAnsi" w:cs="Arial"/>
        </w:rPr>
        <w:t>FFS Medi-Cal mothers residing in the Central Valley (5.9%), Los Angeles (5.8%), and Sacramento Valley (5.8%) regions had the highest percentage of low-birthweight deliveries when compared to the other regions.  However, all regions met the Healthy People 2020 goal of less than or equal to 7.8% (</w:t>
      </w:r>
      <w:r w:rsidR="00B03934" w:rsidRPr="00105FFC">
        <w:rPr>
          <w:rFonts w:asciiTheme="minorHAnsi" w:hAnsiTheme="minorHAnsi" w:cs="Arial"/>
        </w:rPr>
        <w:t>Figure 5</w:t>
      </w:r>
      <w:r w:rsidR="00F9361C">
        <w:rPr>
          <w:rFonts w:asciiTheme="minorHAnsi" w:hAnsiTheme="minorHAnsi" w:cs="Arial"/>
        </w:rPr>
        <w:t>2</w:t>
      </w:r>
      <w:r w:rsidRPr="00105FFC">
        <w:rPr>
          <w:rFonts w:asciiTheme="minorHAnsi" w:hAnsiTheme="minorHAnsi" w:cs="Arial"/>
        </w:rPr>
        <w:t>).</w:t>
      </w:r>
    </w:p>
    <w:p w14:paraId="12C57775"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63" w:name="_Toc458782990"/>
      <w:bookmarkStart w:id="464" w:name="_Toc459286733"/>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52</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Low-Birthweight Singleton Births among FFS Medi-Cal Mothers in 2013, by Geographic Region</w:t>
      </w:r>
      <w:bookmarkEnd w:id="463"/>
      <w:bookmarkEnd w:id="464"/>
    </w:p>
    <w:p w14:paraId="3C8478B4" w14:textId="77777777" w:rsidR="00FD328A" w:rsidRPr="00105FFC" w:rsidRDefault="00FD328A" w:rsidP="00525557">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73E70EF8" wp14:editId="02363A75">
            <wp:extent cx="5505450" cy="2819400"/>
            <wp:effectExtent l="0" t="0" r="0" b="0"/>
            <wp:docPr id="327" name="Chart 327" descr="Bay Area: 5.1%&#10;Central Coast: 4.9%&#10;Central Valley: 5.9%&#10;Far North: 5.5%&#10;Los Angeles: 5.8%&#10;North Coast: 4.8%&#10;Sacramento Valley: 5.8%&#10;Sierra Range/Foothills: 5.3%&#10;Southern California: 5.3%&#10;" title="Percent of Low-Birthweight Singleton Births among FFS Medi-Cal Mothers in 2013, by Geographic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11769E2"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3A45CA6F" w14:textId="77777777" w:rsidR="005014EF" w:rsidRPr="00105FFC" w:rsidRDefault="005014EF">
      <w:pPr>
        <w:spacing w:after="200" w:line="276" w:lineRule="auto"/>
        <w:rPr>
          <w:rFonts w:asciiTheme="minorHAnsi" w:hAnsiTheme="minorHAnsi" w:cs="Arial"/>
        </w:rPr>
      </w:pPr>
      <w:r w:rsidRPr="00105FFC">
        <w:rPr>
          <w:rFonts w:asciiTheme="minorHAnsi" w:hAnsiTheme="minorHAnsi" w:cs="Arial"/>
        </w:rPr>
        <w:br w:type="page"/>
      </w:r>
    </w:p>
    <w:p w14:paraId="2273DB2B"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 xml:space="preserve">FFS Medi-Cal mothers ages 45 and older (13.0%) had the highest percentage of low-birthweight deliveries and was the only group not to meet the Healthy People 2020 goal.  Conversely, those ages 15 years and younger had the lowest percentage of low-birthweight deliveries (4.9%; </w:t>
      </w:r>
      <w:r w:rsidR="005014EF" w:rsidRPr="00105FFC">
        <w:rPr>
          <w:rFonts w:asciiTheme="minorHAnsi" w:hAnsiTheme="minorHAnsi" w:cs="Arial"/>
        </w:rPr>
        <w:t xml:space="preserve">Figure </w:t>
      </w:r>
      <w:r w:rsidR="000F06D1" w:rsidRPr="00105FFC">
        <w:rPr>
          <w:rFonts w:asciiTheme="minorHAnsi" w:hAnsiTheme="minorHAnsi" w:cs="Arial"/>
        </w:rPr>
        <w:t>5</w:t>
      </w:r>
      <w:r w:rsidR="00F9361C">
        <w:rPr>
          <w:rFonts w:asciiTheme="minorHAnsi" w:hAnsiTheme="minorHAnsi" w:cs="Arial"/>
        </w:rPr>
        <w:t>3</w:t>
      </w:r>
      <w:r w:rsidRPr="00105FFC">
        <w:rPr>
          <w:rFonts w:asciiTheme="minorHAnsi" w:hAnsiTheme="minorHAnsi" w:cs="Arial"/>
        </w:rPr>
        <w:t xml:space="preserve">). </w:t>
      </w:r>
    </w:p>
    <w:p w14:paraId="51ABC81A"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65" w:name="_Toc458782991"/>
      <w:bookmarkStart w:id="466" w:name="_Toc459286734"/>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53</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Low-Birthweight Singleton Births among FFS Medi-Cal Mothers in 2013, by Maternal Age Group</w:t>
      </w:r>
      <w:bookmarkEnd w:id="465"/>
      <w:bookmarkEnd w:id="466"/>
    </w:p>
    <w:p w14:paraId="46287239"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756D3F71" wp14:editId="7B27C0F2">
            <wp:extent cx="5486400" cy="2295525"/>
            <wp:effectExtent l="0" t="0" r="0" b="9525"/>
            <wp:docPr id="328" name="Chart 328" descr="Age 15 or Less: 4.9%&#10;Age 16-17: 6.5%&#10;Age 18-19: 6.2%&#10;Age 20-24: 5.4%&#10;Age 25-34: 5.1%&#10;Age 35-44: 6.5%&#10;Age 45 and Older: 13.0%&#10;" title="Percent of Low-Birthweight Singleton Births among FFS Medi-Cal Mothers in 2013, by Maternal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8B2DA50"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 xml:space="preserve">Source: </w:t>
      </w:r>
      <w:r w:rsidRPr="00105FFC">
        <w:rPr>
          <w:rFonts w:asciiTheme="minorHAnsi" w:eastAsia="Calibri" w:hAnsiTheme="minorHAnsi" w:cs="Tahoma"/>
          <w:bCs/>
          <w:color w:val="000000"/>
          <w:sz w:val="16"/>
          <w:szCs w:val="16"/>
        </w:rPr>
        <w:t>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206DEE3B" w14:textId="77777777" w:rsidR="00FD328A" w:rsidRPr="00105FFC" w:rsidRDefault="00FD328A" w:rsidP="00FD328A">
      <w:pPr>
        <w:spacing w:after="160" w:line="259" w:lineRule="auto"/>
        <w:rPr>
          <w:rFonts w:asciiTheme="minorHAnsi" w:hAnsiTheme="minorHAnsi" w:cs="Arial"/>
        </w:rPr>
      </w:pPr>
      <w:r w:rsidRPr="00105FFC">
        <w:rPr>
          <w:rFonts w:asciiTheme="minorHAnsi" w:hAnsiTheme="minorHAnsi" w:cs="Arial"/>
        </w:rPr>
        <w:t xml:space="preserve">African-American mothers participating in FFS Medi-Cal had a higher percentage </w:t>
      </w:r>
      <w:r w:rsidR="007E5A24" w:rsidRPr="00105FFC">
        <w:rPr>
          <w:rFonts w:asciiTheme="minorHAnsi" w:hAnsiTheme="minorHAnsi" w:cs="Arial"/>
        </w:rPr>
        <w:t>of low-birthweight</w:t>
      </w:r>
      <w:r w:rsidRPr="00105FFC">
        <w:rPr>
          <w:rFonts w:asciiTheme="minorHAnsi" w:hAnsiTheme="minorHAnsi" w:cs="Arial"/>
        </w:rPr>
        <w:t xml:space="preserve"> births (9.6%) than mothers in other racial/ethnic cohorts and was the only group not to meet the Healthy People 2020 goal of less than or equal to 7.8% (</w:t>
      </w:r>
      <w:r w:rsidR="00B03934" w:rsidRPr="00105FFC">
        <w:rPr>
          <w:rFonts w:asciiTheme="minorHAnsi" w:hAnsiTheme="minorHAnsi" w:cs="Arial"/>
        </w:rPr>
        <w:t xml:space="preserve">Figure </w:t>
      </w:r>
      <w:r w:rsidR="00F9361C">
        <w:rPr>
          <w:rFonts w:asciiTheme="minorHAnsi" w:hAnsiTheme="minorHAnsi" w:cs="Arial"/>
        </w:rPr>
        <w:t>54</w:t>
      </w:r>
      <w:r w:rsidRPr="00105FFC">
        <w:rPr>
          <w:rFonts w:asciiTheme="minorHAnsi" w:hAnsiTheme="minorHAnsi" w:cs="Arial"/>
        </w:rPr>
        <w:t xml:space="preserve">). </w:t>
      </w:r>
    </w:p>
    <w:p w14:paraId="345905A1"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67" w:name="_Toc458782992"/>
      <w:bookmarkStart w:id="468" w:name="_Toc459286735"/>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54</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 xml:space="preserve">: </w:t>
      </w:r>
      <w:r w:rsidR="00FD328A" w:rsidRPr="000E1B8E">
        <w:rPr>
          <w:rFonts w:asciiTheme="minorHAnsi" w:eastAsia="Calibri" w:hAnsiTheme="minorHAnsi" w:cs="Tahoma"/>
          <w:b w:val="0"/>
          <w:bCs w:val="0"/>
          <w:noProof/>
          <w:color w:val="000000" w:themeColor="text1"/>
          <w:sz w:val="20"/>
          <w:szCs w:val="20"/>
        </w:rPr>
        <w:t>Percent of</w:t>
      </w:r>
      <w:r w:rsidR="00FD328A" w:rsidRPr="000E1B8E">
        <w:rPr>
          <w:rFonts w:asciiTheme="minorHAnsi" w:eastAsia="Calibri" w:hAnsiTheme="minorHAnsi" w:cs="Tahoma"/>
          <w:b w:val="0"/>
          <w:bCs w:val="0"/>
          <w:color w:val="000000" w:themeColor="text1"/>
          <w:sz w:val="20"/>
          <w:szCs w:val="20"/>
        </w:rPr>
        <w:t xml:space="preserve"> Low-Birthweight Singleton Births among FFS Medi-Cal Mothers in 2012, by Race/Ethnicity</w:t>
      </w:r>
      <w:bookmarkEnd w:id="467"/>
      <w:bookmarkEnd w:id="468"/>
    </w:p>
    <w:p w14:paraId="5639D42B"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3F21EE3D" wp14:editId="13BD6A69">
            <wp:extent cx="5486400" cy="2276475"/>
            <wp:effectExtent l="0" t="0" r="0" b="9525"/>
            <wp:docPr id="355" name="Chart 355" descr="White: 5.30%&#10;African-American: 9.60%&#10;Hispanic: 5.10%&#10;Asian: 6.10%&#10;American Indian/Alaskan Native: 6.10%&#10;Other/Not Reported: 5.80%&#10;" title="Percent of Low-Birthweight Singleton Births among FFS Medi-Cal Mothers in 2012,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38D57EE"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607304EC" w14:textId="77777777" w:rsidR="005014EF" w:rsidRPr="00105FFC" w:rsidRDefault="005014EF">
      <w:pPr>
        <w:spacing w:after="200" w:line="276" w:lineRule="auto"/>
        <w:rPr>
          <w:rFonts w:asciiTheme="minorHAnsi" w:eastAsia="Calibri" w:hAnsiTheme="minorHAnsi" w:cs="Tahoma"/>
          <w:bCs/>
          <w:color w:val="000000"/>
          <w:sz w:val="16"/>
          <w:szCs w:val="16"/>
        </w:rPr>
      </w:pPr>
      <w:r w:rsidRPr="00105FFC">
        <w:rPr>
          <w:rFonts w:asciiTheme="minorHAnsi" w:eastAsia="Calibri" w:hAnsiTheme="minorHAnsi" w:cs="Tahoma"/>
          <w:bCs/>
          <w:color w:val="000000"/>
          <w:sz w:val="16"/>
          <w:szCs w:val="16"/>
        </w:rPr>
        <w:br w:type="page"/>
      </w:r>
    </w:p>
    <w:p w14:paraId="3790CC2B" w14:textId="77777777" w:rsidR="00FD328A" w:rsidRPr="00105FFC" w:rsidRDefault="00FD328A" w:rsidP="00186BB7">
      <w:pPr>
        <w:pStyle w:val="Heading3"/>
        <w:spacing w:before="0"/>
      </w:pPr>
      <w:bookmarkStart w:id="469" w:name="_Toc459287773"/>
      <w:r w:rsidRPr="00105FFC">
        <w:t>Pre-Term among Singleton Births</w:t>
      </w:r>
      <w:bookmarkEnd w:id="469"/>
    </w:p>
    <w:p w14:paraId="48F55FD1" w14:textId="77777777" w:rsidR="00186BB7" w:rsidRPr="00105FFC" w:rsidRDefault="00186BB7" w:rsidP="00186BB7">
      <w:pPr>
        <w:spacing w:line="276" w:lineRule="auto"/>
        <w:rPr>
          <w:rFonts w:asciiTheme="minorHAnsi" w:hAnsiTheme="minorHAnsi" w:cs="Arial"/>
        </w:rPr>
      </w:pPr>
    </w:p>
    <w:p w14:paraId="0869B8BC" w14:textId="77777777" w:rsidR="00FD328A" w:rsidRPr="00105FFC" w:rsidRDefault="00FD328A" w:rsidP="00FD328A">
      <w:pPr>
        <w:spacing w:after="120" w:line="276" w:lineRule="auto"/>
        <w:rPr>
          <w:rFonts w:asciiTheme="minorHAnsi" w:hAnsiTheme="minorHAnsi" w:cs="Arial"/>
        </w:rPr>
      </w:pPr>
      <w:r w:rsidRPr="00105FFC">
        <w:rPr>
          <w:rFonts w:asciiTheme="minorHAnsi" w:hAnsiTheme="minorHAnsi" w:cs="Arial"/>
        </w:rPr>
        <w:t>The percent of preterm singleton deliveries among FFS Medi-Cal mothers was 9.1%, meeting the Healthy People 2020 Goal of 11.4% or less (</w:t>
      </w:r>
      <w:r w:rsidR="00B03934" w:rsidRPr="00105FFC">
        <w:rPr>
          <w:rFonts w:asciiTheme="minorHAnsi" w:hAnsiTheme="minorHAnsi" w:cs="Arial"/>
        </w:rPr>
        <w:t xml:space="preserve">Figure </w:t>
      </w:r>
      <w:r w:rsidR="00F9361C">
        <w:rPr>
          <w:rFonts w:asciiTheme="minorHAnsi" w:hAnsiTheme="minorHAnsi" w:cs="Arial"/>
        </w:rPr>
        <w:t>55</w:t>
      </w:r>
      <w:r w:rsidRPr="00105FFC">
        <w:rPr>
          <w:rFonts w:asciiTheme="minorHAnsi" w:hAnsiTheme="minorHAnsi" w:cs="Arial"/>
        </w:rPr>
        <w:t>).</w:t>
      </w:r>
    </w:p>
    <w:p w14:paraId="5AE0B5AC"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70" w:name="_Toc458782993"/>
      <w:bookmarkStart w:id="471" w:name="_Toc459286736"/>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55</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Preterm Singleton Births in California in 2013, by Payer Source</w:t>
      </w:r>
      <w:bookmarkEnd w:id="470"/>
      <w:bookmarkEnd w:id="471"/>
    </w:p>
    <w:p w14:paraId="79A67C38"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64A80639" wp14:editId="1D03AEDF">
            <wp:extent cx="5486400" cy="2543175"/>
            <wp:effectExtent l="0" t="0" r="0" b="9525"/>
            <wp:docPr id="356" name="Chart 356" descr="Healthy People 2020 Goal: 11.4%&#10;&#10;FFS Medi-Cal Births: 9.1%&#10;Non-Medi-Cal: 7.6%" title="Percent of Preterm Singleton Births in California in 2013, by Payer Sou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2F87066"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0FFCBCDE" w14:textId="77777777" w:rsidR="00FD328A" w:rsidRPr="00105FFC" w:rsidRDefault="00FD328A" w:rsidP="00FD328A">
      <w:pPr>
        <w:spacing w:after="120"/>
        <w:rPr>
          <w:rFonts w:asciiTheme="minorHAnsi" w:eastAsia="Calibri" w:hAnsiTheme="minorHAnsi" w:cs="Tahoma"/>
          <w:bCs/>
          <w:color w:val="000000"/>
          <w:sz w:val="20"/>
          <w:szCs w:val="20"/>
        </w:rPr>
      </w:pPr>
      <w:r w:rsidRPr="00105FFC">
        <w:rPr>
          <w:rFonts w:asciiTheme="minorHAnsi" w:hAnsiTheme="minorHAnsi" w:cs="Arial"/>
        </w:rPr>
        <w:t>FFS Medi-Cal mothers who did not receive prenatal care (46.2%) were more than five times more likely to have a preterm delivery than mothers who received early prenatal care (</w:t>
      </w:r>
      <w:r w:rsidR="00F9361C">
        <w:rPr>
          <w:rFonts w:asciiTheme="minorHAnsi" w:hAnsiTheme="minorHAnsi" w:cs="Arial"/>
        </w:rPr>
        <w:t>Figure 56</w:t>
      </w:r>
      <w:r w:rsidRPr="00105FFC">
        <w:rPr>
          <w:rFonts w:asciiTheme="minorHAnsi" w:hAnsiTheme="minorHAnsi" w:cs="Arial"/>
        </w:rPr>
        <w:t xml:space="preserve">). </w:t>
      </w:r>
    </w:p>
    <w:p w14:paraId="6DE652E3"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72" w:name="_Toc458782994"/>
      <w:bookmarkStart w:id="473" w:name="_Toc459286737"/>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56</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Preterm Singleton Births among FFS Medi-Cal Mothers in 2013, by Timing of Prenatal Care Initiation</w:t>
      </w:r>
      <w:bookmarkEnd w:id="472"/>
      <w:bookmarkEnd w:id="473"/>
    </w:p>
    <w:p w14:paraId="3806AED3"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315865A6" wp14:editId="27405378">
            <wp:extent cx="5486400" cy="2276475"/>
            <wp:effectExtent l="0" t="0" r="0" b="9525"/>
            <wp:docPr id="357" name="Chart 357" descr="No Prenatal Care: 46.2%&#10;Early Prenatal Care: 8.6%&#10;Late Prenatal Care: 7.9%" title="Percent of Preterm Singleton Births among FFS Medi-Cal Mothers in 2013, by Timing of Prenatal Care Init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36D9EE7"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4F760458" w14:textId="77777777" w:rsidR="00FD328A" w:rsidRPr="00105FFC" w:rsidRDefault="00FD328A" w:rsidP="00FD328A">
      <w:pPr>
        <w:spacing w:before="360" w:after="160" w:line="259" w:lineRule="auto"/>
        <w:rPr>
          <w:rFonts w:asciiTheme="minorHAnsi" w:hAnsiTheme="minorHAnsi" w:cs="Arial"/>
        </w:rPr>
      </w:pPr>
      <w:r w:rsidRPr="00105FFC">
        <w:rPr>
          <w:rFonts w:asciiTheme="minorHAnsi" w:hAnsiTheme="minorHAnsi" w:cs="Arial"/>
        </w:rPr>
        <w:t>Preterm deliveries were also more common among FFS Medi-Cal mothers with full-scope benefits (11.2%) than mothers with restricted-scope benefits (8.4%) (</w:t>
      </w:r>
      <w:r w:rsidR="005014EF" w:rsidRPr="00105FFC">
        <w:rPr>
          <w:rFonts w:asciiTheme="minorHAnsi" w:hAnsiTheme="minorHAnsi" w:cs="Arial"/>
        </w:rPr>
        <w:t xml:space="preserve">Figure </w:t>
      </w:r>
      <w:r w:rsidR="00F9361C">
        <w:rPr>
          <w:rFonts w:asciiTheme="minorHAnsi" w:hAnsiTheme="minorHAnsi" w:cs="Arial"/>
        </w:rPr>
        <w:t>57</w:t>
      </w:r>
      <w:r w:rsidRPr="00105FFC">
        <w:rPr>
          <w:rFonts w:asciiTheme="minorHAnsi" w:hAnsiTheme="minorHAnsi" w:cs="Arial"/>
        </w:rPr>
        <w:t>).</w:t>
      </w:r>
    </w:p>
    <w:p w14:paraId="7D918AB1"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74" w:name="_Toc458782995"/>
      <w:bookmarkStart w:id="475" w:name="_Toc459286738"/>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57</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Preterm Singleton Births among FFS Medi-Cal Mothers in 2012, by Scope of Coverage</w:t>
      </w:r>
      <w:bookmarkEnd w:id="474"/>
      <w:bookmarkEnd w:id="475"/>
    </w:p>
    <w:p w14:paraId="5382A9A0"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69CEE4FA" wp14:editId="4133487A">
            <wp:extent cx="5486400" cy="2419350"/>
            <wp:effectExtent l="0" t="0" r="0" b="0"/>
            <wp:docPr id="358" name="Chart 358" descr="Full Scope: 11.2%&#10;Restricted: 8.4%&#10;" title="Percent of Preterm Singleton Births among FFS Medi-Cal Mothers in 2012, by Scope of Co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6B24CBE"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bookmarkStart w:id="476" w:name="_Ref387065376"/>
    </w:p>
    <w:p w14:paraId="11370B43" w14:textId="77777777" w:rsidR="00FD328A" w:rsidRPr="00105FFC" w:rsidRDefault="00FD328A" w:rsidP="00FD328A">
      <w:pPr>
        <w:spacing w:after="120" w:line="276" w:lineRule="auto"/>
        <w:rPr>
          <w:rFonts w:asciiTheme="minorHAnsi" w:eastAsia="Calibri" w:hAnsiTheme="minorHAnsi" w:cs="Tahoma"/>
          <w:bCs/>
          <w:color w:val="000000"/>
          <w:sz w:val="20"/>
          <w:szCs w:val="20"/>
        </w:rPr>
      </w:pPr>
      <w:r w:rsidRPr="00105FFC">
        <w:rPr>
          <w:rFonts w:asciiTheme="minorHAnsi" w:hAnsiTheme="minorHAnsi" w:cs="Arial"/>
        </w:rPr>
        <w:t>FFS Medi-Cal mothers enrolled in a Disability aid category (16.9%) had the highest percentage of preterm deliveries compared with mothers in any other aid category (</w:t>
      </w:r>
      <w:r w:rsidR="00B03934" w:rsidRPr="00105FFC">
        <w:rPr>
          <w:rFonts w:asciiTheme="minorHAnsi" w:hAnsiTheme="minorHAnsi" w:cs="Arial"/>
        </w:rPr>
        <w:t xml:space="preserve">Figure </w:t>
      </w:r>
      <w:r w:rsidR="00F9361C">
        <w:rPr>
          <w:rFonts w:asciiTheme="minorHAnsi" w:hAnsiTheme="minorHAnsi" w:cs="Arial"/>
        </w:rPr>
        <w:t>58</w:t>
      </w:r>
      <w:r w:rsidRPr="00105FFC">
        <w:rPr>
          <w:rFonts w:asciiTheme="minorHAnsi" w:hAnsiTheme="minorHAnsi" w:cs="Arial"/>
        </w:rPr>
        <w:t>).</w:t>
      </w:r>
    </w:p>
    <w:p w14:paraId="07B7D4F2"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77" w:name="_Toc458782996"/>
      <w:bookmarkStart w:id="478" w:name="_Toc459286739"/>
      <w:bookmarkEnd w:id="476"/>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58</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Preterm Singleton Births among FFS Medi-Cal Mothers in 2013, by Aid Category</w:t>
      </w:r>
      <w:bookmarkEnd w:id="477"/>
      <w:bookmarkEnd w:id="478"/>
    </w:p>
    <w:p w14:paraId="327105F5"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67703B3F" wp14:editId="579DD24D">
            <wp:extent cx="5486400" cy="2552700"/>
            <wp:effectExtent l="0" t="0" r="0" b="0"/>
            <wp:docPr id="359" name="Chart 359" descr="Adoption/Foster Care: 10.8%&#10;Dual: 14.7%&#10;Parent/Caretaker Relative &amp; Child: 11.1%&#10;Senior and Person with Disabilities: 16.9%&#10;Undocumented: 8.6%&#10;Other: 8.1%&#10;" title="Percent of Preterm Singleton Births among FFS Medi-Cal Mothers in 2013, by Aid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4FE4AC4" w14:textId="77777777" w:rsidR="00FD328A" w:rsidRPr="00105FFC" w:rsidRDefault="00FD328A" w:rsidP="00FD328A">
      <w:pPr>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1A8714FA" w14:textId="77777777" w:rsidR="00FD328A" w:rsidRPr="00105FFC" w:rsidRDefault="00FD328A" w:rsidP="005014EF">
      <w:pPr>
        <w:spacing w:line="259" w:lineRule="auto"/>
        <w:rPr>
          <w:rFonts w:asciiTheme="minorHAnsi" w:eastAsia="Calibri" w:hAnsiTheme="minorHAnsi"/>
          <w:sz w:val="22"/>
          <w:szCs w:val="22"/>
        </w:rPr>
      </w:pPr>
    </w:p>
    <w:p w14:paraId="4B3C7125" w14:textId="77777777" w:rsidR="00FD328A" w:rsidRPr="00105FFC" w:rsidRDefault="00FD328A" w:rsidP="00FD328A">
      <w:pPr>
        <w:spacing w:after="120" w:line="276" w:lineRule="auto"/>
        <w:rPr>
          <w:rFonts w:asciiTheme="minorHAnsi" w:hAnsiTheme="minorHAnsi" w:cs="Arial"/>
        </w:rPr>
      </w:pPr>
      <w:bookmarkStart w:id="479" w:name="_Ref387065570"/>
      <w:r w:rsidRPr="00105FFC">
        <w:rPr>
          <w:rFonts w:asciiTheme="minorHAnsi" w:hAnsiTheme="minorHAnsi" w:cs="Arial"/>
        </w:rPr>
        <w:t>All regions met the Healthy People 2020 goal of less than 11.4% preterm deliveries.  The Los Angeles (10.5%), Central Valley (9.7%) and North Coast (9.7%) regions had the highest percentage of preterm deliveries, while the Central Coast (7.9%) and Bay Are</w:t>
      </w:r>
      <w:r w:rsidR="00B03934" w:rsidRPr="00105FFC">
        <w:rPr>
          <w:rFonts w:asciiTheme="minorHAnsi" w:hAnsiTheme="minorHAnsi" w:cs="Arial"/>
        </w:rPr>
        <w:t>a (8.0%) regions had the lowest</w:t>
      </w:r>
      <w:r w:rsidRPr="00105FFC">
        <w:rPr>
          <w:rFonts w:asciiTheme="minorHAnsi" w:hAnsiTheme="minorHAnsi" w:cs="Arial"/>
        </w:rPr>
        <w:t xml:space="preserve"> (</w:t>
      </w:r>
      <w:r w:rsidR="00B03934" w:rsidRPr="00105FFC">
        <w:rPr>
          <w:rFonts w:asciiTheme="minorHAnsi" w:hAnsiTheme="minorHAnsi" w:cs="Arial"/>
        </w:rPr>
        <w:t xml:space="preserve">Figure </w:t>
      </w:r>
      <w:r w:rsidR="00F9361C">
        <w:rPr>
          <w:rFonts w:asciiTheme="minorHAnsi" w:hAnsiTheme="minorHAnsi" w:cs="Arial"/>
        </w:rPr>
        <w:t>59</w:t>
      </w:r>
      <w:r w:rsidRPr="00105FFC">
        <w:rPr>
          <w:rFonts w:asciiTheme="minorHAnsi" w:hAnsiTheme="minorHAnsi" w:cs="Arial"/>
        </w:rPr>
        <w:t>).</w:t>
      </w:r>
    </w:p>
    <w:p w14:paraId="68CD665D"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80" w:name="_Toc458782997"/>
      <w:bookmarkStart w:id="481" w:name="_Toc459286740"/>
      <w:bookmarkEnd w:id="479"/>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59</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Preterm Singleton Births among FFS Medi-Cal Mothers in 2013, by Region</w:t>
      </w:r>
      <w:bookmarkEnd w:id="480"/>
      <w:bookmarkEnd w:id="481"/>
    </w:p>
    <w:p w14:paraId="2ADCFA64"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5C99BBD2" wp14:editId="10C75E0E">
            <wp:extent cx="5486400" cy="2571750"/>
            <wp:effectExtent l="0" t="0" r="0" b="0"/>
            <wp:docPr id="360" name="Chart 360" descr="Bay Area: 8.0%&#10;Central Coast: 7.9%&#10;Central Valley: 9.7%&#10;Far North: 8.9%&#10;Los Angeles: 10.5%&#10;North Coast: 9.7%&#10;Sacramento Valley: 8.5%&#10;Sierra Range/Foothills: 8.9%&#10;Southern California: 8.2%&#10;" title="Percent of Preterm Singleton Births among FFS Medi-Cal Mothers in 2013,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A7EAAC9" w14:textId="77777777" w:rsidR="00FD328A" w:rsidRPr="00105FFC" w:rsidRDefault="00FD328A" w:rsidP="00FD328A">
      <w:pPr>
        <w:spacing w:after="120"/>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686AE6C4" w14:textId="77777777" w:rsidR="00FD328A" w:rsidRPr="00105FFC" w:rsidRDefault="00FD328A" w:rsidP="00FD328A">
      <w:pPr>
        <w:spacing w:after="120" w:line="276" w:lineRule="auto"/>
        <w:rPr>
          <w:rFonts w:asciiTheme="minorHAnsi" w:hAnsiTheme="minorHAnsi" w:cs="Arial"/>
        </w:rPr>
      </w:pPr>
      <w:r w:rsidRPr="00105FFC">
        <w:rPr>
          <w:rFonts w:asciiTheme="minorHAnsi" w:hAnsiTheme="minorHAnsi" w:cs="Arial"/>
        </w:rPr>
        <w:t xml:space="preserve">The highest percentage of preterm deliveries was seen among FFS Medi-Cal mothers ages 45+(19.3%; </w:t>
      </w:r>
      <w:r w:rsidR="00B03934" w:rsidRPr="00105FFC">
        <w:rPr>
          <w:rFonts w:asciiTheme="minorHAnsi" w:hAnsiTheme="minorHAnsi" w:cs="Arial"/>
        </w:rPr>
        <w:t>Figure 6</w:t>
      </w:r>
      <w:r w:rsidR="00F9361C">
        <w:rPr>
          <w:rFonts w:asciiTheme="minorHAnsi" w:hAnsiTheme="minorHAnsi" w:cs="Arial"/>
        </w:rPr>
        <w:t>0</w:t>
      </w:r>
      <w:r w:rsidRPr="00105FFC">
        <w:rPr>
          <w:rFonts w:asciiTheme="minorHAnsi" w:hAnsiTheme="minorHAnsi" w:cs="Arial"/>
        </w:rPr>
        <w:t>).</w:t>
      </w:r>
    </w:p>
    <w:p w14:paraId="6823CFE2"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82" w:name="_Toc458782998"/>
      <w:bookmarkStart w:id="483" w:name="_Toc459286741"/>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60</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Preterm Singleton Births among FFS Medi-Cal Mothers in 2013, by Maternal Age Group</w:t>
      </w:r>
      <w:bookmarkEnd w:id="482"/>
      <w:bookmarkEnd w:id="483"/>
    </w:p>
    <w:p w14:paraId="40EAF368"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4B6FEEBD" wp14:editId="2026B695">
            <wp:extent cx="5486400" cy="2447925"/>
            <wp:effectExtent l="0" t="0" r="0" b="9525"/>
            <wp:docPr id="361" name="Chart 361" descr="Age 15 or Less: 13.1%&#10;Age 16-17: 10.0%&#10;Age 18-19: 9.3%&#10;Age 20-24: 8.5%&#10;Age 25-34: 8.7%&#10;Age 35-44: 11.2%&#10;Age 45 and Older: 19.3%" title="Percent of Preterm Singleton Births among FFS Medi-Cal Mothers in 2013, by Maternal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088C29D" w14:textId="77777777" w:rsidR="00FD328A" w:rsidRPr="00105FFC" w:rsidRDefault="00FD328A" w:rsidP="005014EF">
      <w:pPr>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699EAEBD" w14:textId="77777777" w:rsidR="005014EF" w:rsidRPr="00105FFC" w:rsidRDefault="005014EF" w:rsidP="005014EF">
      <w:pPr>
        <w:spacing w:line="276" w:lineRule="auto"/>
        <w:rPr>
          <w:rFonts w:asciiTheme="minorHAnsi" w:hAnsiTheme="minorHAnsi" w:cs="Arial"/>
        </w:rPr>
      </w:pPr>
      <w:bookmarkStart w:id="484" w:name="_Ref387065980"/>
    </w:p>
    <w:p w14:paraId="07A28139" w14:textId="77777777" w:rsidR="00FD328A" w:rsidRPr="00105FFC" w:rsidRDefault="00FD328A" w:rsidP="00FD328A">
      <w:pPr>
        <w:spacing w:after="120" w:line="276" w:lineRule="auto"/>
        <w:rPr>
          <w:rFonts w:asciiTheme="minorHAnsi" w:hAnsiTheme="minorHAnsi" w:cs="Arial"/>
        </w:rPr>
      </w:pPr>
      <w:r w:rsidRPr="00105FFC">
        <w:rPr>
          <w:rFonts w:asciiTheme="minorHAnsi" w:hAnsiTheme="minorHAnsi" w:cs="Arial"/>
        </w:rPr>
        <w:t>African-American (13.0%) and American Indian/Alaskan Native (12.8%) mothers participating in FFS Medi-Cal had a higher percentage of preterm deliveries than mothers in other racial/ethnic cohorts (</w:t>
      </w:r>
      <w:r w:rsidR="005014EF" w:rsidRPr="00105FFC">
        <w:rPr>
          <w:rFonts w:asciiTheme="minorHAnsi" w:hAnsiTheme="minorHAnsi" w:cs="Arial"/>
        </w:rPr>
        <w:t>Figure 6</w:t>
      </w:r>
      <w:r w:rsidR="00F9361C">
        <w:rPr>
          <w:rFonts w:asciiTheme="minorHAnsi" w:hAnsiTheme="minorHAnsi" w:cs="Arial"/>
        </w:rPr>
        <w:t>1</w:t>
      </w:r>
      <w:r w:rsidRPr="00105FFC">
        <w:rPr>
          <w:rFonts w:asciiTheme="minorHAnsi" w:hAnsiTheme="minorHAnsi" w:cs="Arial"/>
        </w:rPr>
        <w:t>).</w:t>
      </w:r>
    </w:p>
    <w:p w14:paraId="00442527" w14:textId="77777777" w:rsidR="005014EF" w:rsidRPr="00105FFC" w:rsidRDefault="005014EF">
      <w:pPr>
        <w:spacing w:after="200" w:line="276" w:lineRule="auto"/>
        <w:rPr>
          <w:rFonts w:asciiTheme="minorHAnsi" w:hAnsiTheme="minorHAnsi" w:cs="Arial"/>
        </w:rPr>
      </w:pPr>
      <w:r w:rsidRPr="00105FFC">
        <w:rPr>
          <w:rFonts w:asciiTheme="minorHAnsi" w:hAnsiTheme="minorHAnsi" w:cs="Arial"/>
        </w:rPr>
        <w:br w:type="page"/>
      </w:r>
    </w:p>
    <w:p w14:paraId="5151FA8C" w14:textId="77777777" w:rsidR="00FD328A" w:rsidRPr="000E1B8E" w:rsidRDefault="000E1B8E" w:rsidP="000E1B8E">
      <w:pPr>
        <w:pStyle w:val="Caption"/>
        <w:spacing w:after="0"/>
        <w:rPr>
          <w:rFonts w:asciiTheme="minorHAnsi" w:eastAsia="Calibri" w:hAnsiTheme="minorHAnsi" w:cs="Tahoma"/>
          <w:b w:val="0"/>
          <w:bCs w:val="0"/>
          <w:color w:val="000000" w:themeColor="text1"/>
          <w:sz w:val="20"/>
          <w:szCs w:val="20"/>
        </w:rPr>
      </w:pPr>
      <w:bookmarkStart w:id="485" w:name="_Toc458782999"/>
      <w:bookmarkStart w:id="486" w:name="_Toc459286742"/>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61</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FD328A" w:rsidRPr="000E1B8E">
        <w:rPr>
          <w:rFonts w:asciiTheme="minorHAnsi" w:eastAsia="Calibri" w:hAnsiTheme="minorHAnsi" w:cs="Tahoma"/>
          <w:b w:val="0"/>
          <w:bCs w:val="0"/>
          <w:color w:val="000000" w:themeColor="text1"/>
          <w:sz w:val="20"/>
          <w:szCs w:val="20"/>
        </w:rPr>
        <w:t>Percent of Preterm Singleton Births among FFS Medi-Cal Mothers in 2012, by Race/Ethnicity</w:t>
      </w:r>
      <w:bookmarkEnd w:id="485"/>
      <w:bookmarkEnd w:id="486"/>
    </w:p>
    <w:p w14:paraId="51059B3C" w14:textId="77777777" w:rsidR="00FD328A" w:rsidRPr="00105FFC" w:rsidRDefault="00FD328A" w:rsidP="00FD328A">
      <w:pPr>
        <w:spacing w:line="259" w:lineRule="auto"/>
        <w:rPr>
          <w:rFonts w:asciiTheme="minorHAnsi" w:eastAsia="Calibri" w:hAnsiTheme="minorHAnsi"/>
          <w:sz w:val="22"/>
          <w:szCs w:val="22"/>
        </w:rPr>
      </w:pPr>
      <w:r w:rsidRPr="00105FFC">
        <w:rPr>
          <w:rFonts w:asciiTheme="minorHAnsi" w:eastAsia="Calibri" w:hAnsiTheme="minorHAnsi"/>
          <w:noProof/>
          <w:sz w:val="22"/>
          <w:szCs w:val="22"/>
        </w:rPr>
        <w:drawing>
          <wp:inline distT="0" distB="0" distL="0" distR="0" wp14:anchorId="08373784" wp14:editId="49597E12">
            <wp:extent cx="5486400" cy="2447925"/>
            <wp:effectExtent l="0" t="0" r="0" b="9525"/>
            <wp:docPr id="362" name="Chart 362" descr="White: 8.7%&#10;African-American: 13.0%&#10;Hispanic: 9.0%&#10;Asian: 8.4%&#10;American Indian/Alaskan Native: 12.8%&#10;Other/Not Reported: 8.9%&#10;" title="Percent of Preterm Singleton Births among FFS Medi-Cal Mothers in 2012,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bookmarkEnd w:id="484"/>
    <w:p w14:paraId="5F2134DF" w14:textId="77777777" w:rsidR="00FD328A" w:rsidRPr="00105FFC" w:rsidRDefault="00FD328A" w:rsidP="00186BB7">
      <w:pPr>
        <w:rPr>
          <w:rFonts w:asciiTheme="minorHAnsi" w:eastAsia="Calibri" w:hAnsiTheme="minorHAnsi" w:cs="Tahoma"/>
          <w:bCs/>
          <w:color w:val="000000"/>
          <w:sz w:val="16"/>
          <w:szCs w:val="16"/>
        </w:rPr>
      </w:pPr>
      <w:r w:rsidRPr="00105FFC">
        <w:rPr>
          <w:rFonts w:asciiTheme="minorHAnsi" w:eastAsia="Calibri" w:hAnsiTheme="minorHAnsi" w:cs="Tahoma"/>
          <w:b/>
          <w:bCs/>
          <w:color w:val="000000"/>
          <w:sz w:val="16"/>
          <w:szCs w:val="16"/>
        </w:rPr>
        <w:t>Source:</w:t>
      </w:r>
      <w:r w:rsidRPr="00105FFC">
        <w:rPr>
          <w:rFonts w:asciiTheme="minorHAnsi" w:eastAsia="Calibri" w:hAnsiTheme="minorHAnsi" w:cs="Tahoma"/>
          <w:bCs/>
          <w:color w:val="000000"/>
          <w:sz w:val="16"/>
          <w:szCs w:val="16"/>
        </w:rPr>
        <w:t xml:space="preserve"> Created by DHCS Research and Analytic Studies Division using data from the California Department of Public Health 2013 Birth Statistical Master File, the Office of Statewide Health Planning and Development 2013 Patient Discharge Data, and the Medi-Cal Eligibility Data System Monthly Extract Files for January 2013–December 2013, reflecting a 12-month reporting lag.</w:t>
      </w:r>
    </w:p>
    <w:p w14:paraId="17F63451" w14:textId="77777777" w:rsidR="00FD328A" w:rsidRPr="00105FFC" w:rsidRDefault="00FD328A" w:rsidP="00186BB7">
      <w:pPr>
        <w:rPr>
          <w:rFonts w:asciiTheme="minorHAnsi" w:eastAsia="Calibri" w:hAnsiTheme="minorHAnsi" w:cs="Tahoma"/>
          <w:bCs/>
          <w:color w:val="000000"/>
          <w:sz w:val="20"/>
          <w:szCs w:val="20"/>
        </w:rPr>
      </w:pPr>
    </w:p>
    <w:p w14:paraId="5B41D114" w14:textId="77777777" w:rsidR="00FD328A" w:rsidRPr="00105FFC" w:rsidRDefault="00FD328A" w:rsidP="00186BB7">
      <w:pPr>
        <w:pStyle w:val="Heading3"/>
        <w:spacing w:before="0"/>
        <w:rPr>
          <w:rFonts w:eastAsia="Calibri"/>
        </w:rPr>
      </w:pPr>
      <w:bookmarkStart w:id="487" w:name="_Toc459287774"/>
      <w:r w:rsidRPr="00105FFC">
        <w:rPr>
          <w:rFonts w:eastAsia="Calibri"/>
        </w:rPr>
        <w:t>Conclusion</w:t>
      </w:r>
      <w:bookmarkEnd w:id="487"/>
    </w:p>
    <w:p w14:paraId="06FEDB50" w14:textId="77777777" w:rsidR="00FD328A" w:rsidRPr="00105FFC" w:rsidRDefault="00FD328A" w:rsidP="00186BB7">
      <w:pPr>
        <w:rPr>
          <w:rFonts w:asciiTheme="minorHAnsi" w:eastAsia="Calibri" w:hAnsiTheme="minorHAnsi" w:cs="Tahoma"/>
          <w:bCs/>
          <w:color w:val="000000"/>
          <w:sz w:val="20"/>
          <w:szCs w:val="20"/>
        </w:rPr>
      </w:pPr>
    </w:p>
    <w:p w14:paraId="7A3046E1" w14:textId="77777777" w:rsidR="00FD328A" w:rsidRPr="00105FFC" w:rsidRDefault="00FD328A" w:rsidP="00FD328A">
      <w:pPr>
        <w:spacing w:after="120"/>
        <w:rPr>
          <w:rFonts w:asciiTheme="minorHAnsi" w:eastAsia="Calibri" w:hAnsiTheme="minorHAnsi" w:cs="Tahoma"/>
          <w:bCs/>
          <w:color w:val="000000"/>
        </w:rPr>
      </w:pPr>
      <w:r w:rsidRPr="00105FFC">
        <w:rPr>
          <w:rFonts w:asciiTheme="minorHAnsi" w:eastAsia="Calibri" w:hAnsiTheme="minorHAnsi" w:cs="Tahoma"/>
          <w:bCs/>
          <w:color w:val="000000"/>
        </w:rPr>
        <w:t>Overall, Medi-Cal mothers participating in FFS met the Healthy People 2020 goals for early prenatal care, low birthweight, and preterm deliveries.  Differences were noted among race-ethnicities, age groups, geographic regions, and Medi-Cal eligibility pathways.</w:t>
      </w:r>
    </w:p>
    <w:p w14:paraId="291C1622" w14:textId="77777777" w:rsidR="00FD328A" w:rsidRPr="00105FFC" w:rsidRDefault="00FD328A" w:rsidP="00FD328A">
      <w:pPr>
        <w:spacing w:after="120"/>
        <w:rPr>
          <w:rFonts w:asciiTheme="minorHAnsi" w:eastAsia="Calibri" w:hAnsiTheme="minorHAnsi" w:cs="Tahoma"/>
          <w:bCs/>
          <w:color w:val="000000"/>
        </w:rPr>
      </w:pPr>
    </w:p>
    <w:p w14:paraId="3589DB83"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eastAsia="Calibri" w:hAnsiTheme="minorHAnsi" w:cs="Tahoma"/>
          <w:bCs/>
          <w:color w:val="000000"/>
        </w:rPr>
        <w:t>Of all births funded by Medi-Cal, 58% were funded by Medi-Cal’s FFS delivery system.</w:t>
      </w:r>
    </w:p>
    <w:p w14:paraId="04B6FD2C" w14:textId="77777777" w:rsidR="00FD328A" w:rsidRPr="00105FFC" w:rsidRDefault="00FD328A" w:rsidP="00FD328A">
      <w:pPr>
        <w:spacing w:after="120"/>
        <w:ind w:left="360"/>
        <w:contextualSpacing/>
        <w:rPr>
          <w:rFonts w:asciiTheme="minorHAnsi" w:eastAsia="Calibri" w:hAnsiTheme="minorHAnsi" w:cs="Tahoma"/>
          <w:bCs/>
          <w:color w:val="000000"/>
        </w:rPr>
      </w:pPr>
    </w:p>
    <w:p w14:paraId="7B1B2685"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eastAsia="Calibri" w:hAnsiTheme="minorHAnsi" w:cs="Tahoma"/>
          <w:bCs/>
          <w:color w:val="000000"/>
        </w:rPr>
        <w:t>Mothers classified as Undocumented accounted for 44% of all Medi-Cal FFS funded births.</w:t>
      </w:r>
    </w:p>
    <w:p w14:paraId="5BA1BC98"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66CCEBDB"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eastAsia="Calibri" w:hAnsiTheme="minorHAnsi" w:cs="Tahoma"/>
          <w:bCs/>
          <w:color w:val="000000"/>
        </w:rPr>
        <w:t>Seventy-three percent of the birth mothers were classified as Hispanic.</w:t>
      </w:r>
    </w:p>
    <w:p w14:paraId="5E812C30"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1C892267"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hAnsiTheme="minorHAnsi" w:cs="Arial"/>
        </w:rPr>
        <w:t>FFS Medi-Cal mothers (78.2%) met the Healthy People 2020 goal of having at least 77.9% access early prenatal care.</w:t>
      </w:r>
    </w:p>
    <w:p w14:paraId="53F991A6"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28556B0B"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hAnsiTheme="minorHAnsi" w:cs="Arial"/>
        </w:rPr>
        <w:t>FFS restricted-scope Medi-Cal mothers (80.1%) were more likely to access timely prenatal care than those entitled to full-scope benefits (71.5%)</w:t>
      </w:r>
      <w:r w:rsidR="00186BB7" w:rsidRPr="00105FFC">
        <w:rPr>
          <w:rFonts w:asciiTheme="minorHAnsi" w:hAnsiTheme="minorHAnsi" w:cs="Arial"/>
        </w:rPr>
        <w:t>.</w:t>
      </w:r>
    </w:p>
    <w:p w14:paraId="6FF84163"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21F15C3E"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hAnsiTheme="minorHAnsi" w:cs="Arial"/>
        </w:rPr>
        <w:t xml:space="preserve">American Indians/Alaskan Natives (63.4%) had the </w:t>
      </w:r>
      <w:r w:rsidR="00186BB7" w:rsidRPr="00105FFC">
        <w:rPr>
          <w:rFonts w:asciiTheme="minorHAnsi" w:hAnsiTheme="minorHAnsi" w:cs="Arial"/>
        </w:rPr>
        <w:t>lowest</w:t>
      </w:r>
      <w:r w:rsidRPr="00105FFC">
        <w:rPr>
          <w:rFonts w:asciiTheme="minorHAnsi" w:hAnsiTheme="minorHAnsi" w:cs="Arial"/>
        </w:rPr>
        <w:t xml:space="preserve"> percentage of early prenatal care initiation, while Hispanics (79.6%) had the highest percentage.</w:t>
      </w:r>
    </w:p>
    <w:p w14:paraId="436C71F1"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325C05F7"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hAnsiTheme="minorHAnsi" w:cs="Arial"/>
        </w:rPr>
        <w:t>In 2013, the percent of FFS Medi-Cal mothers with a low-birthweight singleton delivery was 5.1%, meeting the Healthy People 2020 Goal of 7.8% or less.</w:t>
      </w:r>
    </w:p>
    <w:p w14:paraId="0F5D9F4A"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15B48319"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hAnsiTheme="minorHAnsi" w:cs="Arial"/>
        </w:rPr>
        <w:t>African-American mothers participating in FFS Medi-Cal had a higher percentage of low-birthweight births (9.6%) than mothers in other racial/ethnic cohorts and was the only group not to meet the Healthy People 2020 goal of less than or equal to 7.8%.</w:t>
      </w:r>
    </w:p>
    <w:p w14:paraId="491605D0"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6CE9CB16"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hAnsiTheme="minorHAnsi" w:cs="Arial"/>
        </w:rPr>
        <w:t>All geographic regions evaluated met the Healthy People 2020 goal of less than or equal to 7.8%.</w:t>
      </w:r>
    </w:p>
    <w:p w14:paraId="6020F29E"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6B087954"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hAnsiTheme="minorHAnsi" w:cs="Arial"/>
        </w:rPr>
        <w:t>FFS Medi-Cal mothers ages 45 and older (13.0%</w:t>
      </w:r>
      <w:r w:rsidR="00D60121" w:rsidRPr="00105FFC">
        <w:rPr>
          <w:rFonts w:asciiTheme="minorHAnsi" w:hAnsiTheme="minorHAnsi" w:cs="Arial"/>
        </w:rPr>
        <w:t>, N=237</w:t>
      </w:r>
      <w:r w:rsidRPr="00105FFC">
        <w:rPr>
          <w:rFonts w:asciiTheme="minorHAnsi" w:hAnsiTheme="minorHAnsi" w:cs="Arial"/>
        </w:rPr>
        <w:t xml:space="preserve">) had the highest percentage of </w:t>
      </w:r>
      <w:r w:rsidR="00D60121" w:rsidRPr="00105FFC">
        <w:rPr>
          <w:rFonts w:asciiTheme="minorHAnsi" w:hAnsiTheme="minorHAnsi" w:cs="Arial"/>
        </w:rPr>
        <w:t xml:space="preserve">pregnancies result in </w:t>
      </w:r>
      <w:r w:rsidRPr="00105FFC">
        <w:rPr>
          <w:rFonts w:asciiTheme="minorHAnsi" w:hAnsiTheme="minorHAnsi" w:cs="Arial"/>
        </w:rPr>
        <w:t>low-birthweight deliveries.</w:t>
      </w:r>
      <w:r w:rsidR="00D60121" w:rsidRPr="00105FFC">
        <w:rPr>
          <w:rFonts w:asciiTheme="minorHAnsi" w:hAnsiTheme="minorHAnsi" w:cs="Arial"/>
        </w:rPr>
        <w:t xml:space="preserve"> Additionally, women ages 15 and younger (4.9%, N=435) had a small percentage of pregnancies result in low-birthweight deliveries. </w:t>
      </w:r>
    </w:p>
    <w:p w14:paraId="3F2374DD"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4E472B1C"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hAnsiTheme="minorHAnsi" w:cs="Arial"/>
        </w:rPr>
        <w:t>African-American mothers participating in FFS Medi-Cal experienced the highest percentage of low-birthweight births (9.6%) among the racial/ethnic cohorts evaluated.</w:t>
      </w:r>
    </w:p>
    <w:p w14:paraId="1B4DAF6F"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0E4FFC23"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hAnsiTheme="minorHAnsi" w:cs="Arial"/>
        </w:rPr>
        <w:t>The percent of preterm singleton deliveries among FFS Medi-Cal mothers was 9.1%, meeting the Healthy People 2020 Goal of 11.4% or less.</w:t>
      </w:r>
    </w:p>
    <w:p w14:paraId="2D8870C8" w14:textId="77777777" w:rsidR="00FD328A" w:rsidRPr="00105FFC" w:rsidRDefault="00FD328A" w:rsidP="00FD328A">
      <w:pPr>
        <w:spacing w:after="200" w:line="276" w:lineRule="auto"/>
        <w:ind w:left="720"/>
        <w:contextualSpacing/>
        <w:rPr>
          <w:rFonts w:asciiTheme="minorHAnsi" w:eastAsia="Calibri" w:hAnsiTheme="minorHAnsi" w:cs="Tahoma"/>
          <w:bCs/>
          <w:color w:val="000000"/>
        </w:rPr>
      </w:pPr>
    </w:p>
    <w:p w14:paraId="665B669F" w14:textId="77777777" w:rsidR="00FD328A" w:rsidRPr="00105FFC" w:rsidRDefault="00FD328A" w:rsidP="00FD328A">
      <w:pPr>
        <w:numPr>
          <w:ilvl w:val="0"/>
          <w:numId w:val="32"/>
        </w:numPr>
        <w:spacing w:after="120" w:line="276" w:lineRule="auto"/>
        <w:contextualSpacing/>
        <w:rPr>
          <w:rFonts w:asciiTheme="minorHAnsi" w:eastAsia="Calibri" w:hAnsiTheme="minorHAnsi" w:cs="Tahoma"/>
          <w:bCs/>
          <w:color w:val="000000"/>
        </w:rPr>
      </w:pPr>
      <w:r w:rsidRPr="00105FFC">
        <w:rPr>
          <w:rFonts w:asciiTheme="minorHAnsi" w:hAnsiTheme="minorHAnsi" w:cs="Arial"/>
        </w:rPr>
        <w:t>African-American (13.0%) and American Indian/Alaskan Native (12.8%) mothers participating in FFS Medi-Cal had a higher percentage of preterm deliveries than mothers in other racial/ethnic cohorts.</w:t>
      </w:r>
    </w:p>
    <w:p w14:paraId="5B7CC3EB" w14:textId="77777777" w:rsidR="009C3754" w:rsidRPr="00105FFC" w:rsidRDefault="009C3754" w:rsidP="00231E70">
      <w:pPr>
        <w:rPr>
          <w:rFonts w:asciiTheme="minorHAnsi" w:eastAsia="Calibri" w:hAnsiTheme="minorHAnsi" w:cs="Tahoma"/>
          <w:bCs/>
          <w:color w:val="000000"/>
          <w:sz w:val="16"/>
          <w:szCs w:val="18"/>
        </w:rPr>
      </w:pPr>
      <w:r w:rsidRPr="00105FFC">
        <w:rPr>
          <w:rFonts w:asciiTheme="minorHAnsi" w:eastAsia="Calibri" w:hAnsiTheme="minorHAnsi" w:cs="Tahoma"/>
          <w:bCs/>
          <w:color w:val="000000"/>
          <w:sz w:val="16"/>
          <w:szCs w:val="18"/>
        </w:rPr>
        <w:br w:type="page"/>
      </w:r>
    </w:p>
    <w:p w14:paraId="5C74E643" w14:textId="77777777" w:rsidR="00073BFC" w:rsidRPr="00105FFC" w:rsidRDefault="004435AE" w:rsidP="00E2434F">
      <w:pPr>
        <w:pStyle w:val="Heading2"/>
        <w:spacing w:after="240"/>
        <w:rPr>
          <w:rFonts w:asciiTheme="minorHAnsi" w:hAnsiTheme="minorHAnsi"/>
          <w:color w:val="auto"/>
        </w:rPr>
      </w:pPr>
      <w:bookmarkStart w:id="488" w:name="_Toc459287775"/>
      <w:r w:rsidRPr="00105FFC">
        <w:rPr>
          <w:rFonts w:asciiTheme="minorHAnsi" w:hAnsiTheme="minorHAnsi"/>
          <w:color w:val="auto"/>
        </w:rPr>
        <w:t>Domain</w:t>
      </w:r>
      <w:r w:rsidR="00047142" w:rsidRPr="00105FFC">
        <w:rPr>
          <w:rFonts w:asciiTheme="minorHAnsi" w:hAnsiTheme="minorHAnsi"/>
          <w:color w:val="auto"/>
        </w:rPr>
        <w:t>: Feedback</w:t>
      </w:r>
      <w:bookmarkEnd w:id="488"/>
    </w:p>
    <w:p w14:paraId="0BB274A8" w14:textId="77777777" w:rsidR="00073BFC" w:rsidRPr="00105FFC" w:rsidRDefault="00073BFC" w:rsidP="00F82510">
      <w:pPr>
        <w:pStyle w:val="Heading3"/>
        <w:spacing w:before="0" w:line="276" w:lineRule="auto"/>
      </w:pPr>
      <w:bookmarkStart w:id="489" w:name="_Toc459287776"/>
      <w:r w:rsidRPr="00105FFC">
        <w:t>Introduction</w:t>
      </w:r>
      <w:bookmarkEnd w:id="489"/>
    </w:p>
    <w:p w14:paraId="5831FC1D" w14:textId="77777777" w:rsidR="00F82510" w:rsidRPr="00105FFC" w:rsidRDefault="00F82510" w:rsidP="00F82510">
      <w:pPr>
        <w:spacing w:line="276" w:lineRule="auto"/>
        <w:rPr>
          <w:rFonts w:asciiTheme="minorHAnsi" w:hAnsiTheme="minorHAnsi"/>
        </w:rPr>
      </w:pPr>
      <w:bookmarkStart w:id="490" w:name="_Toc441841948"/>
      <w:bookmarkStart w:id="491" w:name="_Toc442445828"/>
      <w:bookmarkStart w:id="492" w:name="_Toc442446142"/>
    </w:p>
    <w:p w14:paraId="10A1CF63" w14:textId="77777777" w:rsidR="00F82510" w:rsidRPr="00105FFC" w:rsidRDefault="00F82510" w:rsidP="00F82510">
      <w:pPr>
        <w:spacing w:line="276" w:lineRule="auto"/>
        <w:rPr>
          <w:rFonts w:asciiTheme="minorHAnsi" w:hAnsiTheme="minorHAnsi"/>
        </w:rPr>
      </w:pPr>
      <w:r w:rsidRPr="00105FFC">
        <w:rPr>
          <w:rFonts w:asciiTheme="minorHAnsi" w:hAnsiTheme="minorHAnsi"/>
        </w:rPr>
        <w:t xml:space="preserve">Helplines provide needed assistance to FFS Medi-Cal beneficiaries and providers experiencing difficulties navigating the health care system and assist the California DHCS in </w:t>
      </w:r>
      <w:r w:rsidR="0085402D" w:rsidRPr="00105FFC">
        <w:rPr>
          <w:rFonts w:asciiTheme="minorHAnsi" w:hAnsiTheme="minorHAnsi"/>
        </w:rPr>
        <w:t>monitoring</w:t>
      </w:r>
      <w:r w:rsidRPr="00105FFC">
        <w:rPr>
          <w:rFonts w:asciiTheme="minorHAnsi" w:hAnsiTheme="minorHAnsi"/>
        </w:rPr>
        <w:t xml:space="preserve"> health care access. Two helplines are available to FFS Medi-Cal beneficiaries and providers: DHCS’ Medi-Cal Member and Provider Helpline, and the Medi-Cal Managed Care Office of the Ombudsman call center.  DHCS’ Medi-Cal Member and Provider Helpline serves as a direct source of information for providers, beneficiaries, and prospective enrollees.  DHCS is currently working to identify how data and information generated from this helpline can best be incorporated into this measure.  Although it is primarily focused on assisting Medi-Cal managed care beneficiaries, the Office of the Ombudsman call center provides FFS Medi-Cal beneficiaries with general program information.  Until data from DHCS’ helpline become available, this report will present data from the Office of the Ombudsman call center.</w:t>
      </w:r>
      <w:bookmarkEnd w:id="490"/>
      <w:bookmarkEnd w:id="491"/>
      <w:bookmarkEnd w:id="492"/>
    </w:p>
    <w:p w14:paraId="2A9DBD31" w14:textId="77777777" w:rsidR="00F82510" w:rsidRPr="00105FFC" w:rsidRDefault="00F82510" w:rsidP="00F82510">
      <w:pPr>
        <w:spacing w:line="276" w:lineRule="auto"/>
        <w:rPr>
          <w:rFonts w:asciiTheme="minorHAnsi" w:eastAsiaTheme="minorHAnsi" w:hAnsiTheme="minorHAnsi" w:cstheme="minorBidi"/>
        </w:rPr>
      </w:pPr>
    </w:p>
    <w:p w14:paraId="006FCB6F" w14:textId="77777777" w:rsidR="00073BFC" w:rsidRPr="00105FFC" w:rsidRDefault="00F82510" w:rsidP="00F82510">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The following baseline analysis </w:t>
      </w:r>
      <w:r w:rsidR="00073BFC" w:rsidRPr="00105FFC">
        <w:rPr>
          <w:rFonts w:asciiTheme="minorHAnsi" w:eastAsiaTheme="minorHAnsi" w:hAnsiTheme="minorHAnsi" w:cstheme="minorBidi"/>
        </w:rPr>
        <w:t>analyzes beneficiaries’ experiences in Medi-Cal’s FFS delivery system based on data collected from the Medi-Cal Managed Care Division’s Office of the Ombudsman call center. The baseline study period is SFYs 2013-14 and 2014-15.</w:t>
      </w:r>
      <w:r w:rsidR="008D4190" w:rsidRPr="00105FFC">
        <w:rPr>
          <w:rFonts w:asciiTheme="minorHAnsi" w:eastAsiaTheme="minorHAnsi" w:hAnsiTheme="minorHAnsi" w:cstheme="minorBidi"/>
        </w:rPr>
        <w:t xml:space="preserve"> In this analysis, several measures will be presented and evaluated; including:</w:t>
      </w:r>
    </w:p>
    <w:p w14:paraId="5BDC1180" w14:textId="77777777" w:rsidR="00F82510" w:rsidRPr="00105FFC" w:rsidRDefault="00F82510" w:rsidP="00F82510">
      <w:pPr>
        <w:spacing w:line="276" w:lineRule="auto"/>
        <w:rPr>
          <w:rFonts w:asciiTheme="minorHAnsi" w:eastAsiaTheme="minorHAnsi" w:hAnsiTheme="minorHAnsi" w:cs="Arial"/>
          <w:b/>
        </w:rPr>
      </w:pPr>
    </w:p>
    <w:p w14:paraId="249853D7" w14:textId="77777777" w:rsidR="00C83E48" w:rsidRPr="00105FFC" w:rsidRDefault="00C83E48" w:rsidP="00C83E4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during SFYs 2013-14 and 2014-15 by quarter,</w:t>
      </w:r>
    </w:p>
    <w:p w14:paraId="02D5131C" w14:textId="77777777" w:rsidR="00C83E48" w:rsidRPr="00105FFC" w:rsidRDefault="00C83E48" w:rsidP="00C83E4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during SFYs 2013-14 and 2014-15 by month,</w:t>
      </w:r>
    </w:p>
    <w:p w14:paraId="434ACEE5" w14:textId="77777777" w:rsidR="00C83E48" w:rsidRPr="00105FFC" w:rsidRDefault="00C83E48" w:rsidP="00C83E4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residing in Los Angeles and Southern California geographic regions in SFYs 2013-14 and 2014-15 by quarter,</w:t>
      </w:r>
    </w:p>
    <w:p w14:paraId="27F00A1A" w14:textId="77777777" w:rsidR="00C83E48" w:rsidRPr="00105FFC" w:rsidRDefault="00C83E48" w:rsidP="00C83E4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residing all other geographic regions in SFYs 2013-14 and 2014-15 by quarter,</w:t>
      </w:r>
    </w:p>
    <w:p w14:paraId="3EC048EF" w14:textId="77777777" w:rsidR="00C83E48" w:rsidRPr="00105FFC" w:rsidRDefault="00C83E48" w:rsidP="00C83E4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during SFYs 2013-14 and 2014-15 by geographic region and month,</w:t>
      </w:r>
    </w:p>
    <w:p w14:paraId="71BAC938" w14:textId="77777777" w:rsidR="00C83E48" w:rsidRPr="00105FFC" w:rsidRDefault="00C83E48" w:rsidP="00C83E4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during SFYs 2013-14 and 2014-15 by aid category,</w:t>
      </w:r>
    </w:p>
    <w:p w14:paraId="25C665BA" w14:textId="77777777" w:rsidR="00C83E48" w:rsidRPr="00105FFC" w:rsidRDefault="00C83E48" w:rsidP="00C83E48">
      <w:pPr>
        <w:pStyle w:val="ListParagraph"/>
        <w:numPr>
          <w:ilvl w:val="0"/>
          <w:numId w:val="30"/>
        </w:numPr>
        <w:spacing w:after="120" w:line="276" w:lineRule="auto"/>
        <w:rPr>
          <w:rFonts w:asciiTheme="minorHAnsi" w:hAnsiTheme="minorHAnsi"/>
        </w:rPr>
      </w:pPr>
      <w:r w:rsidRPr="00105FFC">
        <w:rPr>
          <w:rFonts w:asciiTheme="minorHAnsi" w:hAnsiTheme="minorHAnsi"/>
        </w:rPr>
        <w:t>Total calls received from FFS Medi-Cal beneficiaries during SFYs 2013-14 and 2014-15 by call category,</w:t>
      </w:r>
    </w:p>
    <w:p w14:paraId="47395820" w14:textId="77777777" w:rsidR="00C83E48" w:rsidRPr="00105FFC" w:rsidRDefault="00C83E48" w:rsidP="00C83E48">
      <w:pPr>
        <w:pStyle w:val="ListParagraph"/>
        <w:numPr>
          <w:ilvl w:val="0"/>
          <w:numId w:val="30"/>
        </w:numPr>
        <w:spacing w:after="120" w:line="276" w:lineRule="auto"/>
        <w:rPr>
          <w:rFonts w:asciiTheme="minorHAnsi" w:hAnsiTheme="minorHAnsi"/>
        </w:rPr>
      </w:pPr>
      <w:r w:rsidRPr="00105FFC">
        <w:rPr>
          <w:rFonts w:asciiTheme="minorHAnsi" w:hAnsiTheme="minorHAnsi"/>
        </w:rPr>
        <w:t>Top three categories of calls received from FFS Medi-Cal beneficiaries in the Parent/Caretaker Relative aid category during SFYs 2013-14 and 2014-15, and</w:t>
      </w:r>
    </w:p>
    <w:p w14:paraId="7DF6AF5E" w14:textId="77777777" w:rsidR="00C83E48" w:rsidRPr="00105FFC" w:rsidRDefault="00C83E48" w:rsidP="00C83E48">
      <w:pPr>
        <w:pStyle w:val="ListParagraph"/>
        <w:numPr>
          <w:ilvl w:val="0"/>
          <w:numId w:val="30"/>
        </w:numPr>
        <w:spacing w:line="276" w:lineRule="auto"/>
        <w:rPr>
          <w:rFonts w:asciiTheme="minorHAnsi" w:hAnsiTheme="minorHAnsi"/>
        </w:rPr>
      </w:pPr>
      <w:r w:rsidRPr="00105FFC">
        <w:rPr>
          <w:rFonts w:asciiTheme="minorHAnsi" w:hAnsiTheme="minorHAnsi"/>
        </w:rPr>
        <w:t>Top three categories of calls received from FFS Medi-Cal beneficiaries in the SPD aid category during SFYs 2013-14 and 2014-15.</w:t>
      </w:r>
    </w:p>
    <w:p w14:paraId="7BB2B0FD" w14:textId="77777777" w:rsidR="00C83E48" w:rsidRPr="00105FFC" w:rsidRDefault="00C83E48" w:rsidP="00F82510">
      <w:pPr>
        <w:spacing w:line="276" w:lineRule="auto"/>
        <w:rPr>
          <w:rFonts w:asciiTheme="minorHAnsi" w:eastAsiaTheme="minorHAnsi" w:hAnsiTheme="minorHAnsi" w:cs="Arial"/>
          <w:b/>
        </w:rPr>
      </w:pPr>
    </w:p>
    <w:p w14:paraId="113CE641" w14:textId="77777777" w:rsidR="00073BFC" w:rsidRPr="00105FFC" w:rsidRDefault="00073BFC" w:rsidP="00047142">
      <w:pPr>
        <w:pStyle w:val="Heading3"/>
        <w:spacing w:before="0" w:after="120" w:line="276" w:lineRule="auto"/>
        <w:rPr>
          <w:b w:val="0"/>
          <w:bCs w:val="0"/>
          <w:color w:val="4F81BD" w:themeColor="accent1"/>
          <w:sz w:val="26"/>
          <w:szCs w:val="26"/>
        </w:rPr>
      </w:pPr>
      <w:bookmarkStart w:id="493" w:name="_Toc459287777"/>
      <w:r w:rsidRPr="00105FFC">
        <w:t>Calls Received from FFS Medi-Cal Beneficiaries, by Quarter</w:t>
      </w:r>
      <w:bookmarkEnd w:id="493"/>
    </w:p>
    <w:p w14:paraId="685A0754" w14:textId="77777777" w:rsidR="00073BFC" w:rsidRPr="00105FFC" w:rsidRDefault="00073BFC" w:rsidP="00041458">
      <w:pPr>
        <w:spacing w:line="276" w:lineRule="auto"/>
        <w:rPr>
          <w:rFonts w:asciiTheme="minorHAnsi" w:eastAsiaTheme="minorHAnsi" w:hAnsiTheme="minorHAnsi" w:cstheme="minorBidi"/>
        </w:rPr>
      </w:pPr>
      <w:r w:rsidRPr="00105FFC">
        <w:rPr>
          <w:rFonts w:asciiTheme="minorHAnsi" w:eastAsiaTheme="minorHAnsi" w:hAnsiTheme="minorHAnsi" w:cstheme="minorBidi"/>
        </w:rPr>
        <w:t>During SFYs 2013-14 and 2014-15, the volume of calls from FFS Medi-Cal beneficiaries steadily increased through the first quarter of SFY 2014-15, followed by a steady decline. The sharpest increase in call volume was seen between the third and fourth quarters of SFY 2013-14</w:t>
      </w:r>
      <w:r w:rsidR="00E516BE" w:rsidRPr="00105FFC">
        <w:rPr>
          <w:rFonts w:asciiTheme="minorHAnsi" w:eastAsiaTheme="minorHAnsi" w:hAnsiTheme="minorHAnsi" w:cstheme="minorBidi"/>
        </w:rPr>
        <w:t>, which is attributable to the managed care expansions in late 2013 and the implementation of the ACA in 2014</w:t>
      </w:r>
      <w:r w:rsidRPr="00105FFC">
        <w:rPr>
          <w:rFonts w:asciiTheme="minorHAnsi" w:eastAsiaTheme="minorHAnsi" w:hAnsiTheme="minorHAnsi" w:cstheme="minorBidi"/>
        </w:rPr>
        <w:t xml:space="preserve"> (Figure </w:t>
      </w:r>
      <w:r w:rsidR="00B03934" w:rsidRPr="00105FFC">
        <w:rPr>
          <w:rFonts w:asciiTheme="minorHAnsi" w:eastAsiaTheme="minorHAnsi" w:hAnsiTheme="minorHAnsi" w:cstheme="minorBidi"/>
        </w:rPr>
        <w:t>6</w:t>
      </w:r>
      <w:r w:rsidR="00F9361C">
        <w:rPr>
          <w:rFonts w:asciiTheme="minorHAnsi" w:eastAsiaTheme="minorHAnsi" w:hAnsiTheme="minorHAnsi" w:cstheme="minorBidi"/>
        </w:rPr>
        <w:t>2</w:t>
      </w:r>
      <w:r w:rsidRPr="00105FFC">
        <w:rPr>
          <w:rFonts w:asciiTheme="minorHAnsi" w:eastAsiaTheme="minorHAnsi" w:hAnsiTheme="minorHAnsi" w:cstheme="minorBidi"/>
        </w:rPr>
        <w:t>).</w:t>
      </w:r>
    </w:p>
    <w:p w14:paraId="60D818CD" w14:textId="77777777" w:rsidR="00041458" w:rsidRPr="00105FFC" w:rsidRDefault="00041458" w:rsidP="00041458">
      <w:pPr>
        <w:spacing w:line="276" w:lineRule="auto"/>
        <w:rPr>
          <w:rFonts w:asciiTheme="minorHAnsi" w:eastAsiaTheme="minorHAnsi" w:hAnsiTheme="minorHAnsi" w:cstheme="minorBidi"/>
        </w:rPr>
      </w:pPr>
    </w:p>
    <w:p w14:paraId="5D3C50E7" w14:textId="77777777" w:rsidR="00073BFC" w:rsidRPr="000E1B8E" w:rsidRDefault="000E1B8E" w:rsidP="000E1B8E">
      <w:pPr>
        <w:pStyle w:val="Caption"/>
        <w:spacing w:after="0"/>
        <w:rPr>
          <w:rFonts w:asciiTheme="minorHAnsi" w:eastAsiaTheme="minorHAnsi" w:hAnsiTheme="minorHAnsi" w:cstheme="minorBidi"/>
          <w:b w:val="0"/>
          <w:bCs w:val="0"/>
          <w:color w:val="000000" w:themeColor="text1"/>
          <w:sz w:val="20"/>
          <w:szCs w:val="20"/>
        </w:rPr>
      </w:pPr>
      <w:bookmarkStart w:id="494" w:name="_Toc458783000"/>
      <w:bookmarkStart w:id="495" w:name="_Toc459286743"/>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62</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 xml:space="preserve">: </w:t>
      </w:r>
      <w:r w:rsidR="00073BFC" w:rsidRPr="000E1B8E">
        <w:rPr>
          <w:rFonts w:asciiTheme="minorHAnsi" w:eastAsiaTheme="minorHAnsi" w:hAnsiTheme="minorHAnsi" w:cstheme="minorBidi"/>
          <w:b w:val="0"/>
          <w:bCs w:val="0"/>
          <w:color w:val="000000" w:themeColor="text1"/>
          <w:sz w:val="20"/>
          <w:szCs w:val="20"/>
        </w:rPr>
        <w:t>Calls Received from FFS Medi-Cal Beneficiaries in SFYs 2013-14 and 2014-15, by Quarter</w:t>
      </w:r>
      <w:bookmarkEnd w:id="494"/>
      <w:bookmarkEnd w:id="495"/>
    </w:p>
    <w:p w14:paraId="6DF8A55A" w14:textId="77777777" w:rsidR="00073BFC" w:rsidRPr="00105FFC" w:rsidRDefault="00073BFC" w:rsidP="00D44301">
      <w:pPr>
        <w:spacing w:line="276" w:lineRule="auto"/>
        <w:rPr>
          <w:rFonts w:asciiTheme="minorHAnsi" w:eastAsiaTheme="minorHAnsi" w:hAnsiTheme="minorHAnsi" w:cs="Tahoma"/>
          <w:sz w:val="16"/>
          <w:szCs w:val="16"/>
        </w:rPr>
      </w:pPr>
      <w:r w:rsidRPr="00105FFC">
        <w:rPr>
          <w:rFonts w:asciiTheme="minorHAnsi" w:eastAsiaTheme="minorHAnsi" w:hAnsiTheme="minorHAnsi" w:cstheme="minorBidi"/>
          <w:noProof/>
          <w:sz w:val="22"/>
          <w:szCs w:val="22"/>
        </w:rPr>
        <w:drawing>
          <wp:inline distT="0" distB="0" distL="0" distR="0" wp14:anchorId="09465E72" wp14:editId="6BA1F016">
            <wp:extent cx="5943600" cy="2282190"/>
            <wp:effectExtent l="0" t="0" r="0" b="3810"/>
            <wp:docPr id="50" name="Chart 50" descr="Qtr 1 2013-14: 2,854&#10;Qtr 2 2013-14: 3,881&#10;Qtr 3 2013-14: 6,258&#10;Qtr 4 2013-14: 16,034&#10;Qtr 1 2014-15: 19,510&#10;Qtr 2 2014-15: 15,184&#10;Qtr 3 2014-15: 11,997&#10;Qtr 4 2014-15: 9,391&#10;" title="Calls Received from FFS Medi-Cal Beneficiaries in SFYs 2013-14 and 2014-15, by Quar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the Medi-Cal Managed Care Division’s Office of the Ombudsman call center.</w:t>
      </w:r>
    </w:p>
    <w:p w14:paraId="76EC5C10" w14:textId="77777777" w:rsidR="00073BFC" w:rsidRPr="00105FFC" w:rsidRDefault="00073BFC" w:rsidP="00D44301">
      <w:pPr>
        <w:spacing w:line="276" w:lineRule="auto"/>
        <w:rPr>
          <w:rFonts w:asciiTheme="minorHAnsi" w:eastAsiaTheme="minorHAnsi" w:hAnsiTheme="minorHAnsi" w:cs="Tahoma"/>
          <w:sz w:val="16"/>
          <w:szCs w:val="16"/>
        </w:rPr>
      </w:pPr>
    </w:p>
    <w:p w14:paraId="6494C114" w14:textId="77777777" w:rsidR="00073BFC" w:rsidRPr="00105FFC" w:rsidRDefault="00073BFC" w:rsidP="00047142">
      <w:pPr>
        <w:pStyle w:val="Heading3"/>
        <w:spacing w:before="0" w:after="120" w:line="276" w:lineRule="auto"/>
      </w:pPr>
      <w:bookmarkStart w:id="496" w:name="_Toc459287778"/>
      <w:r w:rsidRPr="00105FFC">
        <w:t>Calls Received from FFS Medi-Cal Beneficiaries, by Month</w:t>
      </w:r>
      <w:bookmarkEnd w:id="496"/>
    </w:p>
    <w:p w14:paraId="39C0126E" w14:textId="77777777" w:rsidR="00073BFC" w:rsidRPr="00105FFC" w:rsidRDefault="00073BFC" w:rsidP="00047142">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During SFYs 2013-14 and 2014-15, the volume of calls from FFS Medi-Cal beneficiaries fluctuated greatly by month but generally increased through September of SFY 2014-15, followed by a steady decline. The sharpest increase in call volume (88.8%) was seen in April of SFY 2013-14 (Table </w:t>
      </w:r>
      <w:r w:rsidR="008D19CB">
        <w:rPr>
          <w:rFonts w:asciiTheme="minorHAnsi" w:eastAsiaTheme="minorHAnsi" w:hAnsiTheme="minorHAnsi" w:cstheme="minorBidi"/>
        </w:rPr>
        <w:t>46</w:t>
      </w:r>
      <w:r w:rsidRPr="00105FFC">
        <w:rPr>
          <w:rFonts w:asciiTheme="minorHAnsi" w:eastAsiaTheme="minorHAnsi" w:hAnsiTheme="minorHAnsi" w:cstheme="minorBidi"/>
        </w:rPr>
        <w:t>).</w:t>
      </w:r>
    </w:p>
    <w:p w14:paraId="188FCA99" w14:textId="77777777" w:rsidR="00073BFC" w:rsidRPr="00105FFC" w:rsidRDefault="008734A9" w:rsidP="00047142">
      <w:pPr>
        <w:spacing w:after="120"/>
        <w:rPr>
          <w:rFonts w:asciiTheme="minorHAnsi" w:eastAsiaTheme="minorHAnsi" w:hAnsiTheme="minorHAnsi" w:cstheme="minorBidi"/>
          <w:bCs/>
          <w:sz w:val="20"/>
          <w:szCs w:val="20"/>
        </w:rPr>
      </w:pPr>
      <w:bookmarkStart w:id="497" w:name="_Toc458783145"/>
      <w:bookmarkStart w:id="498" w:name="_Toc459285191"/>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46</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Calls Received from FFS Medi-Cal Beneficiaries in SFYs 2013-14 and 2014-15, by Month</w:t>
      </w:r>
      <w:bookmarkEnd w:id="497"/>
      <w:bookmarkEnd w:id="498"/>
    </w:p>
    <w:tbl>
      <w:tblPr>
        <w:tblStyle w:val="TableGrid3"/>
        <w:tblW w:w="0" w:type="auto"/>
        <w:tblLook w:val="04A0" w:firstRow="1" w:lastRow="0" w:firstColumn="1" w:lastColumn="0" w:noHBand="0" w:noVBand="1"/>
      </w:tblPr>
      <w:tblGrid>
        <w:gridCol w:w="1540"/>
        <w:gridCol w:w="1540"/>
        <w:gridCol w:w="1220"/>
        <w:gridCol w:w="2378"/>
      </w:tblGrid>
      <w:tr w:rsidR="00073BFC" w:rsidRPr="00105FFC" w14:paraId="6432BB44" w14:textId="77777777" w:rsidTr="00D44301">
        <w:trPr>
          <w:cantSplit/>
          <w:trHeight w:val="242"/>
          <w:tblHeader/>
        </w:trPr>
        <w:tc>
          <w:tcPr>
            <w:tcW w:w="1540" w:type="dxa"/>
            <w:shd w:val="clear" w:color="auto" w:fill="F2F2F2" w:themeFill="background1" w:themeFillShade="F2"/>
            <w:noWrap/>
            <w:vAlign w:val="center"/>
            <w:hideMark/>
          </w:tcPr>
          <w:p w14:paraId="5F5C11BE"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State Fiscal Year</w:t>
            </w:r>
          </w:p>
        </w:tc>
        <w:tc>
          <w:tcPr>
            <w:tcW w:w="1540" w:type="dxa"/>
            <w:shd w:val="clear" w:color="auto" w:fill="F2F2F2" w:themeFill="background1" w:themeFillShade="F2"/>
            <w:noWrap/>
            <w:vAlign w:val="center"/>
            <w:hideMark/>
          </w:tcPr>
          <w:p w14:paraId="6A218EC5"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Month</w:t>
            </w:r>
          </w:p>
        </w:tc>
        <w:tc>
          <w:tcPr>
            <w:tcW w:w="1220" w:type="dxa"/>
            <w:shd w:val="clear" w:color="auto" w:fill="F2F2F2" w:themeFill="background1" w:themeFillShade="F2"/>
            <w:noWrap/>
            <w:vAlign w:val="center"/>
            <w:hideMark/>
          </w:tcPr>
          <w:p w14:paraId="246F1939"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Call Count</w:t>
            </w:r>
          </w:p>
        </w:tc>
        <w:tc>
          <w:tcPr>
            <w:tcW w:w="2378" w:type="dxa"/>
            <w:shd w:val="clear" w:color="auto" w:fill="F2F2F2" w:themeFill="background1" w:themeFillShade="F2"/>
            <w:noWrap/>
            <w:vAlign w:val="center"/>
            <w:hideMark/>
          </w:tcPr>
          <w:p w14:paraId="55276AA2" w14:textId="77777777" w:rsidR="00073BFC" w:rsidRPr="00105FFC" w:rsidRDefault="00073BFC" w:rsidP="00073BFC">
            <w:pPr>
              <w:jc w:val="center"/>
              <w:rPr>
                <w:rFonts w:asciiTheme="minorHAnsi" w:hAnsiTheme="minorHAnsi"/>
                <w:b/>
                <w:bCs/>
                <w:color w:val="000000"/>
                <w:sz w:val="20"/>
                <w:szCs w:val="20"/>
              </w:rPr>
            </w:pPr>
            <w:r w:rsidRPr="00105FFC">
              <w:rPr>
                <w:rFonts w:asciiTheme="minorHAnsi" w:hAnsiTheme="minorHAnsi"/>
                <w:b/>
                <w:bCs/>
                <w:color w:val="000000"/>
                <w:sz w:val="20"/>
                <w:szCs w:val="20"/>
              </w:rPr>
              <w:t>% Change from</w:t>
            </w:r>
            <w:r w:rsidRPr="00105FFC">
              <w:rPr>
                <w:rFonts w:asciiTheme="minorHAnsi" w:hAnsiTheme="minorHAnsi"/>
                <w:b/>
                <w:bCs/>
                <w:color w:val="000000"/>
                <w:sz w:val="20"/>
                <w:szCs w:val="20"/>
              </w:rPr>
              <w:br/>
              <w:t>Previous Month</w:t>
            </w:r>
          </w:p>
        </w:tc>
      </w:tr>
      <w:tr w:rsidR="00073BFC" w:rsidRPr="00105FFC" w14:paraId="180A4842" w14:textId="77777777" w:rsidTr="000D6C4B">
        <w:trPr>
          <w:trHeight w:val="315"/>
        </w:trPr>
        <w:tc>
          <w:tcPr>
            <w:tcW w:w="1540" w:type="dxa"/>
            <w:noWrap/>
            <w:vAlign w:val="center"/>
            <w:hideMark/>
          </w:tcPr>
          <w:p w14:paraId="0947078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04F9A2F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July</w:t>
            </w:r>
          </w:p>
        </w:tc>
        <w:tc>
          <w:tcPr>
            <w:tcW w:w="1220" w:type="dxa"/>
            <w:noWrap/>
            <w:vAlign w:val="center"/>
            <w:hideMark/>
          </w:tcPr>
          <w:p w14:paraId="77EE739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923</w:t>
            </w:r>
          </w:p>
        </w:tc>
        <w:tc>
          <w:tcPr>
            <w:tcW w:w="2378" w:type="dxa"/>
            <w:noWrap/>
            <w:vAlign w:val="center"/>
            <w:hideMark/>
          </w:tcPr>
          <w:p w14:paraId="11D4493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N/A</w:t>
            </w:r>
          </w:p>
        </w:tc>
      </w:tr>
      <w:tr w:rsidR="00073BFC" w:rsidRPr="00105FFC" w14:paraId="281E555B" w14:textId="77777777" w:rsidTr="000D6C4B">
        <w:trPr>
          <w:trHeight w:val="315"/>
        </w:trPr>
        <w:tc>
          <w:tcPr>
            <w:tcW w:w="1540" w:type="dxa"/>
            <w:noWrap/>
            <w:vAlign w:val="center"/>
            <w:hideMark/>
          </w:tcPr>
          <w:p w14:paraId="5D82CE1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7E281D9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August</w:t>
            </w:r>
          </w:p>
        </w:tc>
        <w:tc>
          <w:tcPr>
            <w:tcW w:w="1220" w:type="dxa"/>
            <w:noWrap/>
            <w:vAlign w:val="center"/>
            <w:hideMark/>
          </w:tcPr>
          <w:p w14:paraId="64042BA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980</w:t>
            </w:r>
          </w:p>
        </w:tc>
        <w:tc>
          <w:tcPr>
            <w:tcW w:w="2378" w:type="dxa"/>
            <w:noWrap/>
            <w:vAlign w:val="center"/>
            <w:hideMark/>
          </w:tcPr>
          <w:p w14:paraId="0F0AB06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6.2%</w:t>
            </w:r>
          </w:p>
        </w:tc>
      </w:tr>
      <w:tr w:rsidR="00073BFC" w:rsidRPr="00105FFC" w14:paraId="6E0B7105" w14:textId="77777777" w:rsidTr="000D6C4B">
        <w:trPr>
          <w:trHeight w:val="315"/>
        </w:trPr>
        <w:tc>
          <w:tcPr>
            <w:tcW w:w="1540" w:type="dxa"/>
            <w:noWrap/>
            <w:vAlign w:val="center"/>
            <w:hideMark/>
          </w:tcPr>
          <w:p w14:paraId="2EBD5A2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313858B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September</w:t>
            </w:r>
          </w:p>
        </w:tc>
        <w:tc>
          <w:tcPr>
            <w:tcW w:w="1220" w:type="dxa"/>
            <w:noWrap/>
            <w:vAlign w:val="center"/>
            <w:hideMark/>
          </w:tcPr>
          <w:p w14:paraId="59AF65E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951</w:t>
            </w:r>
          </w:p>
        </w:tc>
        <w:tc>
          <w:tcPr>
            <w:tcW w:w="2378" w:type="dxa"/>
            <w:noWrap/>
            <w:vAlign w:val="center"/>
            <w:hideMark/>
          </w:tcPr>
          <w:p w14:paraId="38E616F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-3.0%</w:t>
            </w:r>
          </w:p>
        </w:tc>
      </w:tr>
      <w:tr w:rsidR="00073BFC" w:rsidRPr="00105FFC" w14:paraId="1AC9CE36" w14:textId="77777777" w:rsidTr="000D6C4B">
        <w:trPr>
          <w:trHeight w:val="315"/>
        </w:trPr>
        <w:tc>
          <w:tcPr>
            <w:tcW w:w="1540" w:type="dxa"/>
            <w:noWrap/>
            <w:vAlign w:val="center"/>
            <w:hideMark/>
          </w:tcPr>
          <w:p w14:paraId="47FBB99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1F0C8BF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October</w:t>
            </w:r>
          </w:p>
        </w:tc>
        <w:tc>
          <w:tcPr>
            <w:tcW w:w="1220" w:type="dxa"/>
            <w:noWrap/>
            <w:vAlign w:val="center"/>
            <w:hideMark/>
          </w:tcPr>
          <w:p w14:paraId="3F63151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1,242</w:t>
            </w:r>
          </w:p>
        </w:tc>
        <w:tc>
          <w:tcPr>
            <w:tcW w:w="2378" w:type="dxa"/>
            <w:noWrap/>
            <w:vAlign w:val="center"/>
            <w:hideMark/>
          </w:tcPr>
          <w:p w14:paraId="572E002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30.6%</w:t>
            </w:r>
          </w:p>
        </w:tc>
      </w:tr>
      <w:tr w:rsidR="00073BFC" w:rsidRPr="00105FFC" w14:paraId="3E6388FC" w14:textId="77777777" w:rsidTr="000D6C4B">
        <w:trPr>
          <w:trHeight w:val="315"/>
        </w:trPr>
        <w:tc>
          <w:tcPr>
            <w:tcW w:w="1540" w:type="dxa"/>
            <w:noWrap/>
            <w:vAlign w:val="center"/>
            <w:hideMark/>
          </w:tcPr>
          <w:p w14:paraId="4AF8BDD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4398B5B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November</w:t>
            </w:r>
          </w:p>
        </w:tc>
        <w:tc>
          <w:tcPr>
            <w:tcW w:w="1220" w:type="dxa"/>
            <w:noWrap/>
            <w:vAlign w:val="center"/>
            <w:hideMark/>
          </w:tcPr>
          <w:p w14:paraId="548096B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1,062</w:t>
            </w:r>
          </w:p>
        </w:tc>
        <w:tc>
          <w:tcPr>
            <w:tcW w:w="2378" w:type="dxa"/>
            <w:noWrap/>
            <w:vAlign w:val="center"/>
            <w:hideMark/>
          </w:tcPr>
          <w:p w14:paraId="64236EE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-14.5%</w:t>
            </w:r>
          </w:p>
        </w:tc>
      </w:tr>
      <w:tr w:rsidR="00073BFC" w:rsidRPr="00105FFC" w14:paraId="48E5F3F4" w14:textId="77777777" w:rsidTr="000D6C4B">
        <w:trPr>
          <w:trHeight w:val="315"/>
        </w:trPr>
        <w:tc>
          <w:tcPr>
            <w:tcW w:w="1540" w:type="dxa"/>
            <w:noWrap/>
            <w:vAlign w:val="center"/>
            <w:hideMark/>
          </w:tcPr>
          <w:p w14:paraId="0B8B144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71967EE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December</w:t>
            </w:r>
          </w:p>
        </w:tc>
        <w:tc>
          <w:tcPr>
            <w:tcW w:w="1220" w:type="dxa"/>
            <w:noWrap/>
            <w:vAlign w:val="center"/>
            <w:hideMark/>
          </w:tcPr>
          <w:p w14:paraId="358F2ED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1,577</w:t>
            </w:r>
          </w:p>
        </w:tc>
        <w:tc>
          <w:tcPr>
            <w:tcW w:w="2378" w:type="dxa"/>
            <w:noWrap/>
            <w:vAlign w:val="center"/>
            <w:hideMark/>
          </w:tcPr>
          <w:p w14:paraId="510506E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48.5%</w:t>
            </w:r>
          </w:p>
        </w:tc>
      </w:tr>
      <w:tr w:rsidR="00073BFC" w:rsidRPr="00105FFC" w14:paraId="0C8FB0A0" w14:textId="77777777" w:rsidTr="000D6C4B">
        <w:trPr>
          <w:trHeight w:val="315"/>
        </w:trPr>
        <w:tc>
          <w:tcPr>
            <w:tcW w:w="1540" w:type="dxa"/>
            <w:noWrap/>
            <w:vAlign w:val="center"/>
            <w:hideMark/>
          </w:tcPr>
          <w:p w14:paraId="38CCA80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1E575DA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January</w:t>
            </w:r>
          </w:p>
        </w:tc>
        <w:tc>
          <w:tcPr>
            <w:tcW w:w="1220" w:type="dxa"/>
            <w:noWrap/>
            <w:vAlign w:val="center"/>
            <w:hideMark/>
          </w:tcPr>
          <w:p w14:paraId="18B0973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2,140</w:t>
            </w:r>
          </w:p>
        </w:tc>
        <w:tc>
          <w:tcPr>
            <w:tcW w:w="2378" w:type="dxa"/>
            <w:noWrap/>
            <w:vAlign w:val="center"/>
            <w:hideMark/>
          </w:tcPr>
          <w:p w14:paraId="49A6517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35.7%</w:t>
            </w:r>
          </w:p>
        </w:tc>
      </w:tr>
      <w:tr w:rsidR="00073BFC" w:rsidRPr="00105FFC" w14:paraId="5B12CBB9" w14:textId="77777777" w:rsidTr="000D6C4B">
        <w:trPr>
          <w:trHeight w:val="315"/>
        </w:trPr>
        <w:tc>
          <w:tcPr>
            <w:tcW w:w="1540" w:type="dxa"/>
            <w:noWrap/>
            <w:vAlign w:val="center"/>
            <w:hideMark/>
          </w:tcPr>
          <w:p w14:paraId="7F77A9A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2CB4B9C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February</w:t>
            </w:r>
          </w:p>
        </w:tc>
        <w:tc>
          <w:tcPr>
            <w:tcW w:w="1220" w:type="dxa"/>
            <w:noWrap/>
            <w:vAlign w:val="center"/>
            <w:hideMark/>
          </w:tcPr>
          <w:p w14:paraId="2C48954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2,166</w:t>
            </w:r>
          </w:p>
        </w:tc>
        <w:tc>
          <w:tcPr>
            <w:tcW w:w="2378" w:type="dxa"/>
            <w:noWrap/>
            <w:vAlign w:val="center"/>
            <w:hideMark/>
          </w:tcPr>
          <w:p w14:paraId="7792F01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1.2%</w:t>
            </w:r>
          </w:p>
        </w:tc>
      </w:tr>
      <w:tr w:rsidR="00073BFC" w:rsidRPr="00105FFC" w14:paraId="1323D5B5" w14:textId="77777777" w:rsidTr="000D6C4B">
        <w:trPr>
          <w:trHeight w:val="315"/>
        </w:trPr>
        <w:tc>
          <w:tcPr>
            <w:tcW w:w="1540" w:type="dxa"/>
            <w:noWrap/>
            <w:vAlign w:val="center"/>
            <w:hideMark/>
          </w:tcPr>
          <w:p w14:paraId="7B1E58C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56411C6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March</w:t>
            </w:r>
          </w:p>
        </w:tc>
        <w:tc>
          <w:tcPr>
            <w:tcW w:w="1220" w:type="dxa"/>
            <w:noWrap/>
            <w:vAlign w:val="center"/>
            <w:hideMark/>
          </w:tcPr>
          <w:p w14:paraId="1AEB0E7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1,952</w:t>
            </w:r>
          </w:p>
        </w:tc>
        <w:tc>
          <w:tcPr>
            <w:tcW w:w="2378" w:type="dxa"/>
            <w:noWrap/>
            <w:vAlign w:val="center"/>
            <w:hideMark/>
          </w:tcPr>
          <w:p w14:paraId="4696681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-9.9%</w:t>
            </w:r>
          </w:p>
        </w:tc>
      </w:tr>
      <w:tr w:rsidR="00073BFC" w:rsidRPr="00105FFC" w14:paraId="236D6753" w14:textId="77777777" w:rsidTr="000D6C4B">
        <w:trPr>
          <w:trHeight w:val="315"/>
        </w:trPr>
        <w:tc>
          <w:tcPr>
            <w:tcW w:w="1540" w:type="dxa"/>
            <w:noWrap/>
            <w:vAlign w:val="center"/>
            <w:hideMark/>
          </w:tcPr>
          <w:p w14:paraId="60CA3FB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49FA595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April</w:t>
            </w:r>
          </w:p>
        </w:tc>
        <w:tc>
          <w:tcPr>
            <w:tcW w:w="1220" w:type="dxa"/>
            <w:noWrap/>
            <w:vAlign w:val="center"/>
            <w:hideMark/>
          </w:tcPr>
          <w:p w14:paraId="2441677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3,686</w:t>
            </w:r>
          </w:p>
        </w:tc>
        <w:tc>
          <w:tcPr>
            <w:tcW w:w="2378" w:type="dxa"/>
            <w:noWrap/>
            <w:vAlign w:val="center"/>
            <w:hideMark/>
          </w:tcPr>
          <w:p w14:paraId="7C2B47C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88.8%</w:t>
            </w:r>
          </w:p>
        </w:tc>
      </w:tr>
      <w:tr w:rsidR="00073BFC" w:rsidRPr="00105FFC" w14:paraId="7C031238" w14:textId="77777777" w:rsidTr="000D6C4B">
        <w:trPr>
          <w:trHeight w:val="315"/>
        </w:trPr>
        <w:tc>
          <w:tcPr>
            <w:tcW w:w="1540" w:type="dxa"/>
            <w:noWrap/>
            <w:vAlign w:val="center"/>
            <w:hideMark/>
          </w:tcPr>
          <w:p w14:paraId="3721A05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200FE9A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May</w:t>
            </w:r>
          </w:p>
        </w:tc>
        <w:tc>
          <w:tcPr>
            <w:tcW w:w="1220" w:type="dxa"/>
            <w:noWrap/>
            <w:vAlign w:val="center"/>
            <w:hideMark/>
          </w:tcPr>
          <w:p w14:paraId="1D83047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5,283</w:t>
            </w:r>
          </w:p>
        </w:tc>
        <w:tc>
          <w:tcPr>
            <w:tcW w:w="2378" w:type="dxa"/>
            <w:noWrap/>
            <w:vAlign w:val="center"/>
            <w:hideMark/>
          </w:tcPr>
          <w:p w14:paraId="464FBC9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43.3%</w:t>
            </w:r>
          </w:p>
        </w:tc>
      </w:tr>
      <w:tr w:rsidR="00073BFC" w:rsidRPr="00105FFC" w14:paraId="0E14B1E5" w14:textId="77777777" w:rsidTr="000D6C4B">
        <w:trPr>
          <w:trHeight w:val="315"/>
        </w:trPr>
        <w:tc>
          <w:tcPr>
            <w:tcW w:w="1540" w:type="dxa"/>
            <w:noWrap/>
            <w:vAlign w:val="center"/>
            <w:hideMark/>
          </w:tcPr>
          <w:p w14:paraId="1CDEE9F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1540" w:type="dxa"/>
            <w:noWrap/>
            <w:vAlign w:val="center"/>
            <w:hideMark/>
          </w:tcPr>
          <w:p w14:paraId="2EC2EA9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June</w:t>
            </w:r>
          </w:p>
        </w:tc>
        <w:tc>
          <w:tcPr>
            <w:tcW w:w="1220" w:type="dxa"/>
            <w:noWrap/>
            <w:vAlign w:val="center"/>
            <w:hideMark/>
          </w:tcPr>
          <w:p w14:paraId="06ADB93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7,065</w:t>
            </w:r>
          </w:p>
        </w:tc>
        <w:tc>
          <w:tcPr>
            <w:tcW w:w="2378" w:type="dxa"/>
            <w:noWrap/>
            <w:vAlign w:val="center"/>
            <w:hideMark/>
          </w:tcPr>
          <w:p w14:paraId="51A6FBB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33.7%</w:t>
            </w:r>
          </w:p>
        </w:tc>
      </w:tr>
      <w:tr w:rsidR="00073BFC" w:rsidRPr="00105FFC" w14:paraId="1EFA01A2" w14:textId="77777777" w:rsidTr="000D6C4B">
        <w:trPr>
          <w:trHeight w:val="315"/>
        </w:trPr>
        <w:tc>
          <w:tcPr>
            <w:tcW w:w="1540" w:type="dxa"/>
            <w:noWrap/>
            <w:vAlign w:val="center"/>
            <w:hideMark/>
          </w:tcPr>
          <w:p w14:paraId="4AF95A0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5B00D04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July</w:t>
            </w:r>
          </w:p>
        </w:tc>
        <w:tc>
          <w:tcPr>
            <w:tcW w:w="1220" w:type="dxa"/>
            <w:noWrap/>
            <w:vAlign w:val="center"/>
            <w:hideMark/>
          </w:tcPr>
          <w:p w14:paraId="49443EE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6,044</w:t>
            </w:r>
          </w:p>
        </w:tc>
        <w:tc>
          <w:tcPr>
            <w:tcW w:w="2378" w:type="dxa"/>
            <w:noWrap/>
            <w:vAlign w:val="center"/>
            <w:hideMark/>
          </w:tcPr>
          <w:p w14:paraId="5A2D82A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-14.5%</w:t>
            </w:r>
          </w:p>
        </w:tc>
      </w:tr>
      <w:tr w:rsidR="00073BFC" w:rsidRPr="00105FFC" w14:paraId="46619C4F" w14:textId="77777777" w:rsidTr="000D6C4B">
        <w:trPr>
          <w:trHeight w:val="315"/>
        </w:trPr>
        <w:tc>
          <w:tcPr>
            <w:tcW w:w="1540" w:type="dxa"/>
            <w:noWrap/>
            <w:vAlign w:val="center"/>
            <w:hideMark/>
          </w:tcPr>
          <w:p w14:paraId="781D69D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1B72033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August</w:t>
            </w:r>
          </w:p>
        </w:tc>
        <w:tc>
          <w:tcPr>
            <w:tcW w:w="1220" w:type="dxa"/>
            <w:noWrap/>
            <w:vAlign w:val="center"/>
            <w:hideMark/>
          </w:tcPr>
          <w:p w14:paraId="7FF34CE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6,267</w:t>
            </w:r>
          </w:p>
        </w:tc>
        <w:tc>
          <w:tcPr>
            <w:tcW w:w="2378" w:type="dxa"/>
            <w:noWrap/>
            <w:vAlign w:val="center"/>
            <w:hideMark/>
          </w:tcPr>
          <w:p w14:paraId="33D9D23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3.7%</w:t>
            </w:r>
          </w:p>
        </w:tc>
      </w:tr>
      <w:tr w:rsidR="00073BFC" w:rsidRPr="00105FFC" w14:paraId="1809CF0B" w14:textId="77777777" w:rsidTr="000D6C4B">
        <w:trPr>
          <w:trHeight w:val="315"/>
        </w:trPr>
        <w:tc>
          <w:tcPr>
            <w:tcW w:w="1540" w:type="dxa"/>
            <w:noWrap/>
            <w:vAlign w:val="center"/>
            <w:hideMark/>
          </w:tcPr>
          <w:p w14:paraId="29B65BD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53EF0CF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September</w:t>
            </w:r>
          </w:p>
        </w:tc>
        <w:tc>
          <w:tcPr>
            <w:tcW w:w="1220" w:type="dxa"/>
            <w:noWrap/>
            <w:vAlign w:val="center"/>
            <w:hideMark/>
          </w:tcPr>
          <w:p w14:paraId="14D15E3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7,199</w:t>
            </w:r>
          </w:p>
        </w:tc>
        <w:tc>
          <w:tcPr>
            <w:tcW w:w="2378" w:type="dxa"/>
            <w:noWrap/>
            <w:vAlign w:val="center"/>
            <w:hideMark/>
          </w:tcPr>
          <w:p w14:paraId="3F18087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14.9%</w:t>
            </w:r>
          </w:p>
        </w:tc>
      </w:tr>
      <w:tr w:rsidR="00073BFC" w:rsidRPr="00105FFC" w14:paraId="2BCF43C8" w14:textId="77777777" w:rsidTr="000D6C4B">
        <w:trPr>
          <w:trHeight w:val="315"/>
        </w:trPr>
        <w:tc>
          <w:tcPr>
            <w:tcW w:w="1540" w:type="dxa"/>
            <w:noWrap/>
            <w:vAlign w:val="center"/>
            <w:hideMark/>
          </w:tcPr>
          <w:p w14:paraId="4B589E9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21C9705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October</w:t>
            </w:r>
          </w:p>
        </w:tc>
        <w:tc>
          <w:tcPr>
            <w:tcW w:w="1220" w:type="dxa"/>
            <w:noWrap/>
            <w:vAlign w:val="center"/>
            <w:hideMark/>
          </w:tcPr>
          <w:p w14:paraId="47E7466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6,817</w:t>
            </w:r>
          </w:p>
        </w:tc>
        <w:tc>
          <w:tcPr>
            <w:tcW w:w="2378" w:type="dxa"/>
            <w:noWrap/>
            <w:vAlign w:val="center"/>
            <w:hideMark/>
          </w:tcPr>
          <w:p w14:paraId="0E85530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-5.3%</w:t>
            </w:r>
          </w:p>
        </w:tc>
      </w:tr>
      <w:tr w:rsidR="00073BFC" w:rsidRPr="00105FFC" w14:paraId="467D0EE2" w14:textId="77777777" w:rsidTr="000D6C4B">
        <w:trPr>
          <w:trHeight w:val="315"/>
        </w:trPr>
        <w:tc>
          <w:tcPr>
            <w:tcW w:w="1540" w:type="dxa"/>
            <w:noWrap/>
            <w:vAlign w:val="center"/>
            <w:hideMark/>
          </w:tcPr>
          <w:p w14:paraId="49681C6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3A15B57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November</w:t>
            </w:r>
          </w:p>
        </w:tc>
        <w:tc>
          <w:tcPr>
            <w:tcW w:w="1220" w:type="dxa"/>
            <w:noWrap/>
            <w:vAlign w:val="center"/>
            <w:hideMark/>
          </w:tcPr>
          <w:p w14:paraId="6DDE81B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4,294</w:t>
            </w:r>
          </w:p>
        </w:tc>
        <w:tc>
          <w:tcPr>
            <w:tcW w:w="2378" w:type="dxa"/>
            <w:noWrap/>
            <w:vAlign w:val="center"/>
            <w:hideMark/>
          </w:tcPr>
          <w:p w14:paraId="0C236F9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-37.0%</w:t>
            </w:r>
          </w:p>
        </w:tc>
      </w:tr>
      <w:tr w:rsidR="00073BFC" w:rsidRPr="00105FFC" w14:paraId="52787B65" w14:textId="77777777" w:rsidTr="000D6C4B">
        <w:trPr>
          <w:trHeight w:val="315"/>
        </w:trPr>
        <w:tc>
          <w:tcPr>
            <w:tcW w:w="1540" w:type="dxa"/>
            <w:noWrap/>
            <w:vAlign w:val="center"/>
            <w:hideMark/>
          </w:tcPr>
          <w:p w14:paraId="46B0C6D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06C8548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December</w:t>
            </w:r>
          </w:p>
        </w:tc>
        <w:tc>
          <w:tcPr>
            <w:tcW w:w="1220" w:type="dxa"/>
            <w:noWrap/>
            <w:vAlign w:val="center"/>
            <w:hideMark/>
          </w:tcPr>
          <w:p w14:paraId="4E5EE07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4,073</w:t>
            </w:r>
          </w:p>
        </w:tc>
        <w:tc>
          <w:tcPr>
            <w:tcW w:w="2378" w:type="dxa"/>
            <w:noWrap/>
            <w:vAlign w:val="center"/>
            <w:hideMark/>
          </w:tcPr>
          <w:p w14:paraId="28D6C60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-5.2%</w:t>
            </w:r>
          </w:p>
        </w:tc>
      </w:tr>
      <w:tr w:rsidR="00073BFC" w:rsidRPr="00105FFC" w14:paraId="31D0EE1F" w14:textId="77777777" w:rsidTr="000D6C4B">
        <w:trPr>
          <w:trHeight w:val="315"/>
        </w:trPr>
        <w:tc>
          <w:tcPr>
            <w:tcW w:w="1540" w:type="dxa"/>
            <w:noWrap/>
            <w:vAlign w:val="center"/>
            <w:hideMark/>
          </w:tcPr>
          <w:p w14:paraId="7322C50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17ECA61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January</w:t>
            </w:r>
          </w:p>
        </w:tc>
        <w:tc>
          <w:tcPr>
            <w:tcW w:w="1220" w:type="dxa"/>
            <w:noWrap/>
            <w:vAlign w:val="center"/>
            <w:hideMark/>
          </w:tcPr>
          <w:p w14:paraId="6CAD45A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3,318</w:t>
            </w:r>
          </w:p>
        </w:tc>
        <w:tc>
          <w:tcPr>
            <w:tcW w:w="2378" w:type="dxa"/>
            <w:noWrap/>
            <w:vAlign w:val="center"/>
            <w:hideMark/>
          </w:tcPr>
          <w:p w14:paraId="4E5519F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-18.5%</w:t>
            </w:r>
          </w:p>
        </w:tc>
      </w:tr>
      <w:tr w:rsidR="00073BFC" w:rsidRPr="00105FFC" w14:paraId="0F944762" w14:textId="77777777" w:rsidTr="000D6C4B">
        <w:trPr>
          <w:trHeight w:val="315"/>
        </w:trPr>
        <w:tc>
          <w:tcPr>
            <w:tcW w:w="1540" w:type="dxa"/>
            <w:noWrap/>
            <w:vAlign w:val="center"/>
            <w:hideMark/>
          </w:tcPr>
          <w:p w14:paraId="374BDE4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7499FF8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February</w:t>
            </w:r>
          </w:p>
        </w:tc>
        <w:tc>
          <w:tcPr>
            <w:tcW w:w="1220" w:type="dxa"/>
            <w:noWrap/>
            <w:vAlign w:val="center"/>
            <w:hideMark/>
          </w:tcPr>
          <w:p w14:paraId="52EE07A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4,179</w:t>
            </w:r>
          </w:p>
        </w:tc>
        <w:tc>
          <w:tcPr>
            <w:tcW w:w="2378" w:type="dxa"/>
            <w:noWrap/>
            <w:vAlign w:val="center"/>
            <w:hideMark/>
          </w:tcPr>
          <w:p w14:paraId="10A7C74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26.0%</w:t>
            </w:r>
          </w:p>
        </w:tc>
      </w:tr>
      <w:tr w:rsidR="00073BFC" w:rsidRPr="00105FFC" w14:paraId="347BD55F" w14:textId="77777777" w:rsidTr="000D6C4B">
        <w:trPr>
          <w:trHeight w:val="315"/>
        </w:trPr>
        <w:tc>
          <w:tcPr>
            <w:tcW w:w="1540" w:type="dxa"/>
            <w:noWrap/>
            <w:vAlign w:val="center"/>
            <w:hideMark/>
          </w:tcPr>
          <w:p w14:paraId="46833F9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342C28A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March</w:t>
            </w:r>
          </w:p>
        </w:tc>
        <w:tc>
          <w:tcPr>
            <w:tcW w:w="1220" w:type="dxa"/>
            <w:noWrap/>
            <w:vAlign w:val="center"/>
            <w:hideMark/>
          </w:tcPr>
          <w:p w14:paraId="1D2148F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4,500</w:t>
            </w:r>
          </w:p>
        </w:tc>
        <w:tc>
          <w:tcPr>
            <w:tcW w:w="2378" w:type="dxa"/>
            <w:noWrap/>
            <w:vAlign w:val="center"/>
            <w:hideMark/>
          </w:tcPr>
          <w:p w14:paraId="20FA117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7.7%</w:t>
            </w:r>
          </w:p>
        </w:tc>
      </w:tr>
      <w:tr w:rsidR="00073BFC" w:rsidRPr="00105FFC" w14:paraId="444C9BC3" w14:textId="77777777" w:rsidTr="000D6C4B">
        <w:trPr>
          <w:trHeight w:val="315"/>
        </w:trPr>
        <w:tc>
          <w:tcPr>
            <w:tcW w:w="1540" w:type="dxa"/>
            <w:noWrap/>
            <w:vAlign w:val="center"/>
            <w:hideMark/>
          </w:tcPr>
          <w:p w14:paraId="0DB575A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056E6C5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April</w:t>
            </w:r>
          </w:p>
        </w:tc>
        <w:tc>
          <w:tcPr>
            <w:tcW w:w="1220" w:type="dxa"/>
            <w:noWrap/>
            <w:vAlign w:val="center"/>
            <w:hideMark/>
          </w:tcPr>
          <w:p w14:paraId="783F310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3,800</w:t>
            </w:r>
          </w:p>
        </w:tc>
        <w:tc>
          <w:tcPr>
            <w:tcW w:w="2378" w:type="dxa"/>
            <w:noWrap/>
            <w:vAlign w:val="center"/>
            <w:hideMark/>
          </w:tcPr>
          <w:p w14:paraId="2B49ABB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-15.6%</w:t>
            </w:r>
          </w:p>
        </w:tc>
      </w:tr>
      <w:tr w:rsidR="00073BFC" w:rsidRPr="00105FFC" w14:paraId="5C9BEF97" w14:textId="77777777" w:rsidTr="000D6C4B">
        <w:trPr>
          <w:trHeight w:val="315"/>
        </w:trPr>
        <w:tc>
          <w:tcPr>
            <w:tcW w:w="1540" w:type="dxa"/>
            <w:noWrap/>
            <w:vAlign w:val="center"/>
            <w:hideMark/>
          </w:tcPr>
          <w:p w14:paraId="4A00685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noWrap/>
            <w:vAlign w:val="center"/>
            <w:hideMark/>
          </w:tcPr>
          <w:p w14:paraId="0CAFF66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May</w:t>
            </w:r>
          </w:p>
        </w:tc>
        <w:tc>
          <w:tcPr>
            <w:tcW w:w="1220" w:type="dxa"/>
            <w:noWrap/>
            <w:vAlign w:val="center"/>
            <w:hideMark/>
          </w:tcPr>
          <w:p w14:paraId="558B84C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3,356</w:t>
            </w:r>
          </w:p>
        </w:tc>
        <w:tc>
          <w:tcPr>
            <w:tcW w:w="2378" w:type="dxa"/>
            <w:noWrap/>
            <w:vAlign w:val="center"/>
            <w:hideMark/>
          </w:tcPr>
          <w:p w14:paraId="6470F60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-11.7%</w:t>
            </w:r>
          </w:p>
        </w:tc>
      </w:tr>
      <w:tr w:rsidR="00073BFC" w:rsidRPr="00105FFC" w14:paraId="34B16CF3" w14:textId="77777777" w:rsidTr="000D6C4B">
        <w:trPr>
          <w:trHeight w:val="315"/>
        </w:trPr>
        <w:tc>
          <w:tcPr>
            <w:tcW w:w="1540" w:type="dxa"/>
            <w:tcBorders>
              <w:bottom w:val="single" w:sz="4" w:space="0" w:color="auto"/>
            </w:tcBorders>
            <w:noWrap/>
            <w:vAlign w:val="center"/>
            <w:hideMark/>
          </w:tcPr>
          <w:p w14:paraId="65436DC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1540" w:type="dxa"/>
            <w:tcBorders>
              <w:bottom w:val="single" w:sz="4" w:space="0" w:color="auto"/>
            </w:tcBorders>
            <w:noWrap/>
            <w:vAlign w:val="center"/>
            <w:hideMark/>
          </w:tcPr>
          <w:p w14:paraId="66D6BFF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June</w:t>
            </w:r>
          </w:p>
        </w:tc>
        <w:tc>
          <w:tcPr>
            <w:tcW w:w="1220" w:type="dxa"/>
            <w:tcBorders>
              <w:bottom w:val="single" w:sz="4" w:space="0" w:color="auto"/>
            </w:tcBorders>
            <w:noWrap/>
            <w:vAlign w:val="center"/>
            <w:hideMark/>
          </w:tcPr>
          <w:p w14:paraId="579000D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2,235</w:t>
            </w:r>
          </w:p>
        </w:tc>
        <w:tc>
          <w:tcPr>
            <w:tcW w:w="2378" w:type="dxa"/>
            <w:tcBorders>
              <w:bottom w:val="single" w:sz="4" w:space="0" w:color="auto"/>
            </w:tcBorders>
            <w:noWrap/>
            <w:vAlign w:val="center"/>
            <w:hideMark/>
          </w:tcPr>
          <w:p w14:paraId="4A7CE6D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-33.4%</w:t>
            </w:r>
          </w:p>
        </w:tc>
      </w:tr>
      <w:tr w:rsidR="00073BFC" w:rsidRPr="00105FFC" w14:paraId="47BCD011" w14:textId="77777777" w:rsidTr="000D6C4B">
        <w:trPr>
          <w:trHeight w:val="315"/>
        </w:trPr>
        <w:tc>
          <w:tcPr>
            <w:tcW w:w="1540" w:type="dxa"/>
            <w:shd w:val="clear" w:color="auto" w:fill="EAF1DD" w:themeFill="accent3" w:themeFillTint="33"/>
            <w:noWrap/>
            <w:vAlign w:val="center"/>
            <w:hideMark/>
          </w:tcPr>
          <w:p w14:paraId="15AD76C1"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Grand Total</w:t>
            </w:r>
          </w:p>
        </w:tc>
        <w:tc>
          <w:tcPr>
            <w:tcW w:w="1540" w:type="dxa"/>
            <w:shd w:val="clear" w:color="auto" w:fill="EAF1DD" w:themeFill="accent3" w:themeFillTint="33"/>
            <w:noWrap/>
            <w:vAlign w:val="center"/>
            <w:hideMark/>
          </w:tcPr>
          <w:p w14:paraId="3AB180BD" w14:textId="77777777" w:rsidR="00073BFC" w:rsidRPr="00105FFC" w:rsidRDefault="00073BFC" w:rsidP="00073BFC">
            <w:pPr>
              <w:jc w:val="center"/>
              <w:rPr>
                <w:rFonts w:asciiTheme="minorHAnsi" w:hAnsiTheme="minorHAnsi"/>
                <w:b/>
                <w:color w:val="000000"/>
                <w:sz w:val="20"/>
                <w:szCs w:val="20"/>
              </w:rPr>
            </w:pPr>
          </w:p>
        </w:tc>
        <w:tc>
          <w:tcPr>
            <w:tcW w:w="1220" w:type="dxa"/>
            <w:shd w:val="clear" w:color="auto" w:fill="EAF1DD" w:themeFill="accent3" w:themeFillTint="33"/>
            <w:noWrap/>
            <w:vAlign w:val="center"/>
            <w:hideMark/>
          </w:tcPr>
          <w:p w14:paraId="46A49618"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85,109</w:t>
            </w:r>
          </w:p>
        </w:tc>
        <w:tc>
          <w:tcPr>
            <w:tcW w:w="2378" w:type="dxa"/>
            <w:shd w:val="clear" w:color="auto" w:fill="EAF1DD" w:themeFill="accent3" w:themeFillTint="33"/>
            <w:noWrap/>
            <w:vAlign w:val="center"/>
            <w:hideMark/>
          </w:tcPr>
          <w:p w14:paraId="331F02D7" w14:textId="77777777" w:rsidR="00073BFC" w:rsidRPr="00105FFC" w:rsidRDefault="00073BFC" w:rsidP="00073BFC">
            <w:pPr>
              <w:jc w:val="center"/>
              <w:rPr>
                <w:rFonts w:asciiTheme="minorHAnsi" w:hAnsiTheme="minorHAnsi"/>
                <w:b/>
                <w:color w:val="000000"/>
                <w:sz w:val="20"/>
                <w:szCs w:val="20"/>
              </w:rPr>
            </w:pPr>
          </w:p>
        </w:tc>
      </w:tr>
    </w:tbl>
    <w:p w14:paraId="3186ED79" w14:textId="77777777" w:rsidR="00073BFC" w:rsidRPr="00105FFC" w:rsidRDefault="00073BFC" w:rsidP="00D44301">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w:t>
      </w:r>
      <w:r w:rsidRPr="00105FFC">
        <w:rPr>
          <w:rFonts w:asciiTheme="minorHAnsi" w:eastAsiaTheme="minorHAnsi" w:hAnsiTheme="minorHAnsi" w:cs="Tahoma"/>
          <w:bCs/>
          <w:sz w:val="16"/>
          <w:szCs w:val="16"/>
        </w:rPr>
        <w:t>the Medi-Cal Managed Care Division’s Office of the Ombudsman call center</w:t>
      </w:r>
      <w:r w:rsidRPr="00105FFC">
        <w:rPr>
          <w:rFonts w:asciiTheme="minorHAnsi" w:eastAsiaTheme="minorHAnsi" w:hAnsiTheme="minorHAnsi" w:cs="Tahoma"/>
          <w:sz w:val="16"/>
          <w:szCs w:val="16"/>
        </w:rPr>
        <w:t>.</w:t>
      </w:r>
    </w:p>
    <w:p w14:paraId="205117DF" w14:textId="77777777" w:rsidR="00073BFC" w:rsidRPr="00105FFC" w:rsidRDefault="00073BFC" w:rsidP="00D44301">
      <w:pPr>
        <w:spacing w:line="276" w:lineRule="auto"/>
        <w:rPr>
          <w:rFonts w:asciiTheme="minorHAnsi" w:eastAsiaTheme="minorHAnsi" w:hAnsiTheme="minorHAnsi" w:cs="Tahoma"/>
          <w:sz w:val="16"/>
          <w:szCs w:val="16"/>
        </w:rPr>
      </w:pPr>
    </w:p>
    <w:p w14:paraId="620D827A" w14:textId="77777777" w:rsidR="00073BFC" w:rsidRPr="00105FFC" w:rsidRDefault="00073BFC" w:rsidP="00047142">
      <w:pPr>
        <w:pStyle w:val="Heading3"/>
        <w:spacing w:before="0" w:after="120" w:line="276" w:lineRule="auto"/>
      </w:pPr>
      <w:bookmarkStart w:id="499" w:name="_Toc459287779"/>
      <w:r w:rsidRPr="00105FFC">
        <w:t>Calls Received from FFS Medi-Cal Beneficiaries, by Geographic Region</w:t>
      </w:r>
      <w:bookmarkEnd w:id="499"/>
    </w:p>
    <w:p w14:paraId="3B537290" w14:textId="77777777" w:rsidR="00073BFC" w:rsidRPr="00105FFC" w:rsidRDefault="00073BFC" w:rsidP="00047142">
      <w:pPr>
        <w:spacing w:after="120" w:line="276" w:lineRule="auto"/>
        <w:rPr>
          <w:rFonts w:asciiTheme="minorHAnsi" w:eastAsiaTheme="minorHAnsi" w:hAnsiTheme="minorHAnsi" w:cstheme="minorBidi"/>
        </w:rPr>
      </w:pPr>
      <w:r w:rsidRPr="00105FFC">
        <w:rPr>
          <w:rFonts w:asciiTheme="minorHAnsi" w:eastAsiaTheme="minorHAnsi" w:hAnsiTheme="minorHAnsi" w:cstheme="minorBidi"/>
        </w:rPr>
        <w:t xml:space="preserve">During SFYs 2013-14 and 2014-15, calls from FFS Medi-Cal beneficiaries residing in the Los Angeles and Southern California geographic regions exhibited a similar volume and a similar pattern, generally increasing through the fourth quarter of SFY 2013-14, then gradually decreasing with a slight uptick in volume during the fourth quarter of SFY 2014-15 (Figure </w:t>
      </w:r>
      <w:r w:rsidR="000F06D1" w:rsidRPr="00105FFC">
        <w:rPr>
          <w:rFonts w:asciiTheme="minorHAnsi" w:eastAsiaTheme="minorHAnsi" w:hAnsiTheme="minorHAnsi" w:cstheme="minorBidi"/>
        </w:rPr>
        <w:t>6</w:t>
      </w:r>
      <w:r w:rsidR="00F9361C">
        <w:rPr>
          <w:rFonts w:asciiTheme="minorHAnsi" w:eastAsiaTheme="minorHAnsi" w:hAnsiTheme="minorHAnsi" w:cstheme="minorBidi"/>
        </w:rPr>
        <w:t>3</w:t>
      </w:r>
      <w:r w:rsidRPr="00105FFC">
        <w:rPr>
          <w:rFonts w:asciiTheme="minorHAnsi" w:eastAsiaTheme="minorHAnsi" w:hAnsiTheme="minorHAnsi" w:cstheme="minorBidi"/>
        </w:rPr>
        <w:t>).</w:t>
      </w:r>
    </w:p>
    <w:p w14:paraId="0B5EDBE7" w14:textId="77777777" w:rsidR="00041458" w:rsidRPr="00105FFC" w:rsidRDefault="00041458">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br w:type="page"/>
      </w:r>
    </w:p>
    <w:p w14:paraId="5126DB5F" w14:textId="77777777" w:rsidR="00073BFC" w:rsidRPr="000E1B8E" w:rsidRDefault="000E1B8E" w:rsidP="000E1B8E">
      <w:pPr>
        <w:pStyle w:val="Caption"/>
        <w:spacing w:after="0"/>
        <w:rPr>
          <w:rFonts w:asciiTheme="minorHAnsi" w:eastAsiaTheme="minorHAnsi" w:hAnsiTheme="minorHAnsi" w:cstheme="minorBidi"/>
          <w:b w:val="0"/>
          <w:bCs w:val="0"/>
          <w:color w:val="000000" w:themeColor="text1"/>
          <w:sz w:val="20"/>
          <w:szCs w:val="20"/>
        </w:rPr>
      </w:pPr>
      <w:bookmarkStart w:id="500" w:name="_Toc458783001"/>
      <w:bookmarkStart w:id="501" w:name="_Toc459286744"/>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63</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073BFC" w:rsidRPr="000E1B8E">
        <w:rPr>
          <w:rFonts w:asciiTheme="minorHAnsi" w:eastAsiaTheme="minorHAnsi" w:hAnsiTheme="minorHAnsi" w:cstheme="minorBidi"/>
          <w:b w:val="0"/>
          <w:bCs w:val="0"/>
          <w:color w:val="000000" w:themeColor="text1"/>
          <w:sz w:val="20"/>
          <w:szCs w:val="20"/>
        </w:rPr>
        <w:t xml:space="preserve">Calls Received from FFS Medi-Cal Beneficiaries in SFYs 2013-14 and 2014-15, by </w:t>
      </w:r>
      <w:r w:rsidR="008734A9" w:rsidRPr="000E1B8E">
        <w:rPr>
          <w:rFonts w:asciiTheme="minorHAnsi" w:eastAsiaTheme="minorHAnsi" w:hAnsiTheme="minorHAnsi" w:cstheme="minorBidi"/>
          <w:b w:val="0"/>
          <w:bCs w:val="0"/>
          <w:color w:val="000000" w:themeColor="text1"/>
          <w:sz w:val="20"/>
          <w:szCs w:val="20"/>
        </w:rPr>
        <w:t xml:space="preserve">Geographic </w:t>
      </w:r>
      <w:r w:rsidR="00073BFC" w:rsidRPr="000E1B8E">
        <w:rPr>
          <w:rFonts w:asciiTheme="minorHAnsi" w:eastAsiaTheme="minorHAnsi" w:hAnsiTheme="minorHAnsi" w:cstheme="minorBidi"/>
          <w:b w:val="0"/>
          <w:bCs w:val="0"/>
          <w:color w:val="000000" w:themeColor="text1"/>
          <w:sz w:val="20"/>
          <w:szCs w:val="20"/>
        </w:rPr>
        <w:t>Region (Southern Only)</w:t>
      </w:r>
      <w:bookmarkEnd w:id="500"/>
      <w:bookmarkEnd w:id="501"/>
    </w:p>
    <w:p w14:paraId="5ABABD07" w14:textId="77777777" w:rsidR="00073BFC" w:rsidRPr="00105FFC" w:rsidRDefault="00073BFC" w:rsidP="00073BFC">
      <w:pPr>
        <w:spacing w:after="200" w:line="276" w:lineRule="auto"/>
        <w:rPr>
          <w:rFonts w:asciiTheme="minorHAnsi" w:eastAsiaTheme="minorHAnsi" w:hAnsiTheme="minorHAnsi" w:cs="Tahoma"/>
          <w:sz w:val="16"/>
          <w:szCs w:val="16"/>
        </w:rPr>
      </w:pPr>
      <w:r w:rsidRPr="00105FFC">
        <w:rPr>
          <w:rFonts w:asciiTheme="minorHAnsi" w:eastAsiaTheme="minorHAnsi" w:hAnsiTheme="minorHAnsi" w:cstheme="minorBidi"/>
          <w:noProof/>
          <w:sz w:val="22"/>
          <w:szCs w:val="22"/>
        </w:rPr>
        <w:drawing>
          <wp:inline distT="0" distB="0" distL="0" distR="0" wp14:anchorId="3E84706E" wp14:editId="79DA1049">
            <wp:extent cx="5943600" cy="3086100"/>
            <wp:effectExtent l="0" t="0" r="0" b="0"/>
            <wp:docPr id="51" name="Chart 51" descr="Los Angeles Qtr 1 2013-14: 671&#10;Los Angeles Qtr 2 2013-14: 1,636&#10;Los Angeles Qtr 3 2013-14: 2,078&#10;Los Angeles Qtr 4 2013-14: 2,608&#10;&#10;Los Angeles Qtr 1 2014-15: 2,463&#10;Los Angeles Qtr 2 2014-15: 1,863&#10;Los Angeles Qtr 3 2014-15: 1,105&#10;Los Angeles Qtr 4 2014-15: 1,192&#10;&#10;Southern California Qtr 1 2013-14: 1,189&#10;Southern California Qtr 2 2013-14: 1,244&#10;Southern California Qtr 3 2013-14: 1,856&#10;Southern California Qtr 4 2013-14: 3,032&#10;&#10;Southern California Qtr 1 2014-15: 2,517&#10;Southern California Qtr 2 2014-15: 2,081&#10;Southern California Qtr 3 2014-15: 1,746&#10;Southern California Qtr 4 2014-15: 2,180&#10;" title="Calls Received from FFS Medi-Cal Beneficiaries in SFYs 2013-14 and 2014-15, by Geographic Region (Southern Only)"/>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w:t>
      </w:r>
      <w:r w:rsidRPr="00105FFC">
        <w:rPr>
          <w:rFonts w:asciiTheme="minorHAnsi" w:eastAsiaTheme="minorHAnsi" w:hAnsiTheme="minorHAnsi" w:cs="Tahoma"/>
          <w:bCs/>
          <w:sz w:val="16"/>
          <w:szCs w:val="16"/>
        </w:rPr>
        <w:t>the Medi-Cal Managed Care Division’s Office of the Ombudsman call center</w:t>
      </w:r>
      <w:r w:rsidRPr="00105FFC">
        <w:rPr>
          <w:rFonts w:asciiTheme="minorHAnsi" w:eastAsiaTheme="minorHAnsi" w:hAnsiTheme="minorHAnsi" w:cs="Tahoma"/>
          <w:sz w:val="16"/>
          <w:szCs w:val="16"/>
        </w:rPr>
        <w:t xml:space="preserve">. </w:t>
      </w:r>
    </w:p>
    <w:p w14:paraId="48F29680" w14:textId="77777777" w:rsidR="00041458" w:rsidRPr="00105FFC" w:rsidRDefault="00041458" w:rsidP="00041458">
      <w:pPr>
        <w:spacing w:line="276" w:lineRule="auto"/>
        <w:rPr>
          <w:rFonts w:asciiTheme="minorHAnsi" w:eastAsiaTheme="minorHAnsi" w:hAnsiTheme="minorHAnsi" w:cstheme="minorBidi"/>
        </w:rPr>
      </w:pPr>
    </w:p>
    <w:p w14:paraId="1D8487FD" w14:textId="77777777" w:rsidR="00073BFC" w:rsidRPr="00105FFC" w:rsidRDefault="00073BFC" w:rsidP="00073BFC">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During SFYs 2013-14 and 2014-15, calls from FFS Medi-Cal beneficiaries residing outside the Los Angeles</w:t>
      </w:r>
      <w:r w:rsidRPr="00105FFC">
        <w:rPr>
          <w:rFonts w:asciiTheme="minorHAnsi" w:eastAsiaTheme="minorHAnsi" w:hAnsiTheme="minorHAnsi" w:cstheme="minorBidi"/>
          <w:sz w:val="22"/>
          <w:szCs w:val="22"/>
        </w:rPr>
        <w:t xml:space="preserve"> </w:t>
      </w:r>
      <w:r w:rsidRPr="00105FFC">
        <w:rPr>
          <w:rFonts w:asciiTheme="minorHAnsi" w:eastAsiaTheme="minorHAnsi" w:hAnsiTheme="minorHAnsi" w:cstheme="minorBidi"/>
        </w:rPr>
        <w:t>and Southern California geographic regions were concentrated in the Central Valley, Bay Area, and Sacramento Valley regions. Call volume in these three geographic regions showed similar patterns, spiking during the fourth quarter of SFY 2013-14</w:t>
      </w:r>
      <w:r w:rsidR="00D10F1C" w:rsidRPr="00105FFC">
        <w:rPr>
          <w:rFonts w:asciiTheme="minorHAnsi" w:eastAsiaTheme="minorHAnsi" w:hAnsiTheme="minorHAnsi" w:cstheme="minorBidi"/>
        </w:rPr>
        <w:t>. The spike in call volume that occurred in the Southern California geographic region during t</w:t>
      </w:r>
      <w:r w:rsidRPr="00105FFC">
        <w:rPr>
          <w:rFonts w:asciiTheme="minorHAnsi" w:eastAsiaTheme="minorHAnsi" w:hAnsiTheme="minorHAnsi" w:cstheme="minorBidi"/>
        </w:rPr>
        <w:t xml:space="preserve">he first quarter of SFY 2014-15 </w:t>
      </w:r>
      <w:r w:rsidR="00693080" w:rsidRPr="00105FFC">
        <w:rPr>
          <w:rFonts w:asciiTheme="minorHAnsi" w:eastAsiaTheme="minorHAnsi" w:hAnsiTheme="minorHAnsi" w:cstheme="minorBidi"/>
        </w:rPr>
        <w:t xml:space="preserve">is likely due the implementation of the CCI in San Diego County </w:t>
      </w:r>
      <w:r w:rsidRPr="00105FFC">
        <w:rPr>
          <w:rFonts w:asciiTheme="minorHAnsi" w:eastAsiaTheme="minorHAnsi" w:hAnsiTheme="minorHAnsi" w:cstheme="minorBidi"/>
        </w:rPr>
        <w:t xml:space="preserve">(Figure </w:t>
      </w:r>
      <w:r w:rsidR="00F9361C">
        <w:rPr>
          <w:rFonts w:asciiTheme="minorHAnsi" w:eastAsiaTheme="minorHAnsi" w:hAnsiTheme="minorHAnsi" w:cstheme="minorBidi"/>
        </w:rPr>
        <w:t>64</w:t>
      </w:r>
      <w:r w:rsidRPr="00105FFC">
        <w:rPr>
          <w:rFonts w:asciiTheme="minorHAnsi" w:eastAsiaTheme="minorHAnsi" w:hAnsiTheme="minorHAnsi" w:cstheme="minorBidi"/>
        </w:rPr>
        <w:t>).</w:t>
      </w:r>
    </w:p>
    <w:p w14:paraId="0061C670" w14:textId="77777777" w:rsidR="00041458" w:rsidRPr="00105FFC" w:rsidRDefault="00041458">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br w:type="page"/>
      </w:r>
    </w:p>
    <w:p w14:paraId="42065BC7" w14:textId="77777777" w:rsidR="00073BFC" w:rsidRPr="000E1B8E" w:rsidRDefault="000E1B8E" w:rsidP="000E1B8E">
      <w:pPr>
        <w:pStyle w:val="Caption"/>
        <w:spacing w:after="0"/>
        <w:rPr>
          <w:rFonts w:asciiTheme="minorHAnsi" w:eastAsiaTheme="minorHAnsi" w:hAnsiTheme="minorHAnsi" w:cstheme="minorBidi"/>
          <w:b w:val="0"/>
          <w:bCs w:val="0"/>
          <w:color w:val="000000" w:themeColor="text1"/>
          <w:sz w:val="20"/>
          <w:szCs w:val="20"/>
        </w:rPr>
      </w:pPr>
      <w:bookmarkStart w:id="502" w:name="_Toc458783002"/>
      <w:bookmarkStart w:id="503" w:name="_Toc459286745"/>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Pr>
          <w:rFonts w:asciiTheme="minorHAnsi" w:hAnsiTheme="minorHAnsi"/>
          <w:noProof/>
          <w:color w:val="000000" w:themeColor="text1"/>
          <w:sz w:val="20"/>
          <w:szCs w:val="20"/>
        </w:rPr>
        <w:t>64</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073BFC" w:rsidRPr="000E1B8E">
        <w:rPr>
          <w:rFonts w:asciiTheme="minorHAnsi" w:eastAsiaTheme="minorHAnsi" w:hAnsiTheme="minorHAnsi" w:cstheme="minorBidi"/>
          <w:b w:val="0"/>
          <w:bCs w:val="0"/>
          <w:color w:val="000000" w:themeColor="text1"/>
          <w:sz w:val="20"/>
          <w:szCs w:val="20"/>
        </w:rPr>
        <w:t xml:space="preserve">Calls Received from FFS Medi-Cal Beneficiaries in SFYs 2013-14 and 2014-15, by </w:t>
      </w:r>
      <w:r w:rsidR="008734A9" w:rsidRPr="000E1B8E">
        <w:rPr>
          <w:rFonts w:asciiTheme="minorHAnsi" w:eastAsiaTheme="minorHAnsi" w:hAnsiTheme="minorHAnsi" w:cstheme="minorBidi"/>
          <w:b w:val="0"/>
          <w:bCs w:val="0"/>
          <w:color w:val="000000" w:themeColor="text1"/>
          <w:sz w:val="20"/>
          <w:szCs w:val="20"/>
        </w:rPr>
        <w:t xml:space="preserve">Geographic </w:t>
      </w:r>
      <w:r w:rsidR="00073BFC" w:rsidRPr="000E1B8E">
        <w:rPr>
          <w:rFonts w:asciiTheme="minorHAnsi" w:eastAsiaTheme="minorHAnsi" w:hAnsiTheme="minorHAnsi" w:cstheme="minorBidi"/>
          <w:b w:val="0"/>
          <w:bCs w:val="0"/>
          <w:color w:val="000000" w:themeColor="text1"/>
          <w:sz w:val="20"/>
          <w:szCs w:val="20"/>
        </w:rPr>
        <w:t>Region (Non-Southern)</w:t>
      </w:r>
      <w:bookmarkEnd w:id="502"/>
      <w:bookmarkEnd w:id="503"/>
    </w:p>
    <w:p w14:paraId="08FBB7C4" w14:textId="77777777" w:rsidR="00073BFC" w:rsidRPr="00105FFC" w:rsidRDefault="00073BFC" w:rsidP="00041458">
      <w:pPr>
        <w:spacing w:line="276" w:lineRule="auto"/>
        <w:rPr>
          <w:rFonts w:asciiTheme="minorHAnsi" w:eastAsiaTheme="minorHAnsi" w:hAnsiTheme="minorHAnsi" w:cs="Tahoma"/>
          <w:sz w:val="16"/>
          <w:szCs w:val="16"/>
        </w:rPr>
      </w:pPr>
      <w:r w:rsidRPr="00105FFC">
        <w:rPr>
          <w:rFonts w:asciiTheme="minorHAnsi" w:eastAsiaTheme="minorHAnsi" w:hAnsiTheme="minorHAnsi" w:cstheme="minorBidi"/>
          <w:noProof/>
          <w:sz w:val="22"/>
          <w:szCs w:val="22"/>
        </w:rPr>
        <w:drawing>
          <wp:inline distT="0" distB="0" distL="0" distR="0" wp14:anchorId="3DAFC90A" wp14:editId="1BC05CAD">
            <wp:extent cx="5943600" cy="3134360"/>
            <wp:effectExtent l="0" t="0" r="0" b="8890"/>
            <wp:docPr id="52" name="Chart 52" descr="Bay Area Qtr 1 2013-14: 271&#10;Bay Area Qtr 2 2013-14: 289&#10;Bay Area Qtr 3 2013-14: 491&#10;Bay Area Qtr 4 2013-14: 641&#10;&#10;Bay Area Qtr 1 2014-15: 486&#10;Bay Area Qtr 2 2014-15: 410&#10;Bay Area Qtr 3 2014-15: 341&#10;Bay Area Qtr 4 2014-15: 451&#10;&#10;Cental Coast Qtr 1 2013-14: 99&#10;Cental Coast Qtr 2 2013-14: 96&#10;Cental Coast Qtr 3 2013-14: 123&#10;Cental Coast Qtr 4 2013-14: 106&#10;&#10;Cental Coast Qtr 1 2014-15: 88&#10;Cental Coast Qtr 2 2014-15: 71&#10;Cental Coast Qtr 3 2014-15: 81&#10;Cental Coast Qtr 4 2014-15: 80&#10;&#10;Cental Valley Qtr 1 2013-14: 298&#10;Cental Valley Qtr 2 2013-14: 325&#10;Cental Valley Qtr 3 2013-14: 536&#10;Cental Valley Qtr 4 2013-14: 975&#10;&#10;Cental Valley Qtr 1 2014-15: 1,046&#10;Cental Valley Qtr 2 2014-15: 617&#10;Cental Valley Qtr 3 2014-15: 562&#10;Cental Valley Qtr 4 2014-15: 576&#10;&#10;Far North Qtr 1 2013-14: 16&#10;Far North Qtr 2 2013-14: 0&#10;Far North Qtr 3 2013-14: 7&#10;Far North Qtr 4 2013-14: 2&#10;&#10;Far North Qtr 1 2014-15: 1&#10;Far North Qtr 2 2014-15: 2&#10;Far North Qtr 3 2014-15: 3&#10;Far North Qtr 4 2014-15: 8&#10;&#10;North Coast Qtr 1 2013-14: 18&#10;North Coast Qtr 2 2013-14: 12&#10;North Coast Qtr 3 2013-14: 4&#10;North Coast Qtr 4 2013-14: 9&#10;&#10;North Coast Qtr 1 2014-15: 5&#10;North Coast Qtr 2 2014-15: 6&#10;North Coast Qtr 3 2014-15: 0&#10;North Coast Qtr 4 2014-15: 1&#10;&#10;Sacramento Valley Qtr 1 2013-14: 261&#10;Sacramento Valley Qtr 2 2013-14: 235&#10;Sacramento Valley Qtr 3 2013-14: 483&#10;Sacramento Valley Qtr 4 2013-14: 515&#10;&#10;Sacramento Valley Qtr 1 2014-15: 363&#10;Sacramento Valley Qtr 2 2014-15: 234&#10;Sacramento Valley Qtr 3 2014-15: 201&#10;Sacramento Valley Qtr 4 2014-15: 266&#10;&#10;Sierra Range/Foothills Qtr 1 2013-14: 26&#10;Sierra Range/Foothills Qtr 2 2013-14: 43&#10;Sierra Range/Foothills Qtr 3 2013-14: 108&#10;Sierra Range/Foothills Qtr 4 2013-14: 66&#10;&#10;Sierra Range/Foothills Qtr 1 2014-15: 78&#10;Sierra Range/Foothills Qtr 2 2014-15: 84&#10;Sierra Range/Foothills Qtr 3 2014-15: 57&#10;Sierra Range/Foothills Qtr 4 2014-15: 82&#10;" title="Calls Received from FFS Medi-Cal Beneficiaries in SFYs 2013-14 and 2014-15, by Geographic Region (Non-Souther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w:t>
      </w:r>
      <w:r w:rsidRPr="00105FFC">
        <w:rPr>
          <w:rFonts w:asciiTheme="minorHAnsi" w:eastAsiaTheme="minorHAnsi" w:hAnsiTheme="minorHAnsi" w:cs="Tahoma"/>
          <w:bCs/>
          <w:sz w:val="16"/>
          <w:szCs w:val="16"/>
        </w:rPr>
        <w:t>the Medi-Cal Managed Care Division’s Office of the Ombudsman call center</w:t>
      </w:r>
      <w:r w:rsidRPr="00105FFC">
        <w:rPr>
          <w:rFonts w:asciiTheme="minorHAnsi" w:eastAsiaTheme="minorHAnsi" w:hAnsiTheme="minorHAnsi" w:cs="Tahoma"/>
          <w:sz w:val="16"/>
          <w:szCs w:val="16"/>
        </w:rPr>
        <w:t>.</w:t>
      </w:r>
    </w:p>
    <w:p w14:paraId="3BC58D3B" w14:textId="77777777" w:rsidR="00041458" w:rsidRPr="00105FFC" w:rsidRDefault="00041458" w:rsidP="00041458">
      <w:pPr>
        <w:spacing w:line="276" w:lineRule="auto"/>
        <w:rPr>
          <w:rFonts w:asciiTheme="minorHAnsi" w:eastAsiaTheme="minorHAnsi" w:hAnsiTheme="minorHAnsi" w:cstheme="minorBidi"/>
        </w:rPr>
      </w:pPr>
    </w:p>
    <w:p w14:paraId="24C7DEA9" w14:textId="77777777" w:rsidR="00073BFC" w:rsidRPr="00105FFC" w:rsidRDefault="00073BFC" w:rsidP="00041458">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During SFYs 2013-14 and 2014-15, the volume of calls from FFS Medi-Cal beneficiaries was concentrated in the heavily populated Southern California, Los Angeles, and Bay Area geographic regions, followed by the Central Valley and Sacramento Valley regions. Call volume exhibited significant fluctuation by geographic region, with the highest volumes generally seen during the second half of SFY 2013-14 and the first half of SFY 2014-15. A significant proportion of calls received were from beneficiaries whose geographic region of residence was unknown or not reported (Table </w:t>
      </w:r>
      <w:r w:rsidR="008D19CB">
        <w:rPr>
          <w:rFonts w:asciiTheme="minorHAnsi" w:eastAsiaTheme="minorHAnsi" w:hAnsiTheme="minorHAnsi" w:cstheme="minorBidi"/>
        </w:rPr>
        <w:t>47</w:t>
      </w:r>
      <w:r w:rsidRPr="00105FFC">
        <w:rPr>
          <w:rFonts w:asciiTheme="minorHAnsi" w:eastAsiaTheme="minorHAnsi" w:hAnsiTheme="minorHAnsi" w:cstheme="minorBidi"/>
        </w:rPr>
        <w:t>).</w:t>
      </w:r>
    </w:p>
    <w:p w14:paraId="7C427B2A" w14:textId="77777777" w:rsidR="00073BFC" w:rsidRPr="00105FFC" w:rsidRDefault="00073BFC" w:rsidP="00073BFC">
      <w:pPr>
        <w:spacing w:after="200" w:line="276" w:lineRule="auto"/>
        <w:rPr>
          <w:rFonts w:asciiTheme="minorHAnsi" w:eastAsiaTheme="minorHAnsi" w:hAnsiTheme="minorHAnsi" w:cs="Tahoma"/>
          <w:sz w:val="16"/>
          <w:szCs w:val="16"/>
        </w:rPr>
        <w:sectPr w:rsidR="00073BFC" w:rsidRPr="00105FFC" w:rsidSect="001975FD">
          <w:headerReference w:type="default" r:id="rId86"/>
          <w:footerReference w:type="default" r:id="rId87"/>
          <w:headerReference w:type="first" r:id="rId88"/>
          <w:footnotePr>
            <w:numFmt w:val="lowerRoman"/>
          </w:footnotePr>
          <w:endnotePr>
            <w:numFmt w:val="decimal"/>
          </w:endnotePr>
          <w:pgSz w:w="12240" w:h="15840"/>
          <w:pgMar w:top="1440" w:right="1440" w:bottom="1440" w:left="1440" w:header="720" w:footer="720" w:gutter="0"/>
          <w:cols w:space="720"/>
          <w:titlePg/>
          <w:docGrid w:linePitch="360"/>
        </w:sectPr>
      </w:pPr>
      <w:r w:rsidRPr="00105FFC">
        <w:rPr>
          <w:rFonts w:asciiTheme="minorHAnsi" w:eastAsiaTheme="minorHAnsi" w:hAnsiTheme="minorHAnsi" w:cs="Tahoma"/>
          <w:sz w:val="16"/>
          <w:szCs w:val="16"/>
        </w:rPr>
        <w:br w:type="page"/>
      </w:r>
    </w:p>
    <w:p w14:paraId="1D7BEF99" w14:textId="77777777" w:rsidR="00073BFC" w:rsidRPr="00105FFC" w:rsidRDefault="008734A9" w:rsidP="00073BFC">
      <w:pPr>
        <w:rPr>
          <w:rFonts w:asciiTheme="minorHAnsi" w:eastAsiaTheme="minorHAnsi" w:hAnsiTheme="minorHAnsi" w:cstheme="minorBidi"/>
          <w:bCs/>
          <w:sz w:val="20"/>
          <w:szCs w:val="20"/>
        </w:rPr>
      </w:pPr>
      <w:bookmarkStart w:id="504" w:name="_Toc458783146"/>
      <w:bookmarkStart w:id="505" w:name="_Toc459285192"/>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47</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Calls Received from FFS Medi-Cal Beneficiaries in SFYs 2013-14 and 2014-15, by </w:t>
      </w:r>
      <w:r w:rsidRPr="00105FFC">
        <w:rPr>
          <w:rFonts w:asciiTheme="minorHAnsi" w:eastAsiaTheme="minorHAnsi" w:hAnsiTheme="minorHAnsi" w:cstheme="minorBidi"/>
          <w:bCs/>
          <w:sz w:val="20"/>
          <w:szCs w:val="20"/>
        </w:rPr>
        <w:t xml:space="preserve">Geographic </w:t>
      </w:r>
      <w:r w:rsidR="00073BFC" w:rsidRPr="00105FFC">
        <w:rPr>
          <w:rFonts w:asciiTheme="minorHAnsi" w:eastAsiaTheme="minorHAnsi" w:hAnsiTheme="minorHAnsi" w:cstheme="minorBidi"/>
          <w:bCs/>
          <w:sz w:val="20"/>
          <w:szCs w:val="20"/>
        </w:rPr>
        <w:t>Region and Month</w:t>
      </w:r>
      <w:bookmarkEnd w:id="504"/>
      <w:bookmarkEnd w:id="505"/>
    </w:p>
    <w:tbl>
      <w:tblPr>
        <w:tblStyle w:val="TableGrid3"/>
        <w:tblW w:w="0" w:type="auto"/>
        <w:tblLook w:val="04A0" w:firstRow="1" w:lastRow="0" w:firstColumn="1" w:lastColumn="0" w:noHBand="0" w:noVBand="1"/>
      </w:tblPr>
      <w:tblGrid>
        <w:gridCol w:w="738"/>
        <w:gridCol w:w="869"/>
        <w:gridCol w:w="674"/>
        <w:gridCol w:w="819"/>
        <w:gridCol w:w="819"/>
        <w:gridCol w:w="704"/>
        <w:gridCol w:w="870"/>
        <w:gridCol w:w="704"/>
        <w:gridCol w:w="1211"/>
        <w:gridCol w:w="1317"/>
        <w:gridCol w:w="1016"/>
        <w:gridCol w:w="1108"/>
      </w:tblGrid>
      <w:tr w:rsidR="00073BFC" w:rsidRPr="00105FFC" w14:paraId="6721A9A4" w14:textId="77777777" w:rsidTr="00F36F86">
        <w:trPr>
          <w:trHeight w:val="315"/>
          <w:tblHeader/>
        </w:trPr>
        <w:tc>
          <w:tcPr>
            <w:tcW w:w="738" w:type="dxa"/>
            <w:shd w:val="clear" w:color="auto" w:fill="F2F2F2" w:themeFill="background1" w:themeFillShade="F2"/>
            <w:noWrap/>
            <w:vAlign w:val="center"/>
            <w:hideMark/>
          </w:tcPr>
          <w:p w14:paraId="36A38571"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State Fiscal Year</w:t>
            </w:r>
          </w:p>
        </w:tc>
        <w:tc>
          <w:tcPr>
            <w:tcW w:w="869" w:type="dxa"/>
            <w:shd w:val="clear" w:color="auto" w:fill="F2F2F2" w:themeFill="background1" w:themeFillShade="F2"/>
            <w:noWrap/>
            <w:vAlign w:val="center"/>
            <w:hideMark/>
          </w:tcPr>
          <w:p w14:paraId="3A43171E"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Month</w:t>
            </w:r>
          </w:p>
        </w:tc>
        <w:tc>
          <w:tcPr>
            <w:tcW w:w="674" w:type="dxa"/>
            <w:shd w:val="clear" w:color="auto" w:fill="F2F2F2" w:themeFill="background1" w:themeFillShade="F2"/>
            <w:noWrap/>
            <w:vAlign w:val="center"/>
            <w:hideMark/>
          </w:tcPr>
          <w:p w14:paraId="3ADAB649"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Bay Area</w:t>
            </w:r>
          </w:p>
        </w:tc>
        <w:tc>
          <w:tcPr>
            <w:tcW w:w="819" w:type="dxa"/>
            <w:shd w:val="clear" w:color="auto" w:fill="F2F2F2" w:themeFill="background1" w:themeFillShade="F2"/>
            <w:noWrap/>
            <w:vAlign w:val="center"/>
            <w:hideMark/>
          </w:tcPr>
          <w:p w14:paraId="738FE6EF"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Central Coast</w:t>
            </w:r>
          </w:p>
        </w:tc>
        <w:tc>
          <w:tcPr>
            <w:tcW w:w="819" w:type="dxa"/>
            <w:shd w:val="clear" w:color="auto" w:fill="F2F2F2" w:themeFill="background1" w:themeFillShade="F2"/>
            <w:noWrap/>
            <w:vAlign w:val="center"/>
            <w:hideMark/>
          </w:tcPr>
          <w:p w14:paraId="729B458C"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Central Valley</w:t>
            </w:r>
          </w:p>
        </w:tc>
        <w:tc>
          <w:tcPr>
            <w:tcW w:w="704" w:type="dxa"/>
            <w:shd w:val="clear" w:color="auto" w:fill="F2F2F2" w:themeFill="background1" w:themeFillShade="F2"/>
            <w:noWrap/>
            <w:vAlign w:val="center"/>
            <w:hideMark/>
          </w:tcPr>
          <w:p w14:paraId="49C80D43"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Far North</w:t>
            </w:r>
          </w:p>
        </w:tc>
        <w:tc>
          <w:tcPr>
            <w:tcW w:w="870" w:type="dxa"/>
            <w:shd w:val="clear" w:color="auto" w:fill="F2F2F2" w:themeFill="background1" w:themeFillShade="F2"/>
            <w:noWrap/>
            <w:vAlign w:val="center"/>
            <w:hideMark/>
          </w:tcPr>
          <w:p w14:paraId="1AB1917E"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Los Angeles</w:t>
            </w:r>
          </w:p>
        </w:tc>
        <w:tc>
          <w:tcPr>
            <w:tcW w:w="704" w:type="dxa"/>
            <w:shd w:val="clear" w:color="auto" w:fill="F2F2F2" w:themeFill="background1" w:themeFillShade="F2"/>
            <w:noWrap/>
            <w:vAlign w:val="center"/>
            <w:hideMark/>
          </w:tcPr>
          <w:p w14:paraId="2927538F"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North Coast</w:t>
            </w:r>
          </w:p>
        </w:tc>
        <w:tc>
          <w:tcPr>
            <w:tcW w:w="1211" w:type="dxa"/>
            <w:shd w:val="clear" w:color="auto" w:fill="F2F2F2" w:themeFill="background1" w:themeFillShade="F2"/>
            <w:noWrap/>
            <w:vAlign w:val="center"/>
            <w:hideMark/>
          </w:tcPr>
          <w:p w14:paraId="64BD650C"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Sacramento Valley</w:t>
            </w:r>
          </w:p>
        </w:tc>
        <w:tc>
          <w:tcPr>
            <w:tcW w:w="1317" w:type="dxa"/>
            <w:shd w:val="clear" w:color="auto" w:fill="F2F2F2" w:themeFill="background1" w:themeFillShade="F2"/>
            <w:noWrap/>
            <w:vAlign w:val="center"/>
            <w:hideMark/>
          </w:tcPr>
          <w:p w14:paraId="50DA5DDE"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Sierra Range/</w:t>
            </w:r>
            <w:r w:rsidRPr="00105FFC">
              <w:rPr>
                <w:rFonts w:asciiTheme="minorHAnsi" w:eastAsiaTheme="minorHAnsi" w:hAnsiTheme="minorHAnsi" w:cstheme="minorBidi"/>
                <w:b/>
                <w:bCs/>
                <w:sz w:val="20"/>
                <w:szCs w:val="20"/>
              </w:rPr>
              <w:br/>
              <w:t>Foothills</w:t>
            </w:r>
          </w:p>
        </w:tc>
        <w:tc>
          <w:tcPr>
            <w:tcW w:w="1016" w:type="dxa"/>
            <w:shd w:val="clear" w:color="auto" w:fill="F2F2F2" w:themeFill="background1" w:themeFillShade="F2"/>
            <w:noWrap/>
            <w:vAlign w:val="center"/>
            <w:hideMark/>
          </w:tcPr>
          <w:p w14:paraId="644FE5B0"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Southern California</w:t>
            </w:r>
          </w:p>
        </w:tc>
        <w:tc>
          <w:tcPr>
            <w:tcW w:w="1108" w:type="dxa"/>
            <w:shd w:val="clear" w:color="auto" w:fill="F2F2F2" w:themeFill="background1" w:themeFillShade="F2"/>
            <w:noWrap/>
            <w:vAlign w:val="center"/>
            <w:hideMark/>
          </w:tcPr>
          <w:p w14:paraId="682B7B2F" w14:textId="77777777" w:rsidR="00073BFC" w:rsidRPr="00105FFC" w:rsidRDefault="00073BFC" w:rsidP="00073BFC">
            <w:pPr>
              <w:jc w:val="center"/>
              <w:rPr>
                <w:rFonts w:asciiTheme="minorHAnsi" w:eastAsiaTheme="minorHAnsi" w:hAnsiTheme="minorHAnsi" w:cstheme="minorBidi"/>
                <w:b/>
                <w:bCs/>
                <w:sz w:val="20"/>
                <w:szCs w:val="20"/>
              </w:rPr>
            </w:pPr>
            <w:r w:rsidRPr="00105FFC">
              <w:rPr>
                <w:rFonts w:asciiTheme="minorHAnsi" w:eastAsiaTheme="minorHAnsi" w:hAnsiTheme="minorHAnsi" w:cstheme="minorBidi"/>
                <w:b/>
                <w:bCs/>
                <w:sz w:val="20"/>
                <w:szCs w:val="20"/>
              </w:rPr>
              <w:t>Unknown/</w:t>
            </w:r>
            <w:r w:rsidRPr="00105FFC">
              <w:rPr>
                <w:rFonts w:asciiTheme="minorHAnsi" w:eastAsiaTheme="minorHAnsi" w:hAnsiTheme="minorHAnsi" w:cstheme="minorBidi"/>
                <w:b/>
                <w:bCs/>
                <w:sz w:val="20"/>
                <w:szCs w:val="20"/>
              </w:rPr>
              <w:br/>
              <w:t>Not Reported</w:t>
            </w:r>
          </w:p>
        </w:tc>
      </w:tr>
      <w:tr w:rsidR="00FF5978" w:rsidRPr="00105FFC" w14:paraId="536F8486" w14:textId="77777777" w:rsidTr="00346C1C">
        <w:trPr>
          <w:trHeight w:val="260"/>
        </w:trPr>
        <w:tc>
          <w:tcPr>
            <w:tcW w:w="738" w:type="dxa"/>
            <w:noWrap/>
            <w:vAlign w:val="center"/>
            <w:hideMark/>
          </w:tcPr>
          <w:p w14:paraId="1175E42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72BF65E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July</w:t>
            </w:r>
          </w:p>
        </w:tc>
        <w:tc>
          <w:tcPr>
            <w:tcW w:w="674" w:type="dxa"/>
            <w:noWrap/>
            <w:vAlign w:val="center"/>
            <w:hideMark/>
          </w:tcPr>
          <w:p w14:paraId="33B4C9F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89</w:t>
            </w:r>
          </w:p>
        </w:tc>
        <w:tc>
          <w:tcPr>
            <w:tcW w:w="819" w:type="dxa"/>
            <w:noWrap/>
            <w:vAlign w:val="center"/>
            <w:hideMark/>
          </w:tcPr>
          <w:p w14:paraId="39B52FE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36</w:t>
            </w:r>
          </w:p>
        </w:tc>
        <w:tc>
          <w:tcPr>
            <w:tcW w:w="819" w:type="dxa"/>
            <w:noWrap/>
            <w:vAlign w:val="center"/>
            <w:hideMark/>
          </w:tcPr>
          <w:p w14:paraId="76FB473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111</w:t>
            </w:r>
          </w:p>
        </w:tc>
        <w:tc>
          <w:tcPr>
            <w:tcW w:w="704" w:type="dxa"/>
            <w:noWrap/>
            <w:hideMark/>
          </w:tcPr>
          <w:p w14:paraId="20E91AAC"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29B109C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205</w:t>
            </w:r>
          </w:p>
        </w:tc>
        <w:tc>
          <w:tcPr>
            <w:tcW w:w="704" w:type="dxa"/>
            <w:noWrap/>
            <w:vAlign w:val="center"/>
            <w:hideMark/>
          </w:tcPr>
          <w:p w14:paraId="07D11A92" w14:textId="77777777" w:rsidR="00FF5978" w:rsidRPr="00105FFC" w:rsidRDefault="00FF5978" w:rsidP="00FF5978">
            <w:pP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211" w:type="dxa"/>
            <w:noWrap/>
            <w:vAlign w:val="center"/>
            <w:hideMark/>
          </w:tcPr>
          <w:p w14:paraId="7BF50F8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101</w:t>
            </w:r>
          </w:p>
        </w:tc>
        <w:tc>
          <w:tcPr>
            <w:tcW w:w="1317" w:type="dxa"/>
            <w:noWrap/>
            <w:vAlign w:val="center"/>
            <w:hideMark/>
          </w:tcPr>
          <w:p w14:paraId="0360B81C" w14:textId="77777777" w:rsidR="00FF5978" w:rsidRPr="00105FFC" w:rsidRDefault="00FF5978" w:rsidP="00FF5978">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016" w:type="dxa"/>
            <w:noWrap/>
            <w:vAlign w:val="center"/>
            <w:hideMark/>
          </w:tcPr>
          <w:p w14:paraId="3083C18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354</w:t>
            </w:r>
          </w:p>
        </w:tc>
        <w:tc>
          <w:tcPr>
            <w:tcW w:w="1108" w:type="dxa"/>
            <w:noWrap/>
            <w:vAlign w:val="center"/>
            <w:hideMark/>
          </w:tcPr>
          <w:p w14:paraId="49A4D44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w:t>
            </w:r>
          </w:p>
        </w:tc>
      </w:tr>
      <w:tr w:rsidR="00FF5978" w:rsidRPr="00105FFC" w14:paraId="282F6A4A" w14:textId="77777777" w:rsidTr="00346C1C">
        <w:trPr>
          <w:trHeight w:val="260"/>
        </w:trPr>
        <w:tc>
          <w:tcPr>
            <w:tcW w:w="738" w:type="dxa"/>
            <w:noWrap/>
            <w:vAlign w:val="center"/>
            <w:hideMark/>
          </w:tcPr>
          <w:p w14:paraId="783BEA6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2D9BAC6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Aug.</w:t>
            </w:r>
          </w:p>
        </w:tc>
        <w:tc>
          <w:tcPr>
            <w:tcW w:w="674" w:type="dxa"/>
            <w:noWrap/>
            <w:vAlign w:val="center"/>
            <w:hideMark/>
          </w:tcPr>
          <w:p w14:paraId="483206E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124</w:t>
            </w:r>
          </w:p>
        </w:tc>
        <w:tc>
          <w:tcPr>
            <w:tcW w:w="819" w:type="dxa"/>
            <w:noWrap/>
            <w:vAlign w:val="center"/>
            <w:hideMark/>
          </w:tcPr>
          <w:p w14:paraId="423F555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43</w:t>
            </w:r>
          </w:p>
        </w:tc>
        <w:tc>
          <w:tcPr>
            <w:tcW w:w="819" w:type="dxa"/>
            <w:noWrap/>
            <w:vAlign w:val="center"/>
            <w:hideMark/>
          </w:tcPr>
          <w:p w14:paraId="12BA7FE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98</w:t>
            </w:r>
          </w:p>
        </w:tc>
        <w:tc>
          <w:tcPr>
            <w:tcW w:w="704" w:type="dxa"/>
            <w:noWrap/>
            <w:hideMark/>
          </w:tcPr>
          <w:p w14:paraId="17CA1784"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3EF4DED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179</w:t>
            </w:r>
          </w:p>
        </w:tc>
        <w:tc>
          <w:tcPr>
            <w:tcW w:w="704" w:type="dxa"/>
            <w:noWrap/>
            <w:vAlign w:val="center"/>
            <w:hideMark/>
          </w:tcPr>
          <w:p w14:paraId="5314FD26" w14:textId="77777777" w:rsidR="00FF5978" w:rsidRPr="00105FFC" w:rsidRDefault="00FF5978" w:rsidP="00FF5978">
            <w:pP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211" w:type="dxa"/>
            <w:noWrap/>
            <w:vAlign w:val="center"/>
            <w:hideMark/>
          </w:tcPr>
          <w:p w14:paraId="674072F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85</w:t>
            </w:r>
          </w:p>
        </w:tc>
        <w:tc>
          <w:tcPr>
            <w:tcW w:w="1317" w:type="dxa"/>
            <w:noWrap/>
            <w:vAlign w:val="center"/>
            <w:hideMark/>
          </w:tcPr>
          <w:p w14:paraId="2E887276" w14:textId="77777777" w:rsidR="00FF5978" w:rsidRPr="00105FFC" w:rsidRDefault="00FF5978" w:rsidP="00FF5978">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016" w:type="dxa"/>
            <w:noWrap/>
            <w:vAlign w:val="center"/>
            <w:hideMark/>
          </w:tcPr>
          <w:p w14:paraId="439BD9D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426</w:t>
            </w:r>
          </w:p>
        </w:tc>
        <w:tc>
          <w:tcPr>
            <w:tcW w:w="1108" w:type="dxa"/>
            <w:noWrap/>
            <w:vAlign w:val="center"/>
            <w:hideMark/>
          </w:tcPr>
          <w:p w14:paraId="4D00865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w:t>
            </w:r>
          </w:p>
        </w:tc>
      </w:tr>
      <w:tr w:rsidR="00FF5978" w:rsidRPr="00105FFC" w14:paraId="5B3C5C7D" w14:textId="77777777" w:rsidTr="00346C1C">
        <w:trPr>
          <w:trHeight w:val="260"/>
        </w:trPr>
        <w:tc>
          <w:tcPr>
            <w:tcW w:w="738" w:type="dxa"/>
            <w:noWrap/>
            <w:vAlign w:val="center"/>
            <w:hideMark/>
          </w:tcPr>
          <w:p w14:paraId="3E0D5DD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21D4F8F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Sept.</w:t>
            </w:r>
          </w:p>
        </w:tc>
        <w:tc>
          <w:tcPr>
            <w:tcW w:w="674" w:type="dxa"/>
            <w:noWrap/>
            <w:vAlign w:val="center"/>
            <w:hideMark/>
          </w:tcPr>
          <w:p w14:paraId="025FCDA3"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58</w:t>
            </w:r>
          </w:p>
        </w:tc>
        <w:tc>
          <w:tcPr>
            <w:tcW w:w="819" w:type="dxa"/>
            <w:noWrap/>
            <w:vAlign w:val="center"/>
            <w:hideMark/>
          </w:tcPr>
          <w:p w14:paraId="306098A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20</w:t>
            </w:r>
          </w:p>
        </w:tc>
        <w:tc>
          <w:tcPr>
            <w:tcW w:w="819" w:type="dxa"/>
            <w:noWrap/>
            <w:vAlign w:val="center"/>
            <w:hideMark/>
          </w:tcPr>
          <w:p w14:paraId="04CCAEC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89</w:t>
            </w:r>
          </w:p>
        </w:tc>
        <w:tc>
          <w:tcPr>
            <w:tcW w:w="704" w:type="dxa"/>
            <w:noWrap/>
            <w:hideMark/>
          </w:tcPr>
          <w:p w14:paraId="3B5A3261"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0E4B998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287</w:t>
            </w:r>
          </w:p>
        </w:tc>
        <w:tc>
          <w:tcPr>
            <w:tcW w:w="704" w:type="dxa"/>
            <w:noWrap/>
            <w:vAlign w:val="center"/>
            <w:hideMark/>
          </w:tcPr>
          <w:p w14:paraId="054D3479" w14:textId="77777777" w:rsidR="00FF5978" w:rsidRPr="00105FFC" w:rsidRDefault="00FF5978" w:rsidP="00FF5978">
            <w:pP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211" w:type="dxa"/>
            <w:noWrap/>
            <w:vAlign w:val="center"/>
            <w:hideMark/>
          </w:tcPr>
          <w:p w14:paraId="7DE2BF6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75</w:t>
            </w:r>
          </w:p>
        </w:tc>
        <w:tc>
          <w:tcPr>
            <w:tcW w:w="1317" w:type="dxa"/>
            <w:noWrap/>
            <w:vAlign w:val="center"/>
            <w:hideMark/>
          </w:tcPr>
          <w:p w14:paraId="7ED69EA6" w14:textId="77777777" w:rsidR="00FF5978" w:rsidRPr="00105FFC" w:rsidRDefault="00FF5978" w:rsidP="00FF5978">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016" w:type="dxa"/>
            <w:noWrap/>
            <w:vAlign w:val="center"/>
            <w:hideMark/>
          </w:tcPr>
          <w:p w14:paraId="0A912F6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409</w:t>
            </w:r>
          </w:p>
        </w:tc>
        <w:tc>
          <w:tcPr>
            <w:tcW w:w="1108" w:type="dxa"/>
            <w:noWrap/>
            <w:vAlign w:val="center"/>
            <w:hideMark/>
          </w:tcPr>
          <w:p w14:paraId="7ED562C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w:t>
            </w:r>
          </w:p>
        </w:tc>
      </w:tr>
      <w:tr w:rsidR="00FF5978" w:rsidRPr="00105FFC" w14:paraId="74EF6469" w14:textId="77777777" w:rsidTr="00346C1C">
        <w:trPr>
          <w:trHeight w:val="260"/>
        </w:trPr>
        <w:tc>
          <w:tcPr>
            <w:tcW w:w="738" w:type="dxa"/>
            <w:noWrap/>
            <w:vAlign w:val="center"/>
            <w:hideMark/>
          </w:tcPr>
          <w:p w14:paraId="35B517B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7F5C1F1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Oct.</w:t>
            </w:r>
          </w:p>
        </w:tc>
        <w:tc>
          <w:tcPr>
            <w:tcW w:w="674" w:type="dxa"/>
            <w:noWrap/>
            <w:vAlign w:val="center"/>
            <w:hideMark/>
          </w:tcPr>
          <w:p w14:paraId="0C22DF5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81</w:t>
            </w:r>
          </w:p>
        </w:tc>
        <w:tc>
          <w:tcPr>
            <w:tcW w:w="819" w:type="dxa"/>
            <w:noWrap/>
            <w:vAlign w:val="center"/>
            <w:hideMark/>
          </w:tcPr>
          <w:p w14:paraId="30DE3EC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20</w:t>
            </w:r>
          </w:p>
        </w:tc>
        <w:tc>
          <w:tcPr>
            <w:tcW w:w="819" w:type="dxa"/>
            <w:noWrap/>
            <w:vAlign w:val="center"/>
            <w:hideMark/>
          </w:tcPr>
          <w:p w14:paraId="591A568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118</w:t>
            </w:r>
          </w:p>
        </w:tc>
        <w:tc>
          <w:tcPr>
            <w:tcW w:w="704" w:type="dxa"/>
            <w:noWrap/>
            <w:hideMark/>
          </w:tcPr>
          <w:p w14:paraId="6275EF13"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6161A60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532</w:t>
            </w:r>
          </w:p>
        </w:tc>
        <w:tc>
          <w:tcPr>
            <w:tcW w:w="704" w:type="dxa"/>
            <w:noWrap/>
            <w:vAlign w:val="center"/>
            <w:hideMark/>
          </w:tcPr>
          <w:p w14:paraId="7A2B83F4" w14:textId="77777777" w:rsidR="00FF5978" w:rsidRPr="00105FFC" w:rsidRDefault="00FF5978" w:rsidP="00FF5978">
            <w:pP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211" w:type="dxa"/>
            <w:noWrap/>
            <w:vAlign w:val="center"/>
            <w:hideMark/>
          </w:tcPr>
          <w:p w14:paraId="72721BE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91</w:t>
            </w:r>
          </w:p>
        </w:tc>
        <w:tc>
          <w:tcPr>
            <w:tcW w:w="1317" w:type="dxa"/>
            <w:noWrap/>
            <w:vAlign w:val="center"/>
            <w:hideMark/>
          </w:tcPr>
          <w:p w14:paraId="1EA64FB5" w14:textId="77777777" w:rsidR="00FF5978" w:rsidRPr="00105FFC" w:rsidRDefault="00FF5978" w:rsidP="00FF5978">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016" w:type="dxa"/>
            <w:noWrap/>
            <w:vAlign w:val="center"/>
            <w:hideMark/>
          </w:tcPr>
          <w:p w14:paraId="6D4C88E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395</w:t>
            </w:r>
          </w:p>
        </w:tc>
        <w:tc>
          <w:tcPr>
            <w:tcW w:w="1108" w:type="dxa"/>
            <w:noWrap/>
            <w:vAlign w:val="center"/>
            <w:hideMark/>
          </w:tcPr>
          <w:p w14:paraId="2C2DD27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0</w:t>
            </w:r>
          </w:p>
        </w:tc>
      </w:tr>
      <w:tr w:rsidR="00FF5978" w:rsidRPr="00105FFC" w14:paraId="63948BC5" w14:textId="77777777" w:rsidTr="00346C1C">
        <w:trPr>
          <w:trHeight w:val="260"/>
        </w:trPr>
        <w:tc>
          <w:tcPr>
            <w:tcW w:w="738" w:type="dxa"/>
            <w:noWrap/>
            <w:vAlign w:val="center"/>
            <w:hideMark/>
          </w:tcPr>
          <w:p w14:paraId="1EEBF9C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5DDABF1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Nov.</w:t>
            </w:r>
          </w:p>
        </w:tc>
        <w:tc>
          <w:tcPr>
            <w:tcW w:w="674" w:type="dxa"/>
            <w:noWrap/>
            <w:vAlign w:val="center"/>
            <w:hideMark/>
          </w:tcPr>
          <w:p w14:paraId="2BE1566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90</w:t>
            </w:r>
          </w:p>
        </w:tc>
        <w:tc>
          <w:tcPr>
            <w:tcW w:w="819" w:type="dxa"/>
            <w:noWrap/>
            <w:vAlign w:val="center"/>
            <w:hideMark/>
          </w:tcPr>
          <w:p w14:paraId="7EBC9C1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10</w:t>
            </w:r>
          </w:p>
        </w:tc>
        <w:tc>
          <w:tcPr>
            <w:tcW w:w="819" w:type="dxa"/>
            <w:noWrap/>
            <w:vAlign w:val="center"/>
            <w:hideMark/>
          </w:tcPr>
          <w:p w14:paraId="24BCDCB3"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75</w:t>
            </w:r>
          </w:p>
        </w:tc>
        <w:tc>
          <w:tcPr>
            <w:tcW w:w="704" w:type="dxa"/>
            <w:noWrap/>
            <w:hideMark/>
          </w:tcPr>
          <w:p w14:paraId="7C6B774C"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41CC884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425</w:t>
            </w:r>
          </w:p>
        </w:tc>
        <w:tc>
          <w:tcPr>
            <w:tcW w:w="704" w:type="dxa"/>
            <w:noWrap/>
            <w:vAlign w:val="center"/>
            <w:hideMark/>
          </w:tcPr>
          <w:p w14:paraId="5E942A4F" w14:textId="77777777" w:rsidR="00FF5978" w:rsidRPr="00105FFC" w:rsidRDefault="00FF5978" w:rsidP="00FF5978">
            <w:pP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211" w:type="dxa"/>
            <w:noWrap/>
            <w:vAlign w:val="center"/>
            <w:hideMark/>
          </w:tcPr>
          <w:p w14:paraId="75280CD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76</w:t>
            </w:r>
          </w:p>
        </w:tc>
        <w:tc>
          <w:tcPr>
            <w:tcW w:w="1317" w:type="dxa"/>
            <w:noWrap/>
            <w:vAlign w:val="center"/>
            <w:hideMark/>
          </w:tcPr>
          <w:p w14:paraId="1C815C6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w:t>
            </w:r>
          </w:p>
        </w:tc>
        <w:tc>
          <w:tcPr>
            <w:tcW w:w="1016" w:type="dxa"/>
            <w:noWrap/>
            <w:vAlign w:val="center"/>
            <w:hideMark/>
          </w:tcPr>
          <w:p w14:paraId="29C30CE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360</w:t>
            </w:r>
          </w:p>
        </w:tc>
        <w:tc>
          <w:tcPr>
            <w:tcW w:w="1108" w:type="dxa"/>
            <w:noWrap/>
            <w:vAlign w:val="center"/>
            <w:hideMark/>
          </w:tcPr>
          <w:p w14:paraId="3AD39F5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w:t>
            </w:r>
          </w:p>
        </w:tc>
      </w:tr>
      <w:tr w:rsidR="00FF5978" w:rsidRPr="00105FFC" w14:paraId="4D24285B" w14:textId="77777777" w:rsidTr="00346C1C">
        <w:trPr>
          <w:trHeight w:val="260"/>
        </w:trPr>
        <w:tc>
          <w:tcPr>
            <w:tcW w:w="738" w:type="dxa"/>
            <w:noWrap/>
            <w:vAlign w:val="center"/>
            <w:hideMark/>
          </w:tcPr>
          <w:p w14:paraId="54C2E32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5390254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Dec.</w:t>
            </w:r>
          </w:p>
        </w:tc>
        <w:tc>
          <w:tcPr>
            <w:tcW w:w="674" w:type="dxa"/>
            <w:noWrap/>
            <w:vAlign w:val="center"/>
            <w:hideMark/>
          </w:tcPr>
          <w:p w14:paraId="5BF403A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118</w:t>
            </w:r>
          </w:p>
        </w:tc>
        <w:tc>
          <w:tcPr>
            <w:tcW w:w="819" w:type="dxa"/>
            <w:noWrap/>
            <w:vAlign w:val="center"/>
            <w:hideMark/>
          </w:tcPr>
          <w:p w14:paraId="3B3C906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66</w:t>
            </w:r>
          </w:p>
        </w:tc>
        <w:tc>
          <w:tcPr>
            <w:tcW w:w="819" w:type="dxa"/>
            <w:noWrap/>
            <w:vAlign w:val="center"/>
            <w:hideMark/>
          </w:tcPr>
          <w:p w14:paraId="1D7CB9D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132</w:t>
            </w:r>
          </w:p>
        </w:tc>
        <w:tc>
          <w:tcPr>
            <w:tcW w:w="704" w:type="dxa"/>
            <w:noWrap/>
            <w:hideMark/>
          </w:tcPr>
          <w:p w14:paraId="54F2B264"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7DB28A2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679</w:t>
            </w:r>
          </w:p>
        </w:tc>
        <w:tc>
          <w:tcPr>
            <w:tcW w:w="704" w:type="dxa"/>
            <w:noWrap/>
            <w:vAlign w:val="center"/>
            <w:hideMark/>
          </w:tcPr>
          <w:p w14:paraId="456A1218" w14:textId="77777777" w:rsidR="00FF5978" w:rsidRPr="00105FFC" w:rsidRDefault="00FF5978" w:rsidP="00FF5978">
            <w:pP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211" w:type="dxa"/>
            <w:noWrap/>
            <w:vAlign w:val="center"/>
            <w:hideMark/>
          </w:tcPr>
          <w:p w14:paraId="1144F12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68</w:t>
            </w:r>
          </w:p>
        </w:tc>
        <w:tc>
          <w:tcPr>
            <w:tcW w:w="1317" w:type="dxa"/>
            <w:noWrap/>
            <w:vAlign w:val="center"/>
            <w:hideMark/>
          </w:tcPr>
          <w:p w14:paraId="1CE4DF4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22</w:t>
            </w:r>
          </w:p>
        </w:tc>
        <w:tc>
          <w:tcPr>
            <w:tcW w:w="1016" w:type="dxa"/>
            <w:noWrap/>
            <w:vAlign w:val="center"/>
            <w:hideMark/>
          </w:tcPr>
          <w:p w14:paraId="13568CC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489</w:t>
            </w:r>
          </w:p>
        </w:tc>
        <w:tc>
          <w:tcPr>
            <w:tcW w:w="1108" w:type="dxa"/>
            <w:noWrap/>
            <w:vAlign w:val="center"/>
            <w:hideMark/>
          </w:tcPr>
          <w:p w14:paraId="7A63439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0</w:t>
            </w:r>
          </w:p>
        </w:tc>
      </w:tr>
      <w:tr w:rsidR="00FF5978" w:rsidRPr="00105FFC" w14:paraId="69BC2966" w14:textId="77777777" w:rsidTr="00346C1C">
        <w:trPr>
          <w:trHeight w:val="260"/>
        </w:trPr>
        <w:tc>
          <w:tcPr>
            <w:tcW w:w="738" w:type="dxa"/>
            <w:noWrap/>
            <w:vAlign w:val="center"/>
            <w:hideMark/>
          </w:tcPr>
          <w:p w14:paraId="7F2D0FA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7EBFAA9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Jan.</w:t>
            </w:r>
          </w:p>
        </w:tc>
        <w:tc>
          <w:tcPr>
            <w:tcW w:w="674" w:type="dxa"/>
            <w:noWrap/>
            <w:vAlign w:val="center"/>
            <w:hideMark/>
          </w:tcPr>
          <w:p w14:paraId="1A00C3D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183</w:t>
            </w:r>
          </w:p>
        </w:tc>
        <w:tc>
          <w:tcPr>
            <w:tcW w:w="819" w:type="dxa"/>
            <w:noWrap/>
            <w:vAlign w:val="center"/>
            <w:hideMark/>
          </w:tcPr>
          <w:p w14:paraId="2A66E11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48</w:t>
            </w:r>
          </w:p>
        </w:tc>
        <w:tc>
          <w:tcPr>
            <w:tcW w:w="819" w:type="dxa"/>
            <w:noWrap/>
            <w:vAlign w:val="center"/>
            <w:hideMark/>
          </w:tcPr>
          <w:p w14:paraId="47D6B14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175</w:t>
            </w:r>
          </w:p>
        </w:tc>
        <w:tc>
          <w:tcPr>
            <w:tcW w:w="704" w:type="dxa"/>
            <w:noWrap/>
            <w:hideMark/>
          </w:tcPr>
          <w:p w14:paraId="125B12C3"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4AEB77E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689</w:t>
            </w:r>
          </w:p>
        </w:tc>
        <w:tc>
          <w:tcPr>
            <w:tcW w:w="704" w:type="dxa"/>
            <w:noWrap/>
            <w:hideMark/>
          </w:tcPr>
          <w:p w14:paraId="46633062" w14:textId="77777777" w:rsidR="00FF5978" w:rsidRDefault="00FF5978" w:rsidP="00FF5978">
            <w:r w:rsidRPr="00C626EA">
              <w:rPr>
                <w:rFonts w:asciiTheme="minorHAnsi" w:eastAsiaTheme="minorHAnsi" w:hAnsiTheme="minorHAnsi" w:cstheme="minorBidi"/>
                <w:sz w:val="20"/>
                <w:szCs w:val="20"/>
              </w:rPr>
              <w:t>&lt;11</w:t>
            </w:r>
          </w:p>
        </w:tc>
        <w:tc>
          <w:tcPr>
            <w:tcW w:w="1211" w:type="dxa"/>
            <w:noWrap/>
            <w:vAlign w:val="center"/>
            <w:hideMark/>
          </w:tcPr>
          <w:p w14:paraId="6643EF2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198</w:t>
            </w:r>
          </w:p>
        </w:tc>
        <w:tc>
          <w:tcPr>
            <w:tcW w:w="1317" w:type="dxa"/>
            <w:noWrap/>
            <w:vAlign w:val="center"/>
            <w:hideMark/>
          </w:tcPr>
          <w:p w14:paraId="573B677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74</w:t>
            </w:r>
          </w:p>
        </w:tc>
        <w:tc>
          <w:tcPr>
            <w:tcW w:w="1016" w:type="dxa"/>
            <w:noWrap/>
            <w:vAlign w:val="center"/>
            <w:hideMark/>
          </w:tcPr>
          <w:p w14:paraId="1CFC289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544</w:t>
            </w:r>
          </w:p>
        </w:tc>
        <w:tc>
          <w:tcPr>
            <w:tcW w:w="1108" w:type="dxa"/>
            <w:noWrap/>
            <w:vAlign w:val="center"/>
            <w:hideMark/>
          </w:tcPr>
          <w:p w14:paraId="10AD770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228</w:t>
            </w:r>
          </w:p>
        </w:tc>
      </w:tr>
      <w:tr w:rsidR="00FF5978" w:rsidRPr="00105FFC" w14:paraId="5AD29D9D" w14:textId="77777777" w:rsidTr="00346C1C">
        <w:trPr>
          <w:trHeight w:val="260"/>
        </w:trPr>
        <w:tc>
          <w:tcPr>
            <w:tcW w:w="738" w:type="dxa"/>
            <w:noWrap/>
            <w:vAlign w:val="center"/>
            <w:hideMark/>
          </w:tcPr>
          <w:p w14:paraId="728D106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28BC5F1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Feb.</w:t>
            </w:r>
          </w:p>
        </w:tc>
        <w:tc>
          <w:tcPr>
            <w:tcW w:w="674" w:type="dxa"/>
            <w:noWrap/>
            <w:vAlign w:val="center"/>
            <w:hideMark/>
          </w:tcPr>
          <w:p w14:paraId="5D99F83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184</w:t>
            </w:r>
          </w:p>
        </w:tc>
        <w:tc>
          <w:tcPr>
            <w:tcW w:w="819" w:type="dxa"/>
            <w:noWrap/>
            <w:vAlign w:val="center"/>
            <w:hideMark/>
          </w:tcPr>
          <w:p w14:paraId="76D4022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37</w:t>
            </w:r>
          </w:p>
        </w:tc>
        <w:tc>
          <w:tcPr>
            <w:tcW w:w="819" w:type="dxa"/>
            <w:noWrap/>
            <w:vAlign w:val="center"/>
            <w:hideMark/>
          </w:tcPr>
          <w:p w14:paraId="3E64CBB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157</w:t>
            </w:r>
          </w:p>
        </w:tc>
        <w:tc>
          <w:tcPr>
            <w:tcW w:w="704" w:type="dxa"/>
            <w:noWrap/>
            <w:hideMark/>
          </w:tcPr>
          <w:p w14:paraId="3BE83B6B"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573C4F1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750</w:t>
            </w:r>
          </w:p>
        </w:tc>
        <w:tc>
          <w:tcPr>
            <w:tcW w:w="704" w:type="dxa"/>
            <w:noWrap/>
            <w:hideMark/>
          </w:tcPr>
          <w:p w14:paraId="3FB2E951" w14:textId="77777777" w:rsidR="00FF5978" w:rsidRDefault="00FF5978" w:rsidP="00FF5978">
            <w:r w:rsidRPr="00C626EA">
              <w:rPr>
                <w:rFonts w:asciiTheme="minorHAnsi" w:eastAsiaTheme="minorHAnsi" w:hAnsiTheme="minorHAnsi" w:cstheme="minorBidi"/>
                <w:sz w:val="20"/>
                <w:szCs w:val="20"/>
              </w:rPr>
              <w:t>&lt;11</w:t>
            </w:r>
          </w:p>
        </w:tc>
        <w:tc>
          <w:tcPr>
            <w:tcW w:w="1211" w:type="dxa"/>
            <w:noWrap/>
            <w:vAlign w:val="center"/>
            <w:hideMark/>
          </w:tcPr>
          <w:p w14:paraId="4DAD989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164</w:t>
            </w:r>
          </w:p>
        </w:tc>
        <w:tc>
          <w:tcPr>
            <w:tcW w:w="1317" w:type="dxa"/>
            <w:noWrap/>
            <w:vAlign w:val="center"/>
            <w:hideMark/>
          </w:tcPr>
          <w:p w14:paraId="17C40D1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22</w:t>
            </w:r>
          </w:p>
        </w:tc>
        <w:tc>
          <w:tcPr>
            <w:tcW w:w="1016" w:type="dxa"/>
            <w:noWrap/>
            <w:vAlign w:val="center"/>
            <w:hideMark/>
          </w:tcPr>
          <w:p w14:paraId="5735CC5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685</w:t>
            </w:r>
          </w:p>
        </w:tc>
        <w:tc>
          <w:tcPr>
            <w:tcW w:w="1108" w:type="dxa"/>
            <w:noWrap/>
            <w:vAlign w:val="center"/>
            <w:hideMark/>
          </w:tcPr>
          <w:p w14:paraId="45EE1CC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159</w:t>
            </w:r>
          </w:p>
        </w:tc>
      </w:tr>
      <w:tr w:rsidR="00FF5978" w:rsidRPr="00105FFC" w14:paraId="504A17D7" w14:textId="77777777" w:rsidTr="00346C1C">
        <w:trPr>
          <w:trHeight w:val="260"/>
        </w:trPr>
        <w:tc>
          <w:tcPr>
            <w:tcW w:w="738" w:type="dxa"/>
            <w:noWrap/>
            <w:vAlign w:val="center"/>
            <w:hideMark/>
          </w:tcPr>
          <w:p w14:paraId="5CF5670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4D7E4CF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March</w:t>
            </w:r>
          </w:p>
        </w:tc>
        <w:tc>
          <w:tcPr>
            <w:tcW w:w="674" w:type="dxa"/>
            <w:noWrap/>
            <w:vAlign w:val="center"/>
            <w:hideMark/>
          </w:tcPr>
          <w:p w14:paraId="015B55E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124</w:t>
            </w:r>
          </w:p>
        </w:tc>
        <w:tc>
          <w:tcPr>
            <w:tcW w:w="819" w:type="dxa"/>
            <w:noWrap/>
            <w:vAlign w:val="center"/>
            <w:hideMark/>
          </w:tcPr>
          <w:p w14:paraId="27FB654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38</w:t>
            </w:r>
          </w:p>
        </w:tc>
        <w:tc>
          <w:tcPr>
            <w:tcW w:w="819" w:type="dxa"/>
            <w:noWrap/>
            <w:vAlign w:val="center"/>
            <w:hideMark/>
          </w:tcPr>
          <w:p w14:paraId="7268E68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204</w:t>
            </w:r>
          </w:p>
        </w:tc>
        <w:tc>
          <w:tcPr>
            <w:tcW w:w="704" w:type="dxa"/>
            <w:noWrap/>
            <w:hideMark/>
          </w:tcPr>
          <w:p w14:paraId="3D619670"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63D5156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639</w:t>
            </w:r>
          </w:p>
        </w:tc>
        <w:tc>
          <w:tcPr>
            <w:tcW w:w="704" w:type="dxa"/>
            <w:noWrap/>
            <w:vAlign w:val="center"/>
            <w:hideMark/>
          </w:tcPr>
          <w:p w14:paraId="00A43FDC" w14:textId="77777777" w:rsidR="00FF5978" w:rsidRPr="00105FFC" w:rsidRDefault="00FF5978" w:rsidP="00FF5978">
            <w:pPr>
              <w:rPr>
                <w:rFonts w:asciiTheme="minorHAnsi" w:eastAsiaTheme="minorHAnsi" w:hAnsiTheme="minorHAnsi" w:cstheme="minorBidi"/>
                <w:sz w:val="20"/>
                <w:szCs w:val="20"/>
              </w:rPr>
            </w:pPr>
            <w:r>
              <w:rPr>
                <w:rFonts w:asciiTheme="minorHAnsi" w:eastAsiaTheme="minorHAnsi" w:hAnsiTheme="minorHAnsi" w:cstheme="minorBidi"/>
                <w:sz w:val="20"/>
                <w:szCs w:val="20"/>
              </w:rPr>
              <w:t>&lt;11</w:t>
            </w:r>
          </w:p>
        </w:tc>
        <w:tc>
          <w:tcPr>
            <w:tcW w:w="1211" w:type="dxa"/>
            <w:noWrap/>
            <w:vAlign w:val="center"/>
            <w:hideMark/>
          </w:tcPr>
          <w:p w14:paraId="38328A0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121</w:t>
            </w:r>
          </w:p>
        </w:tc>
        <w:tc>
          <w:tcPr>
            <w:tcW w:w="1317" w:type="dxa"/>
            <w:noWrap/>
            <w:vAlign w:val="center"/>
            <w:hideMark/>
          </w:tcPr>
          <w:p w14:paraId="05E6F83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12</w:t>
            </w:r>
          </w:p>
        </w:tc>
        <w:tc>
          <w:tcPr>
            <w:tcW w:w="1016" w:type="dxa"/>
            <w:noWrap/>
            <w:vAlign w:val="center"/>
            <w:hideMark/>
          </w:tcPr>
          <w:p w14:paraId="08CDB6C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627</w:t>
            </w:r>
          </w:p>
        </w:tc>
        <w:tc>
          <w:tcPr>
            <w:tcW w:w="1108" w:type="dxa"/>
            <w:noWrap/>
            <w:vAlign w:val="center"/>
            <w:hideMark/>
          </w:tcPr>
          <w:p w14:paraId="56E9540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185</w:t>
            </w:r>
          </w:p>
        </w:tc>
      </w:tr>
      <w:tr w:rsidR="00FF5978" w:rsidRPr="00105FFC" w14:paraId="1691FE57" w14:textId="77777777" w:rsidTr="00346C1C">
        <w:trPr>
          <w:trHeight w:val="260"/>
        </w:trPr>
        <w:tc>
          <w:tcPr>
            <w:tcW w:w="738" w:type="dxa"/>
            <w:noWrap/>
            <w:vAlign w:val="center"/>
            <w:hideMark/>
          </w:tcPr>
          <w:p w14:paraId="458177E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12E0FEB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April</w:t>
            </w:r>
          </w:p>
        </w:tc>
        <w:tc>
          <w:tcPr>
            <w:tcW w:w="674" w:type="dxa"/>
            <w:noWrap/>
            <w:vAlign w:val="center"/>
            <w:hideMark/>
          </w:tcPr>
          <w:p w14:paraId="5C9824E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218</w:t>
            </w:r>
          </w:p>
        </w:tc>
        <w:tc>
          <w:tcPr>
            <w:tcW w:w="819" w:type="dxa"/>
            <w:noWrap/>
            <w:vAlign w:val="center"/>
            <w:hideMark/>
          </w:tcPr>
          <w:p w14:paraId="53CD29E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40</w:t>
            </w:r>
          </w:p>
        </w:tc>
        <w:tc>
          <w:tcPr>
            <w:tcW w:w="819" w:type="dxa"/>
            <w:noWrap/>
            <w:vAlign w:val="center"/>
            <w:hideMark/>
          </w:tcPr>
          <w:p w14:paraId="00CE722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274</w:t>
            </w:r>
          </w:p>
        </w:tc>
        <w:tc>
          <w:tcPr>
            <w:tcW w:w="704" w:type="dxa"/>
            <w:noWrap/>
            <w:hideMark/>
          </w:tcPr>
          <w:p w14:paraId="0AFDB163"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418AE26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837</w:t>
            </w:r>
          </w:p>
        </w:tc>
        <w:tc>
          <w:tcPr>
            <w:tcW w:w="704" w:type="dxa"/>
            <w:noWrap/>
            <w:hideMark/>
          </w:tcPr>
          <w:p w14:paraId="081D7589"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6D32C33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183</w:t>
            </w:r>
          </w:p>
        </w:tc>
        <w:tc>
          <w:tcPr>
            <w:tcW w:w="1317" w:type="dxa"/>
            <w:noWrap/>
            <w:vAlign w:val="center"/>
            <w:hideMark/>
          </w:tcPr>
          <w:p w14:paraId="4F77E28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26</w:t>
            </w:r>
          </w:p>
        </w:tc>
        <w:tc>
          <w:tcPr>
            <w:tcW w:w="1016" w:type="dxa"/>
            <w:noWrap/>
            <w:vAlign w:val="center"/>
            <w:hideMark/>
          </w:tcPr>
          <w:p w14:paraId="453A553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993</w:t>
            </w:r>
          </w:p>
        </w:tc>
        <w:tc>
          <w:tcPr>
            <w:tcW w:w="1108" w:type="dxa"/>
            <w:noWrap/>
            <w:vAlign w:val="center"/>
            <w:hideMark/>
          </w:tcPr>
          <w:p w14:paraId="69E5238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1,113</w:t>
            </w:r>
          </w:p>
        </w:tc>
      </w:tr>
      <w:tr w:rsidR="00FF5978" w:rsidRPr="00105FFC" w14:paraId="6363ADB5" w14:textId="77777777" w:rsidTr="00346C1C">
        <w:trPr>
          <w:trHeight w:val="260"/>
        </w:trPr>
        <w:tc>
          <w:tcPr>
            <w:tcW w:w="738" w:type="dxa"/>
            <w:noWrap/>
            <w:vAlign w:val="center"/>
            <w:hideMark/>
          </w:tcPr>
          <w:p w14:paraId="79D71DD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4CA0402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May</w:t>
            </w:r>
          </w:p>
        </w:tc>
        <w:tc>
          <w:tcPr>
            <w:tcW w:w="674" w:type="dxa"/>
            <w:noWrap/>
            <w:vAlign w:val="center"/>
            <w:hideMark/>
          </w:tcPr>
          <w:p w14:paraId="3AC9246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217</w:t>
            </w:r>
          </w:p>
        </w:tc>
        <w:tc>
          <w:tcPr>
            <w:tcW w:w="819" w:type="dxa"/>
            <w:noWrap/>
            <w:vAlign w:val="center"/>
            <w:hideMark/>
          </w:tcPr>
          <w:p w14:paraId="51866B4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32</w:t>
            </w:r>
          </w:p>
        </w:tc>
        <w:tc>
          <w:tcPr>
            <w:tcW w:w="819" w:type="dxa"/>
            <w:noWrap/>
            <w:vAlign w:val="center"/>
            <w:hideMark/>
          </w:tcPr>
          <w:p w14:paraId="2CCE067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332</w:t>
            </w:r>
          </w:p>
        </w:tc>
        <w:tc>
          <w:tcPr>
            <w:tcW w:w="704" w:type="dxa"/>
            <w:noWrap/>
            <w:hideMark/>
          </w:tcPr>
          <w:p w14:paraId="76DAD93F"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44CD33C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985</w:t>
            </w:r>
          </w:p>
        </w:tc>
        <w:tc>
          <w:tcPr>
            <w:tcW w:w="704" w:type="dxa"/>
            <w:noWrap/>
            <w:hideMark/>
          </w:tcPr>
          <w:p w14:paraId="0F4951A9"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0ACE827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169</w:t>
            </w:r>
          </w:p>
        </w:tc>
        <w:tc>
          <w:tcPr>
            <w:tcW w:w="1317" w:type="dxa"/>
            <w:noWrap/>
            <w:vAlign w:val="center"/>
            <w:hideMark/>
          </w:tcPr>
          <w:p w14:paraId="2F708A7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w:t>
            </w:r>
          </w:p>
        </w:tc>
        <w:tc>
          <w:tcPr>
            <w:tcW w:w="1016" w:type="dxa"/>
            <w:noWrap/>
            <w:vAlign w:val="center"/>
            <w:hideMark/>
          </w:tcPr>
          <w:p w14:paraId="0B7CD2A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1,032</w:t>
            </w:r>
          </w:p>
        </w:tc>
        <w:tc>
          <w:tcPr>
            <w:tcW w:w="1108" w:type="dxa"/>
            <w:noWrap/>
            <w:vAlign w:val="center"/>
            <w:hideMark/>
          </w:tcPr>
          <w:p w14:paraId="4EA9CE7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2,496</w:t>
            </w:r>
          </w:p>
        </w:tc>
      </w:tr>
      <w:tr w:rsidR="00FF5978" w:rsidRPr="00105FFC" w14:paraId="65E6BC4D" w14:textId="77777777" w:rsidTr="00346C1C">
        <w:trPr>
          <w:trHeight w:val="260"/>
        </w:trPr>
        <w:tc>
          <w:tcPr>
            <w:tcW w:w="738" w:type="dxa"/>
            <w:noWrap/>
            <w:vAlign w:val="center"/>
            <w:hideMark/>
          </w:tcPr>
          <w:p w14:paraId="020BF53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13-14</w:t>
            </w:r>
          </w:p>
        </w:tc>
        <w:tc>
          <w:tcPr>
            <w:tcW w:w="869" w:type="dxa"/>
            <w:noWrap/>
            <w:vAlign w:val="center"/>
            <w:hideMark/>
          </w:tcPr>
          <w:p w14:paraId="1FCAE72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June</w:t>
            </w:r>
          </w:p>
        </w:tc>
        <w:tc>
          <w:tcPr>
            <w:tcW w:w="674" w:type="dxa"/>
            <w:noWrap/>
            <w:vAlign w:val="center"/>
            <w:hideMark/>
          </w:tcPr>
          <w:p w14:paraId="461237B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206</w:t>
            </w:r>
          </w:p>
        </w:tc>
        <w:tc>
          <w:tcPr>
            <w:tcW w:w="819" w:type="dxa"/>
            <w:noWrap/>
            <w:vAlign w:val="center"/>
            <w:hideMark/>
          </w:tcPr>
          <w:p w14:paraId="43EFED4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34</w:t>
            </w:r>
          </w:p>
        </w:tc>
        <w:tc>
          <w:tcPr>
            <w:tcW w:w="819" w:type="dxa"/>
            <w:noWrap/>
            <w:vAlign w:val="center"/>
            <w:hideMark/>
          </w:tcPr>
          <w:p w14:paraId="666D899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369</w:t>
            </w:r>
          </w:p>
        </w:tc>
        <w:tc>
          <w:tcPr>
            <w:tcW w:w="704" w:type="dxa"/>
            <w:noWrap/>
            <w:hideMark/>
          </w:tcPr>
          <w:p w14:paraId="134346F0"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17050EB3"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786</w:t>
            </w:r>
          </w:p>
        </w:tc>
        <w:tc>
          <w:tcPr>
            <w:tcW w:w="704" w:type="dxa"/>
            <w:noWrap/>
            <w:hideMark/>
          </w:tcPr>
          <w:p w14:paraId="3811B4A1"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1A4B68E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163</w:t>
            </w:r>
          </w:p>
        </w:tc>
        <w:tc>
          <w:tcPr>
            <w:tcW w:w="1317" w:type="dxa"/>
            <w:noWrap/>
            <w:vAlign w:val="center"/>
            <w:hideMark/>
          </w:tcPr>
          <w:p w14:paraId="5A03DBF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24</w:t>
            </w:r>
          </w:p>
        </w:tc>
        <w:tc>
          <w:tcPr>
            <w:tcW w:w="1016" w:type="dxa"/>
            <w:noWrap/>
            <w:vAlign w:val="center"/>
            <w:hideMark/>
          </w:tcPr>
          <w:p w14:paraId="6119F36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1,007</w:t>
            </w:r>
          </w:p>
        </w:tc>
        <w:tc>
          <w:tcPr>
            <w:tcW w:w="1108" w:type="dxa"/>
            <w:noWrap/>
            <w:vAlign w:val="center"/>
            <w:hideMark/>
          </w:tcPr>
          <w:p w14:paraId="3B9BDFD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4,471</w:t>
            </w:r>
          </w:p>
        </w:tc>
      </w:tr>
      <w:tr w:rsidR="00FF5978" w:rsidRPr="00105FFC" w14:paraId="64FB64AB" w14:textId="77777777" w:rsidTr="00346C1C">
        <w:trPr>
          <w:trHeight w:val="260"/>
        </w:trPr>
        <w:tc>
          <w:tcPr>
            <w:tcW w:w="738" w:type="dxa"/>
            <w:noWrap/>
            <w:vAlign w:val="center"/>
            <w:hideMark/>
          </w:tcPr>
          <w:p w14:paraId="5FD2D29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35E5543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July</w:t>
            </w:r>
          </w:p>
        </w:tc>
        <w:tc>
          <w:tcPr>
            <w:tcW w:w="674" w:type="dxa"/>
            <w:noWrap/>
            <w:vAlign w:val="center"/>
            <w:hideMark/>
          </w:tcPr>
          <w:p w14:paraId="39DD147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172</w:t>
            </w:r>
          </w:p>
        </w:tc>
        <w:tc>
          <w:tcPr>
            <w:tcW w:w="819" w:type="dxa"/>
            <w:noWrap/>
            <w:vAlign w:val="center"/>
            <w:hideMark/>
          </w:tcPr>
          <w:p w14:paraId="716688B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32</w:t>
            </w:r>
          </w:p>
        </w:tc>
        <w:tc>
          <w:tcPr>
            <w:tcW w:w="819" w:type="dxa"/>
            <w:noWrap/>
            <w:vAlign w:val="center"/>
            <w:hideMark/>
          </w:tcPr>
          <w:p w14:paraId="0598E2B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413</w:t>
            </w:r>
          </w:p>
        </w:tc>
        <w:tc>
          <w:tcPr>
            <w:tcW w:w="704" w:type="dxa"/>
            <w:noWrap/>
            <w:hideMark/>
          </w:tcPr>
          <w:p w14:paraId="553EBD3B"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62EE5B1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833</w:t>
            </w:r>
          </w:p>
        </w:tc>
        <w:tc>
          <w:tcPr>
            <w:tcW w:w="704" w:type="dxa"/>
            <w:noWrap/>
            <w:hideMark/>
          </w:tcPr>
          <w:p w14:paraId="6D299FAD"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70DFA8A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151</w:t>
            </w:r>
          </w:p>
        </w:tc>
        <w:tc>
          <w:tcPr>
            <w:tcW w:w="1317" w:type="dxa"/>
            <w:noWrap/>
            <w:vAlign w:val="center"/>
            <w:hideMark/>
          </w:tcPr>
          <w:p w14:paraId="4F55213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22</w:t>
            </w:r>
          </w:p>
        </w:tc>
        <w:tc>
          <w:tcPr>
            <w:tcW w:w="1016" w:type="dxa"/>
            <w:noWrap/>
            <w:vAlign w:val="center"/>
            <w:hideMark/>
          </w:tcPr>
          <w:p w14:paraId="0FE76CF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777</w:t>
            </w:r>
          </w:p>
        </w:tc>
        <w:tc>
          <w:tcPr>
            <w:tcW w:w="1108" w:type="dxa"/>
            <w:noWrap/>
            <w:vAlign w:val="center"/>
            <w:hideMark/>
          </w:tcPr>
          <w:p w14:paraId="3C4CAFA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3,641</w:t>
            </w:r>
          </w:p>
        </w:tc>
      </w:tr>
      <w:tr w:rsidR="00FF5978" w:rsidRPr="00105FFC" w14:paraId="6E3EE0CF" w14:textId="77777777" w:rsidTr="00346C1C">
        <w:trPr>
          <w:trHeight w:val="260"/>
        </w:trPr>
        <w:tc>
          <w:tcPr>
            <w:tcW w:w="738" w:type="dxa"/>
            <w:noWrap/>
            <w:vAlign w:val="center"/>
            <w:hideMark/>
          </w:tcPr>
          <w:p w14:paraId="1B51ED8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3111519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Aug.</w:t>
            </w:r>
          </w:p>
        </w:tc>
        <w:tc>
          <w:tcPr>
            <w:tcW w:w="674" w:type="dxa"/>
            <w:noWrap/>
            <w:vAlign w:val="center"/>
            <w:hideMark/>
          </w:tcPr>
          <w:p w14:paraId="007404F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167</w:t>
            </w:r>
          </w:p>
        </w:tc>
        <w:tc>
          <w:tcPr>
            <w:tcW w:w="819" w:type="dxa"/>
            <w:noWrap/>
            <w:vAlign w:val="center"/>
            <w:hideMark/>
          </w:tcPr>
          <w:p w14:paraId="7DF056C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28</w:t>
            </w:r>
          </w:p>
        </w:tc>
        <w:tc>
          <w:tcPr>
            <w:tcW w:w="819" w:type="dxa"/>
            <w:noWrap/>
            <w:vAlign w:val="center"/>
            <w:hideMark/>
          </w:tcPr>
          <w:p w14:paraId="083D9CE3"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287</w:t>
            </w:r>
          </w:p>
        </w:tc>
        <w:tc>
          <w:tcPr>
            <w:tcW w:w="704" w:type="dxa"/>
            <w:noWrap/>
            <w:hideMark/>
          </w:tcPr>
          <w:p w14:paraId="3EB85CE6"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41D0B26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775</w:t>
            </w:r>
          </w:p>
        </w:tc>
        <w:tc>
          <w:tcPr>
            <w:tcW w:w="704" w:type="dxa"/>
            <w:noWrap/>
            <w:hideMark/>
          </w:tcPr>
          <w:p w14:paraId="7E58105F"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1379044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110</w:t>
            </w:r>
          </w:p>
        </w:tc>
        <w:tc>
          <w:tcPr>
            <w:tcW w:w="1317" w:type="dxa"/>
            <w:noWrap/>
            <w:vAlign w:val="center"/>
            <w:hideMark/>
          </w:tcPr>
          <w:p w14:paraId="24A4C8E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29</w:t>
            </w:r>
          </w:p>
        </w:tc>
        <w:tc>
          <w:tcPr>
            <w:tcW w:w="1016" w:type="dxa"/>
            <w:noWrap/>
            <w:vAlign w:val="center"/>
            <w:hideMark/>
          </w:tcPr>
          <w:p w14:paraId="60BCA5A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845</w:t>
            </w:r>
          </w:p>
        </w:tc>
        <w:tc>
          <w:tcPr>
            <w:tcW w:w="1108" w:type="dxa"/>
            <w:noWrap/>
            <w:vAlign w:val="center"/>
            <w:hideMark/>
          </w:tcPr>
          <w:p w14:paraId="402BE00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4,024</w:t>
            </w:r>
          </w:p>
        </w:tc>
      </w:tr>
      <w:tr w:rsidR="00FF5978" w:rsidRPr="00105FFC" w14:paraId="34B76A6D" w14:textId="77777777" w:rsidTr="00346C1C">
        <w:trPr>
          <w:trHeight w:val="260"/>
        </w:trPr>
        <w:tc>
          <w:tcPr>
            <w:tcW w:w="738" w:type="dxa"/>
            <w:noWrap/>
            <w:vAlign w:val="center"/>
            <w:hideMark/>
          </w:tcPr>
          <w:p w14:paraId="7D4344B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18B0AA8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Sept.</w:t>
            </w:r>
          </w:p>
        </w:tc>
        <w:tc>
          <w:tcPr>
            <w:tcW w:w="674" w:type="dxa"/>
            <w:noWrap/>
            <w:vAlign w:val="center"/>
            <w:hideMark/>
          </w:tcPr>
          <w:p w14:paraId="4C8BBD5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147</w:t>
            </w:r>
          </w:p>
        </w:tc>
        <w:tc>
          <w:tcPr>
            <w:tcW w:w="819" w:type="dxa"/>
            <w:noWrap/>
            <w:vAlign w:val="center"/>
            <w:hideMark/>
          </w:tcPr>
          <w:p w14:paraId="27EC5FF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28</w:t>
            </w:r>
          </w:p>
        </w:tc>
        <w:tc>
          <w:tcPr>
            <w:tcW w:w="819" w:type="dxa"/>
            <w:noWrap/>
            <w:vAlign w:val="center"/>
            <w:hideMark/>
          </w:tcPr>
          <w:p w14:paraId="322A760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346</w:t>
            </w:r>
          </w:p>
        </w:tc>
        <w:tc>
          <w:tcPr>
            <w:tcW w:w="704" w:type="dxa"/>
            <w:noWrap/>
            <w:hideMark/>
          </w:tcPr>
          <w:p w14:paraId="21FDADBA"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1BFE763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855</w:t>
            </w:r>
          </w:p>
        </w:tc>
        <w:tc>
          <w:tcPr>
            <w:tcW w:w="704" w:type="dxa"/>
            <w:noWrap/>
            <w:hideMark/>
          </w:tcPr>
          <w:p w14:paraId="0C0AC872"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14B87F6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102</w:t>
            </w:r>
          </w:p>
        </w:tc>
        <w:tc>
          <w:tcPr>
            <w:tcW w:w="1317" w:type="dxa"/>
            <w:noWrap/>
            <w:vAlign w:val="center"/>
            <w:hideMark/>
          </w:tcPr>
          <w:p w14:paraId="04FD536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27</w:t>
            </w:r>
          </w:p>
        </w:tc>
        <w:tc>
          <w:tcPr>
            <w:tcW w:w="1016" w:type="dxa"/>
            <w:noWrap/>
            <w:vAlign w:val="center"/>
            <w:hideMark/>
          </w:tcPr>
          <w:p w14:paraId="0575C2A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895</w:t>
            </w:r>
          </w:p>
        </w:tc>
        <w:tc>
          <w:tcPr>
            <w:tcW w:w="1108" w:type="dxa"/>
            <w:noWrap/>
            <w:vAlign w:val="center"/>
            <w:hideMark/>
          </w:tcPr>
          <w:p w14:paraId="11BA576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4,798</w:t>
            </w:r>
          </w:p>
        </w:tc>
      </w:tr>
      <w:tr w:rsidR="00FF5978" w:rsidRPr="00105FFC" w14:paraId="61CB5816" w14:textId="77777777" w:rsidTr="00346C1C">
        <w:trPr>
          <w:trHeight w:val="260"/>
        </w:trPr>
        <w:tc>
          <w:tcPr>
            <w:tcW w:w="738" w:type="dxa"/>
            <w:noWrap/>
            <w:vAlign w:val="center"/>
            <w:hideMark/>
          </w:tcPr>
          <w:p w14:paraId="7B7A9BE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29BCEC7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Oct.</w:t>
            </w:r>
          </w:p>
        </w:tc>
        <w:tc>
          <w:tcPr>
            <w:tcW w:w="674" w:type="dxa"/>
            <w:noWrap/>
            <w:vAlign w:val="center"/>
            <w:hideMark/>
          </w:tcPr>
          <w:p w14:paraId="4FC8D74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160</w:t>
            </w:r>
          </w:p>
        </w:tc>
        <w:tc>
          <w:tcPr>
            <w:tcW w:w="819" w:type="dxa"/>
            <w:noWrap/>
            <w:vAlign w:val="center"/>
            <w:hideMark/>
          </w:tcPr>
          <w:p w14:paraId="66F7287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26</w:t>
            </w:r>
          </w:p>
        </w:tc>
        <w:tc>
          <w:tcPr>
            <w:tcW w:w="819" w:type="dxa"/>
            <w:noWrap/>
            <w:vAlign w:val="center"/>
            <w:hideMark/>
          </w:tcPr>
          <w:p w14:paraId="32D8322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233</w:t>
            </w:r>
          </w:p>
        </w:tc>
        <w:tc>
          <w:tcPr>
            <w:tcW w:w="704" w:type="dxa"/>
            <w:noWrap/>
            <w:hideMark/>
          </w:tcPr>
          <w:p w14:paraId="2B07C7BF"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6486C73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740</w:t>
            </w:r>
          </w:p>
        </w:tc>
        <w:tc>
          <w:tcPr>
            <w:tcW w:w="704" w:type="dxa"/>
            <w:noWrap/>
            <w:hideMark/>
          </w:tcPr>
          <w:p w14:paraId="2195B192"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06C9FC0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94</w:t>
            </w:r>
          </w:p>
        </w:tc>
        <w:tc>
          <w:tcPr>
            <w:tcW w:w="1317" w:type="dxa"/>
            <w:noWrap/>
            <w:vAlign w:val="center"/>
            <w:hideMark/>
          </w:tcPr>
          <w:p w14:paraId="0DD6E8D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41</w:t>
            </w:r>
          </w:p>
        </w:tc>
        <w:tc>
          <w:tcPr>
            <w:tcW w:w="1016" w:type="dxa"/>
            <w:noWrap/>
            <w:vAlign w:val="center"/>
            <w:hideMark/>
          </w:tcPr>
          <w:p w14:paraId="08AF7ED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830</w:t>
            </w:r>
          </w:p>
        </w:tc>
        <w:tc>
          <w:tcPr>
            <w:tcW w:w="1108" w:type="dxa"/>
            <w:noWrap/>
            <w:vAlign w:val="center"/>
            <w:hideMark/>
          </w:tcPr>
          <w:p w14:paraId="4FA0AAF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4,690</w:t>
            </w:r>
          </w:p>
        </w:tc>
      </w:tr>
      <w:tr w:rsidR="00FF5978" w:rsidRPr="00105FFC" w14:paraId="14BAA749" w14:textId="77777777" w:rsidTr="00346C1C">
        <w:trPr>
          <w:trHeight w:val="260"/>
        </w:trPr>
        <w:tc>
          <w:tcPr>
            <w:tcW w:w="738" w:type="dxa"/>
            <w:noWrap/>
            <w:vAlign w:val="center"/>
            <w:hideMark/>
          </w:tcPr>
          <w:p w14:paraId="50FF311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690B04D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Nov.</w:t>
            </w:r>
          </w:p>
        </w:tc>
        <w:tc>
          <w:tcPr>
            <w:tcW w:w="674" w:type="dxa"/>
            <w:noWrap/>
            <w:vAlign w:val="center"/>
            <w:hideMark/>
          </w:tcPr>
          <w:p w14:paraId="66C48803"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116</w:t>
            </w:r>
          </w:p>
        </w:tc>
        <w:tc>
          <w:tcPr>
            <w:tcW w:w="819" w:type="dxa"/>
            <w:noWrap/>
            <w:vAlign w:val="center"/>
            <w:hideMark/>
          </w:tcPr>
          <w:p w14:paraId="1CA2BCE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22</w:t>
            </w:r>
          </w:p>
        </w:tc>
        <w:tc>
          <w:tcPr>
            <w:tcW w:w="819" w:type="dxa"/>
            <w:noWrap/>
            <w:vAlign w:val="center"/>
            <w:hideMark/>
          </w:tcPr>
          <w:p w14:paraId="2A34926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183</w:t>
            </w:r>
          </w:p>
        </w:tc>
        <w:tc>
          <w:tcPr>
            <w:tcW w:w="704" w:type="dxa"/>
            <w:noWrap/>
            <w:hideMark/>
          </w:tcPr>
          <w:p w14:paraId="3DE22A27"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2877E9B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575</w:t>
            </w:r>
          </w:p>
        </w:tc>
        <w:tc>
          <w:tcPr>
            <w:tcW w:w="704" w:type="dxa"/>
            <w:noWrap/>
            <w:hideMark/>
          </w:tcPr>
          <w:p w14:paraId="1B4EF41E"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3EF7F16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56</w:t>
            </w:r>
          </w:p>
        </w:tc>
        <w:tc>
          <w:tcPr>
            <w:tcW w:w="1317" w:type="dxa"/>
            <w:noWrap/>
            <w:vAlign w:val="center"/>
            <w:hideMark/>
          </w:tcPr>
          <w:p w14:paraId="48F5A3D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15</w:t>
            </w:r>
          </w:p>
        </w:tc>
        <w:tc>
          <w:tcPr>
            <w:tcW w:w="1016" w:type="dxa"/>
            <w:noWrap/>
            <w:vAlign w:val="center"/>
            <w:hideMark/>
          </w:tcPr>
          <w:p w14:paraId="129C10C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565</w:t>
            </w:r>
          </w:p>
        </w:tc>
        <w:tc>
          <w:tcPr>
            <w:tcW w:w="1108" w:type="dxa"/>
            <w:noWrap/>
            <w:vAlign w:val="center"/>
            <w:hideMark/>
          </w:tcPr>
          <w:p w14:paraId="083C84A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2,759</w:t>
            </w:r>
          </w:p>
        </w:tc>
      </w:tr>
      <w:tr w:rsidR="00FF5978" w:rsidRPr="00105FFC" w14:paraId="278D5B92" w14:textId="77777777" w:rsidTr="00346C1C">
        <w:trPr>
          <w:trHeight w:val="260"/>
        </w:trPr>
        <w:tc>
          <w:tcPr>
            <w:tcW w:w="738" w:type="dxa"/>
            <w:noWrap/>
            <w:vAlign w:val="center"/>
            <w:hideMark/>
          </w:tcPr>
          <w:p w14:paraId="57B0451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2057EF6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Dec.</w:t>
            </w:r>
          </w:p>
        </w:tc>
        <w:tc>
          <w:tcPr>
            <w:tcW w:w="674" w:type="dxa"/>
            <w:noWrap/>
            <w:vAlign w:val="center"/>
            <w:hideMark/>
          </w:tcPr>
          <w:p w14:paraId="68873C8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134</w:t>
            </w:r>
          </w:p>
        </w:tc>
        <w:tc>
          <w:tcPr>
            <w:tcW w:w="819" w:type="dxa"/>
            <w:noWrap/>
            <w:vAlign w:val="center"/>
            <w:hideMark/>
          </w:tcPr>
          <w:p w14:paraId="2729A3D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23</w:t>
            </w:r>
          </w:p>
        </w:tc>
        <w:tc>
          <w:tcPr>
            <w:tcW w:w="819" w:type="dxa"/>
            <w:noWrap/>
            <w:vAlign w:val="center"/>
            <w:hideMark/>
          </w:tcPr>
          <w:p w14:paraId="037E592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201</w:t>
            </w:r>
          </w:p>
        </w:tc>
        <w:tc>
          <w:tcPr>
            <w:tcW w:w="704" w:type="dxa"/>
            <w:noWrap/>
            <w:hideMark/>
          </w:tcPr>
          <w:p w14:paraId="212FDB6E"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4401DAC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548</w:t>
            </w:r>
          </w:p>
        </w:tc>
        <w:tc>
          <w:tcPr>
            <w:tcW w:w="704" w:type="dxa"/>
            <w:noWrap/>
            <w:hideMark/>
          </w:tcPr>
          <w:p w14:paraId="16322F7A"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1E541D7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84</w:t>
            </w:r>
          </w:p>
        </w:tc>
        <w:tc>
          <w:tcPr>
            <w:tcW w:w="1317" w:type="dxa"/>
            <w:noWrap/>
            <w:vAlign w:val="center"/>
            <w:hideMark/>
          </w:tcPr>
          <w:p w14:paraId="1BFBE07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28</w:t>
            </w:r>
          </w:p>
        </w:tc>
        <w:tc>
          <w:tcPr>
            <w:tcW w:w="1016" w:type="dxa"/>
            <w:noWrap/>
            <w:vAlign w:val="center"/>
            <w:hideMark/>
          </w:tcPr>
          <w:p w14:paraId="28DDD99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686</w:t>
            </w:r>
          </w:p>
        </w:tc>
        <w:tc>
          <w:tcPr>
            <w:tcW w:w="1108" w:type="dxa"/>
            <w:noWrap/>
            <w:vAlign w:val="center"/>
            <w:hideMark/>
          </w:tcPr>
          <w:p w14:paraId="61F24D53"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2,367</w:t>
            </w:r>
          </w:p>
        </w:tc>
      </w:tr>
      <w:tr w:rsidR="00FF5978" w:rsidRPr="00105FFC" w14:paraId="6DAA2F53" w14:textId="77777777" w:rsidTr="00346C1C">
        <w:trPr>
          <w:trHeight w:val="260"/>
        </w:trPr>
        <w:tc>
          <w:tcPr>
            <w:tcW w:w="738" w:type="dxa"/>
            <w:noWrap/>
            <w:vAlign w:val="center"/>
            <w:hideMark/>
          </w:tcPr>
          <w:p w14:paraId="74FEB18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69ED587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Jan.</w:t>
            </w:r>
          </w:p>
        </w:tc>
        <w:tc>
          <w:tcPr>
            <w:tcW w:w="674" w:type="dxa"/>
            <w:noWrap/>
            <w:vAlign w:val="center"/>
            <w:hideMark/>
          </w:tcPr>
          <w:p w14:paraId="5166BD2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118</w:t>
            </w:r>
          </w:p>
        </w:tc>
        <w:tc>
          <w:tcPr>
            <w:tcW w:w="819" w:type="dxa"/>
            <w:noWrap/>
            <w:vAlign w:val="center"/>
            <w:hideMark/>
          </w:tcPr>
          <w:p w14:paraId="6D7302F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13</w:t>
            </w:r>
          </w:p>
        </w:tc>
        <w:tc>
          <w:tcPr>
            <w:tcW w:w="819" w:type="dxa"/>
            <w:noWrap/>
            <w:vAlign w:val="center"/>
            <w:hideMark/>
          </w:tcPr>
          <w:p w14:paraId="7045A55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167</w:t>
            </w:r>
          </w:p>
        </w:tc>
        <w:tc>
          <w:tcPr>
            <w:tcW w:w="704" w:type="dxa"/>
            <w:noWrap/>
            <w:hideMark/>
          </w:tcPr>
          <w:p w14:paraId="3AE575FE"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0FEC545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401</w:t>
            </w:r>
          </w:p>
        </w:tc>
        <w:tc>
          <w:tcPr>
            <w:tcW w:w="704" w:type="dxa"/>
            <w:noWrap/>
            <w:hideMark/>
          </w:tcPr>
          <w:p w14:paraId="786C3085"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698E50E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75</w:t>
            </w:r>
          </w:p>
        </w:tc>
        <w:tc>
          <w:tcPr>
            <w:tcW w:w="1317" w:type="dxa"/>
            <w:noWrap/>
            <w:vAlign w:val="center"/>
            <w:hideMark/>
          </w:tcPr>
          <w:p w14:paraId="13C1BD9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25</w:t>
            </w:r>
          </w:p>
        </w:tc>
        <w:tc>
          <w:tcPr>
            <w:tcW w:w="1016" w:type="dxa"/>
            <w:noWrap/>
            <w:vAlign w:val="center"/>
            <w:hideMark/>
          </w:tcPr>
          <w:p w14:paraId="0A938C13"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557</w:t>
            </w:r>
          </w:p>
        </w:tc>
        <w:tc>
          <w:tcPr>
            <w:tcW w:w="1108" w:type="dxa"/>
            <w:noWrap/>
            <w:vAlign w:val="center"/>
            <w:hideMark/>
          </w:tcPr>
          <w:p w14:paraId="5971612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1,961</w:t>
            </w:r>
          </w:p>
        </w:tc>
      </w:tr>
      <w:tr w:rsidR="00FF5978" w:rsidRPr="00105FFC" w14:paraId="4BC987E7" w14:textId="77777777" w:rsidTr="00346C1C">
        <w:trPr>
          <w:trHeight w:val="260"/>
        </w:trPr>
        <w:tc>
          <w:tcPr>
            <w:tcW w:w="738" w:type="dxa"/>
            <w:noWrap/>
            <w:vAlign w:val="center"/>
            <w:hideMark/>
          </w:tcPr>
          <w:p w14:paraId="34E6688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0644FA1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Feb.</w:t>
            </w:r>
          </w:p>
        </w:tc>
        <w:tc>
          <w:tcPr>
            <w:tcW w:w="674" w:type="dxa"/>
            <w:noWrap/>
            <w:vAlign w:val="center"/>
            <w:hideMark/>
          </w:tcPr>
          <w:p w14:paraId="1F3BA95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102</w:t>
            </w:r>
          </w:p>
        </w:tc>
        <w:tc>
          <w:tcPr>
            <w:tcW w:w="819" w:type="dxa"/>
            <w:noWrap/>
            <w:vAlign w:val="center"/>
            <w:hideMark/>
          </w:tcPr>
          <w:p w14:paraId="4EDC25A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33</w:t>
            </w:r>
          </w:p>
        </w:tc>
        <w:tc>
          <w:tcPr>
            <w:tcW w:w="819" w:type="dxa"/>
            <w:noWrap/>
            <w:vAlign w:val="center"/>
            <w:hideMark/>
          </w:tcPr>
          <w:p w14:paraId="6E9E4B1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200</w:t>
            </w:r>
          </w:p>
        </w:tc>
        <w:tc>
          <w:tcPr>
            <w:tcW w:w="704" w:type="dxa"/>
            <w:noWrap/>
            <w:hideMark/>
          </w:tcPr>
          <w:p w14:paraId="49B3AB1D"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0CB857D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383</w:t>
            </w:r>
          </w:p>
        </w:tc>
        <w:tc>
          <w:tcPr>
            <w:tcW w:w="704" w:type="dxa"/>
            <w:noWrap/>
            <w:hideMark/>
          </w:tcPr>
          <w:p w14:paraId="170DD66D"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08E7E3D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51</w:t>
            </w:r>
          </w:p>
        </w:tc>
        <w:tc>
          <w:tcPr>
            <w:tcW w:w="1317" w:type="dxa"/>
            <w:noWrap/>
            <w:vAlign w:val="center"/>
            <w:hideMark/>
          </w:tcPr>
          <w:p w14:paraId="431CC3E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w:t>
            </w:r>
          </w:p>
        </w:tc>
        <w:tc>
          <w:tcPr>
            <w:tcW w:w="1016" w:type="dxa"/>
            <w:noWrap/>
            <w:vAlign w:val="center"/>
            <w:hideMark/>
          </w:tcPr>
          <w:p w14:paraId="4194B7C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598</w:t>
            </w:r>
          </w:p>
        </w:tc>
        <w:tc>
          <w:tcPr>
            <w:tcW w:w="1108" w:type="dxa"/>
            <w:noWrap/>
            <w:vAlign w:val="center"/>
            <w:hideMark/>
          </w:tcPr>
          <w:p w14:paraId="015C44D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2,794</w:t>
            </w:r>
          </w:p>
        </w:tc>
      </w:tr>
      <w:tr w:rsidR="00FF5978" w:rsidRPr="00105FFC" w14:paraId="1BAD641F" w14:textId="77777777" w:rsidTr="00346C1C">
        <w:trPr>
          <w:trHeight w:val="260"/>
        </w:trPr>
        <w:tc>
          <w:tcPr>
            <w:tcW w:w="738" w:type="dxa"/>
            <w:noWrap/>
            <w:vAlign w:val="center"/>
            <w:hideMark/>
          </w:tcPr>
          <w:p w14:paraId="0D6F91A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0C342FE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March</w:t>
            </w:r>
          </w:p>
        </w:tc>
        <w:tc>
          <w:tcPr>
            <w:tcW w:w="674" w:type="dxa"/>
            <w:noWrap/>
            <w:vAlign w:val="center"/>
            <w:hideMark/>
          </w:tcPr>
          <w:p w14:paraId="491D8DA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121</w:t>
            </w:r>
          </w:p>
        </w:tc>
        <w:tc>
          <w:tcPr>
            <w:tcW w:w="819" w:type="dxa"/>
            <w:noWrap/>
            <w:vAlign w:val="center"/>
            <w:hideMark/>
          </w:tcPr>
          <w:p w14:paraId="0DCFFB0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35</w:t>
            </w:r>
          </w:p>
        </w:tc>
        <w:tc>
          <w:tcPr>
            <w:tcW w:w="819" w:type="dxa"/>
            <w:noWrap/>
            <w:vAlign w:val="center"/>
            <w:hideMark/>
          </w:tcPr>
          <w:p w14:paraId="7EDD768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195</w:t>
            </w:r>
          </w:p>
        </w:tc>
        <w:tc>
          <w:tcPr>
            <w:tcW w:w="704" w:type="dxa"/>
            <w:noWrap/>
            <w:hideMark/>
          </w:tcPr>
          <w:p w14:paraId="11193473"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0EFDC8C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321</w:t>
            </w:r>
          </w:p>
        </w:tc>
        <w:tc>
          <w:tcPr>
            <w:tcW w:w="704" w:type="dxa"/>
            <w:noWrap/>
            <w:hideMark/>
          </w:tcPr>
          <w:p w14:paraId="390BC864"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14137F3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75</w:t>
            </w:r>
          </w:p>
        </w:tc>
        <w:tc>
          <w:tcPr>
            <w:tcW w:w="1317" w:type="dxa"/>
            <w:noWrap/>
            <w:vAlign w:val="center"/>
            <w:hideMark/>
          </w:tcPr>
          <w:p w14:paraId="4B04477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w:t>
            </w:r>
          </w:p>
        </w:tc>
        <w:tc>
          <w:tcPr>
            <w:tcW w:w="1016" w:type="dxa"/>
            <w:noWrap/>
            <w:vAlign w:val="center"/>
            <w:hideMark/>
          </w:tcPr>
          <w:p w14:paraId="7E37261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591</w:t>
            </w:r>
          </w:p>
        </w:tc>
        <w:tc>
          <w:tcPr>
            <w:tcW w:w="1108" w:type="dxa"/>
            <w:noWrap/>
            <w:vAlign w:val="center"/>
            <w:hideMark/>
          </w:tcPr>
          <w:p w14:paraId="24BDAD4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3,146</w:t>
            </w:r>
          </w:p>
        </w:tc>
      </w:tr>
      <w:tr w:rsidR="00FF5978" w:rsidRPr="00105FFC" w14:paraId="1FB06C9C" w14:textId="77777777" w:rsidTr="00346C1C">
        <w:trPr>
          <w:trHeight w:val="260"/>
        </w:trPr>
        <w:tc>
          <w:tcPr>
            <w:tcW w:w="738" w:type="dxa"/>
            <w:noWrap/>
            <w:vAlign w:val="center"/>
            <w:hideMark/>
          </w:tcPr>
          <w:p w14:paraId="65E6BF3E"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6043A063"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April</w:t>
            </w:r>
          </w:p>
        </w:tc>
        <w:tc>
          <w:tcPr>
            <w:tcW w:w="674" w:type="dxa"/>
            <w:noWrap/>
            <w:vAlign w:val="center"/>
            <w:hideMark/>
          </w:tcPr>
          <w:p w14:paraId="1D6CE14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155</w:t>
            </w:r>
          </w:p>
        </w:tc>
        <w:tc>
          <w:tcPr>
            <w:tcW w:w="819" w:type="dxa"/>
            <w:noWrap/>
            <w:vAlign w:val="center"/>
            <w:hideMark/>
          </w:tcPr>
          <w:p w14:paraId="750AA55F"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30</w:t>
            </w:r>
          </w:p>
        </w:tc>
        <w:tc>
          <w:tcPr>
            <w:tcW w:w="819" w:type="dxa"/>
            <w:noWrap/>
            <w:vAlign w:val="center"/>
            <w:hideMark/>
          </w:tcPr>
          <w:p w14:paraId="34772C2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224</w:t>
            </w:r>
          </w:p>
        </w:tc>
        <w:tc>
          <w:tcPr>
            <w:tcW w:w="704" w:type="dxa"/>
            <w:noWrap/>
            <w:hideMark/>
          </w:tcPr>
          <w:p w14:paraId="5AE53A04"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26EF9C9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421</w:t>
            </w:r>
          </w:p>
        </w:tc>
        <w:tc>
          <w:tcPr>
            <w:tcW w:w="704" w:type="dxa"/>
            <w:noWrap/>
            <w:hideMark/>
          </w:tcPr>
          <w:p w14:paraId="515757B2"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1ECC37C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72</w:t>
            </w:r>
          </w:p>
        </w:tc>
        <w:tc>
          <w:tcPr>
            <w:tcW w:w="1317" w:type="dxa"/>
            <w:noWrap/>
            <w:vAlign w:val="center"/>
            <w:hideMark/>
          </w:tcPr>
          <w:p w14:paraId="1B83DD2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21</w:t>
            </w:r>
          </w:p>
        </w:tc>
        <w:tc>
          <w:tcPr>
            <w:tcW w:w="1016" w:type="dxa"/>
            <w:noWrap/>
            <w:vAlign w:val="center"/>
            <w:hideMark/>
          </w:tcPr>
          <w:p w14:paraId="2CC6F1B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698</w:t>
            </w:r>
          </w:p>
        </w:tc>
        <w:tc>
          <w:tcPr>
            <w:tcW w:w="1108" w:type="dxa"/>
            <w:noWrap/>
            <w:vAlign w:val="center"/>
            <w:hideMark/>
          </w:tcPr>
          <w:p w14:paraId="6732B75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2,178</w:t>
            </w:r>
          </w:p>
        </w:tc>
      </w:tr>
      <w:tr w:rsidR="00FF5978" w:rsidRPr="00105FFC" w14:paraId="353C372D" w14:textId="77777777" w:rsidTr="00346C1C">
        <w:trPr>
          <w:trHeight w:val="260"/>
        </w:trPr>
        <w:tc>
          <w:tcPr>
            <w:tcW w:w="738" w:type="dxa"/>
            <w:noWrap/>
            <w:vAlign w:val="center"/>
            <w:hideMark/>
          </w:tcPr>
          <w:p w14:paraId="4E4354A5"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noWrap/>
            <w:vAlign w:val="center"/>
            <w:hideMark/>
          </w:tcPr>
          <w:p w14:paraId="08130BB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May</w:t>
            </w:r>
          </w:p>
        </w:tc>
        <w:tc>
          <w:tcPr>
            <w:tcW w:w="674" w:type="dxa"/>
            <w:noWrap/>
            <w:vAlign w:val="center"/>
            <w:hideMark/>
          </w:tcPr>
          <w:p w14:paraId="5DB55A26"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143</w:t>
            </w:r>
          </w:p>
        </w:tc>
        <w:tc>
          <w:tcPr>
            <w:tcW w:w="819" w:type="dxa"/>
            <w:noWrap/>
            <w:vAlign w:val="center"/>
            <w:hideMark/>
          </w:tcPr>
          <w:p w14:paraId="11504883"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25</w:t>
            </w:r>
          </w:p>
        </w:tc>
        <w:tc>
          <w:tcPr>
            <w:tcW w:w="819" w:type="dxa"/>
            <w:noWrap/>
            <w:vAlign w:val="center"/>
            <w:hideMark/>
          </w:tcPr>
          <w:p w14:paraId="4FFA81D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187</w:t>
            </w:r>
          </w:p>
        </w:tc>
        <w:tc>
          <w:tcPr>
            <w:tcW w:w="704" w:type="dxa"/>
            <w:noWrap/>
            <w:hideMark/>
          </w:tcPr>
          <w:p w14:paraId="5854BE92" w14:textId="77777777" w:rsidR="00FF5978" w:rsidRDefault="00FF5978" w:rsidP="00FF5978">
            <w:r w:rsidRPr="00520577">
              <w:rPr>
                <w:rFonts w:asciiTheme="minorHAnsi" w:eastAsiaTheme="minorHAnsi" w:hAnsiTheme="minorHAnsi" w:cstheme="minorBidi"/>
                <w:sz w:val="20"/>
                <w:szCs w:val="20"/>
              </w:rPr>
              <w:t>&lt;11</w:t>
            </w:r>
          </w:p>
        </w:tc>
        <w:tc>
          <w:tcPr>
            <w:tcW w:w="870" w:type="dxa"/>
            <w:noWrap/>
            <w:vAlign w:val="center"/>
            <w:hideMark/>
          </w:tcPr>
          <w:p w14:paraId="461FC53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393</w:t>
            </w:r>
          </w:p>
        </w:tc>
        <w:tc>
          <w:tcPr>
            <w:tcW w:w="704" w:type="dxa"/>
            <w:noWrap/>
            <w:hideMark/>
          </w:tcPr>
          <w:p w14:paraId="4BDE01E9" w14:textId="77777777" w:rsidR="00FF5978" w:rsidRDefault="00FF5978" w:rsidP="00FF5978">
            <w:r w:rsidRPr="00520577">
              <w:rPr>
                <w:rFonts w:asciiTheme="minorHAnsi" w:eastAsiaTheme="minorHAnsi" w:hAnsiTheme="minorHAnsi" w:cstheme="minorBidi"/>
                <w:sz w:val="20"/>
                <w:szCs w:val="20"/>
              </w:rPr>
              <w:t>&lt;11</w:t>
            </w:r>
          </w:p>
        </w:tc>
        <w:tc>
          <w:tcPr>
            <w:tcW w:w="1211" w:type="dxa"/>
            <w:noWrap/>
            <w:vAlign w:val="center"/>
            <w:hideMark/>
          </w:tcPr>
          <w:p w14:paraId="1EFC1832"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76</w:t>
            </w:r>
          </w:p>
        </w:tc>
        <w:tc>
          <w:tcPr>
            <w:tcW w:w="1317" w:type="dxa"/>
            <w:noWrap/>
            <w:vAlign w:val="center"/>
            <w:hideMark/>
          </w:tcPr>
          <w:p w14:paraId="4838F3C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29</w:t>
            </w:r>
          </w:p>
        </w:tc>
        <w:tc>
          <w:tcPr>
            <w:tcW w:w="1016" w:type="dxa"/>
            <w:noWrap/>
            <w:vAlign w:val="center"/>
            <w:hideMark/>
          </w:tcPr>
          <w:p w14:paraId="4BEC18CA"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673</w:t>
            </w:r>
          </w:p>
        </w:tc>
        <w:tc>
          <w:tcPr>
            <w:tcW w:w="1108" w:type="dxa"/>
            <w:noWrap/>
            <w:vAlign w:val="center"/>
            <w:hideMark/>
          </w:tcPr>
          <w:p w14:paraId="3B7FE9E1"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1,830</w:t>
            </w:r>
          </w:p>
        </w:tc>
      </w:tr>
      <w:tr w:rsidR="00FF5978" w:rsidRPr="00105FFC" w14:paraId="6279D80B" w14:textId="77777777" w:rsidTr="00346C1C">
        <w:trPr>
          <w:trHeight w:val="260"/>
        </w:trPr>
        <w:tc>
          <w:tcPr>
            <w:tcW w:w="738" w:type="dxa"/>
            <w:tcBorders>
              <w:bottom w:val="single" w:sz="4" w:space="0" w:color="auto"/>
            </w:tcBorders>
            <w:noWrap/>
            <w:vAlign w:val="center"/>
            <w:hideMark/>
          </w:tcPr>
          <w:p w14:paraId="621D9C67"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14-15</w:t>
            </w:r>
          </w:p>
        </w:tc>
        <w:tc>
          <w:tcPr>
            <w:tcW w:w="869" w:type="dxa"/>
            <w:tcBorders>
              <w:bottom w:val="single" w:sz="4" w:space="0" w:color="auto"/>
            </w:tcBorders>
            <w:noWrap/>
            <w:vAlign w:val="center"/>
            <w:hideMark/>
          </w:tcPr>
          <w:p w14:paraId="2505FA3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June</w:t>
            </w:r>
          </w:p>
        </w:tc>
        <w:tc>
          <w:tcPr>
            <w:tcW w:w="674" w:type="dxa"/>
            <w:tcBorders>
              <w:bottom w:val="single" w:sz="4" w:space="0" w:color="auto"/>
            </w:tcBorders>
            <w:noWrap/>
            <w:vAlign w:val="center"/>
            <w:hideMark/>
          </w:tcPr>
          <w:p w14:paraId="715C6E1C"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153</w:t>
            </w:r>
          </w:p>
        </w:tc>
        <w:tc>
          <w:tcPr>
            <w:tcW w:w="819" w:type="dxa"/>
            <w:tcBorders>
              <w:bottom w:val="single" w:sz="4" w:space="0" w:color="auto"/>
            </w:tcBorders>
            <w:noWrap/>
            <w:vAlign w:val="center"/>
            <w:hideMark/>
          </w:tcPr>
          <w:p w14:paraId="01F9247B"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25</w:t>
            </w:r>
          </w:p>
        </w:tc>
        <w:tc>
          <w:tcPr>
            <w:tcW w:w="819" w:type="dxa"/>
            <w:tcBorders>
              <w:bottom w:val="single" w:sz="4" w:space="0" w:color="auto"/>
            </w:tcBorders>
            <w:noWrap/>
            <w:vAlign w:val="center"/>
            <w:hideMark/>
          </w:tcPr>
          <w:p w14:paraId="4DF94359"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165</w:t>
            </w:r>
          </w:p>
        </w:tc>
        <w:tc>
          <w:tcPr>
            <w:tcW w:w="704" w:type="dxa"/>
            <w:tcBorders>
              <w:bottom w:val="single" w:sz="4" w:space="0" w:color="auto"/>
            </w:tcBorders>
            <w:noWrap/>
            <w:hideMark/>
          </w:tcPr>
          <w:p w14:paraId="6E997DCE" w14:textId="77777777" w:rsidR="00FF5978" w:rsidRDefault="00FF5978" w:rsidP="00FF5978">
            <w:r w:rsidRPr="00520577">
              <w:rPr>
                <w:rFonts w:asciiTheme="minorHAnsi" w:eastAsiaTheme="minorHAnsi" w:hAnsiTheme="minorHAnsi" w:cstheme="minorBidi"/>
                <w:sz w:val="20"/>
                <w:szCs w:val="20"/>
              </w:rPr>
              <w:t>&lt;11</w:t>
            </w:r>
          </w:p>
        </w:tc>
        <w:tc>
          <w:tcPr>
            <w:tcW w:w="870" w:type="dxa"/>
            <w:tcBorders>
              <w:bottom w:val="single" w:sz="4" w:space="0" w:color="auto"/>
            </w:tcBorders>
            <w:noWrap/>
            <w:vAlign w:val="center"/>
            <w:hideMark/>
          </w:tcPr>
          <w:p w14:paraId="117C3BD4"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378</w:t>
            </w:r>
          </w:p>
        </w:tc>
        <w:tc>
          <w:tcPr>
            <w:tcW w:w="704" w:type="dxa"/>
            <w:tcBorders>
              <w:bottom w:val="single" w:sz="4" w:space="0" w:color="auto"/>
            </w:tcBorders>
            <w:noWrap/>
            <w:hideMark/>
          </w:tcPr>
          <w:p w14:paraId="660FEE62" w14:textId="77777777" w:rsidR="00FF5978" w:rsidRDefault="00FF5978" w:rsidP="00FF5978">
            <w:r w:rsidRPr="00520577">
              <w:rPr>
                <w:rFonts w:asciiTheme="minorHAnsi" w:eastAsiaTheme="minorHAnsi" w:hAnsiTheme="minorHAnsi" w:cstheme="minorBidi"/>
                <w:sz w:val="20"/>
                <w:szCs w:val="20"/>
              </w:rPr>
              <w:t>&lt;11</w:t>
            </w:r>
          </w:p>
        </w:tc>
        <w:tc>
          <w:tcPr>
            <w:tcW w:w="1211" w:type="dxa"/>
            <w:tcBorders>
              <w:bottom w:val="single" w:sz="4" w:space="0" w:color="auto"/>
            </w:tcBorders>
            <w:noWrap/>
            <w:vAlign w:val="center"/>
            <w:hideMark/>
          </w:tcPr>
          <w:p w14:paraId="0C39128D"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118</w:t>
            </w:r>
          </w:p>
        </w:tc>
        <w:tc>
          <w:tcPr>
            <w:tcW w:w="1317" w:type="dxa"/>
            <w:tcBorders>
              <w:bottom w:val="single" w:sz="4" w:space="0" w:color="auto"/>
            </w:tcBorders>
            <w:noWrap/>
            <w:vAlign w:val="center"/>
            <w:hideMark/>
          </w:tcPr>
          <w:p w14:paraId="048962C0"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32</w:t>
            </w:r>
          </w:p>
        </w:tc>
        <w:tc>
          <w:tcPr>
            <w:tcW w:w="1016" w:type="dxa"/>
            <w:tcBorders>
              <w:bottom w:val="single" w:sz="4" w:space="0" w:color="auto"/>
            </w:tcBorders>
            <w:noWrap/>
            <w:vAlign w:val="center"/>
            <w:hideMark/>
          </w:tcPr>
          <w:p w14:paraId="259E03B8"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809</w:t>
            </w:r>
          </w:p>
        </w:tc>
        <w:tc>
          <w:tcPr>
            <w:tcW w:w="1108" w:type="dxa"/>
            <w:tcBorders>
              <w:bottom w:val="single" w:sz="4" w:space="0" w:color="auto"/>
            </w:tcBorders>
            <w:noWrap/>
            <w:vAlign w:val="center"/>
            <w:hideMark/>
          </w:tcPr>
          <w:p w14:paraId="3A016483" w14:textId="77777777" w:rsidR="00FF5978" w:rsidRPr="00105FFC" w:rsidRDefault="00FF5978" w:rsidP="00FF5978">
            <w:pPr>
              <w:jc w:val="center"/>
              <w:rPr>
                <w:rFonts w:asciiTheme="minorHAnsi" w:eastAsiaTheme="minorHAnsi" w:hAnsiTheme="minorHAnsi" w:cstheme="minorBidi"/>
                <w:sz w:val="20"/>
                <w:szCs w:val="20"/>
              </w:rPr>
            </w:pPr>
            <w:r w:rsidRPr="00105FFC">
              <w:rPr>
                <w:rFonts w:asciiTheme="minorHAnsi" w:eastAsiaTheme="minorHAnsi" w:hAnsiTheme="minorHAnsi" w:cstheme="minorBidi"/>
                <w:sz w:val="20"/>
                <w:szCs w:val="20"/>
              </w:rPr>
              <w:t>547</w:t>
            </w:r>
          </w:p>
        </w:tc>
      </w:tr>
      <w:tr w:rsidR="00073BFC" w:rsidRPr="00105FFC" w14:paraId="77809B27" w14:textId="77777777" w:rsidTr="00F36F86">
        <w:trPr>
          <w:trHeight w:val="315"/>
        </w:trPr>
        <w:tc>
          <w:tcPr>
            <w:tcW w:w="738" w:type="dxa"/>
            <w:shd w:val="clear" w:color="auto" w:fill="EAF1DD" w:themeFill="accent3" w:themeFillTint="33"/>
            <w:noWrap/>
            <w:vAlign w:val="center"/>
            <w:hideMark/>
          </w:tcPr>
          <w:p w14:paraId="776211C2"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Totals</w:t>
            </w:r>
          </w:p>
        </w:tc>
        <w:tc>
          <w:tcPr>
            <w:tcW w:w="869" w:type="dxa"/>
            <w:shd w:val="clear" w:color="auto" w:fill="EAF1DD" w:themeFill="accent3" w:themeFillTint="33"/>
            <w:noWrap/>
            <w:vAlign w:val="center"/>
            <w:hideMark/>
          </w:tcPr>
          <w:p w14:paraId="085031AC" w14:textId="77777777" w:rsidR="00073BFC" w:rsidRPr="00105FFC" w:rsidRDefault="00073BFC" w:rsidP="00073BFC">
            <w:pPr>
              <w:jc w:val="center"/>
              <w:rPr>
                <w:rFonts w:asciiTheme="minorHAnsi" w:eastAsiaTheme="minorHAnsi" w:hAnsiTheme="minorHAnsi" w:cstheme="minorBidi"/>
                <w:b/>
                <w:iCs/>
                <w:sz w:val="20"/>
                <w:szCs w:val="20"/>
              </w:rPr>
            </w:pPr>
          </w:p>
        </w:tc>
        <w:tc>
          <w:tcPr>
            <w:tcW w:w="674" w:type="dxa"/>
            <w:shd w:val="clear" w:color="auto" w:fill="EAF1DD" w:themeFill="accent3" w:themeFillTint="33"/>
            <w:noWrap/>
            <w:vAlign w:val="center"/>
            <w:hideMark/>
          </w:tcPr>
          <w:p w14:paraId="078E4012"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3,380</w:t>
            </w:r>
          </w:p>
        </w:tc>
        <w:tc>
          <w:tcPr>
            <w:tcW w:w="819" w:type="dxa"/>
            <w:shd w:val="clear" w:color="auto" w:fill="EAF1DD" w:themeFill="accent3" w:themeFillTint="33"/>
            <w:noWrap/>
            <w:vAlign w:val="center"/>
            <w:hideMark/>
          </w:tcPr>
          <w:p w14:paraId="773CA8EF"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744</w:t>
            </w:r>
          </w:p>
        </w:tc>
        <w:tc>
          <w:tcPr>
            <w:tcW w:w="819" w:type="dxa"/>
            <w:shd w:val="clear" w:color="auto" w:fill="EAF1DD" w:themeFill="accent3" w:themeFillTint="33"/>
            <w:noWrap/>
            <w:vAlign w:val="center"/>
            <w:hideMark/>
          </w:tcPr>
          <w:p w14:paraId="6D29D414"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4,935</w:t>
            </w:r>
          </w:p>
        </w:tc>
        <w:tc>
          <w:tcPr>
            <w:tcW w:w="704" w:type="dxa"/>
            <w:shd w:val="clear" w:color="auto" w:fill="EAF1DD" w:themeFill="accent3" w:themeFillTint="33"/>
            <w:noWrap/>
            <w:vAlign w:val="center"/>
            <w:hideMark/>
          </w:tcPr>
          <w:p w14:paraId="78B9FBD2"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39</w:t>
            </w:r>
          </w:p>
        </w:tc>
        <w:tc>
          <w:tcPr>
            <w:tcW w:w="870" w:type="dxa"/>
            <w:shd w:val="clear" w:color="auto" w:fill="EAF1DD" w:themeFill="accent3" w:themeFillTint="33"/>
            <w:noWrap/>
            <w:vAlign w:val="center"/>
            <w:hideMark/>
          </w:tcPr>
          <w:p w14:paraId="11FEB189"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13,616</w:t>
            </w:r>
          </w:p>
        </w:tc>
        <w:tc>
          <w:tcPr>
            <w:tcW w:w="704" w:type="dxa"/>
            <w:shd w:val="clear" w:color="auto" w:fill="EAF1DD" w:themeFill="accent3" w:themeFillTint="33"/>
            <w:noWrap/>
            <w:vAlign w:val="center"/>
            <w:hideMark/>
          </w:tcPr>
          <w:p w14:paraId="72ED8D30"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55</w:t>
            </w:r>
          </w:p>
        </w:tc>
        <w:tc>
          <w:tcPr>
            <w:tcW w:w="1211" w:type="dxa"/>
            <w:shd w:val="clear" w:color="auto" w:fill="EAF1DD" w:themeFill="accent3" w:themeFillTint="33"/>
            <w:noWrap/>
            <w:vAlign w:val="center"/>
            <w:hideMark/>
          </w:tcPr>
          <w:p w14:paraId="1E4E6207"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2,558</w:t>
            </w:r>
          </w:p>
        </w:tc>
        <w:tc>
          <w:tcPr>
            <w:tcW w:w="1317" w:type="dxa"/>
            <w:shd w:val="clear" w:color="auto" w:fill="EAF1DD" w:themeFill="accent3" w:themeFillTint="33"/>
            <w:noWrap/>
            <w:vAlign w:val="center"/>
            <w:hideMark/>
          </w:tcPr>
          <w:p w14:paraId="4013561F"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544</w:t>
            </w:r>
          </w:p>
        </w:tc>
        <w:tc>
          <w:tcPr>
            <w:tcW w:w="1016" w:type="dxa"/>
            <w:shd w:val="clear" w:color="auto" w:fill="EAF1DD" w:themeFill="accent3" w:themeFillTint="33"/>
            <w:noWrap/>
            <w:vAlign w:val="center"/>
            <w:hideMark/>
          </w:tcPr>
          <w:p w14:paraId="40DBCA37"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15,845</w:t>
            </w:r>
          </w:p>
        </w:tc>
        <w:tc>
          <w:tcPr>
            <w:tcW w:w="1108" w:type="dxa"/>
            <w:shd w:val="clear" w:color="auto" w:fill="EAF1DD" w:themeFill="accent3" w:themeFillTint="33"/>
            <w:noWrap/>
            <w:vAlign w:val="center"/>
            <w:hideMark/>
          </w:tcPr>
          <w:p w14:paraId="4AE9697C" w14:textId="77777777" w:rsidR="00073BFC" w:rsidRPr="00105FFC" w:rsidRDefault="00073BFC" w:rsidP="00073BFC">
            <w:pPr>
              <w:jc w:val="center"/>
              <w:rPr>
                <w:rFonts w:asciiTheme="minorHAnsi" w:eastAsiaTheme="minorHAnsi" w:hAnsiTheme="minorHAnsi" w:cstheme="minorBidi"/>
                <w:b/>
                <w:iCs/>
                <w:sz w:val="20"/>
                <w:szCs w:val="20"/>
              </w:rPr>
            </w:pPr>
            <w:r w:rsidRPr="00105FFC">
              <w:rPr>
                <w:rFonts w:asciiTheme="minorHAnsi" w:eastAsiaTheme="minorHAnsi" w:hAnsiTheme="minorHAnsi" w:cstheme="minorBidi"/>
                <w:b/>
                <w:iCs/>
                <w:sz w:val="20"/>
                <w:szCs w:val="20"/>
              </w:rPr>
              <w:t>43,393</w:t>
            </w:r>
          </w:p>
        </w:tc>
      </w:tr>
    </w:tbl>
    <w:p w14:paraId="1BCD1098" w14:textId="77777777" w:rsidR="00073BFC" w:rsidRPr="00105FFC" w:rsidRDefault="00073BFC" w:rsidP="00073BFC">
      <w:pPr>
        <w:spacing w:after="200"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w:t>
      </w:r>
      <w:r w:rsidRPr="00105FFC">
        <w:rPr>
          <w:rFonts w:asciiTheme="minorHAnsi" w:eastAsiaTheme="minorHAnsi" w:hAnsiTheme="minorHAnsi" w:cs="Tahoma"/>
          <w:bCs/>
          <w:sz w:val="16"/>
          <w:szCs w:val="16"/>
        </w:rPr>
        <w:t>the Medi-Cal Managed Care Division’s Office of the Ombudsman call center</w:t>
      </w:r>
      <w:r w:rsidRPr="00105FFC">
        <w:rPr>
          <w:rFonts w:asciiTheme="minorHAnsi" w:eastAsiaTheme="minorHAnsi" w:hAnsiTheme="minorHAnsi" w:cs="Tahoma"/>
          <w:sz w:val="16"/>
          <w:szCs w:val="16"/>
        </w:rPr>
        <w:t>.</w:t>
      </w:r>
    </w:p>
    <w:p w14:paraId="25026093" w14:textId="77777777" w:rsidR="00073BFC" w:rsidRPr="00105FFC" w:rsidRDefault="00073BFC" w:rsidP="00073BFC">
      <w:pPr>
        <w:spacing w:after="200" w:line="276" w:lineRule="auto"/>
        <w:rPr>
          <w:rFonts w:asciiTheme="minorHAnsi" w:eastAsiaTheme="minorHAnsi" w:hAnsiTheme="minorHAnsi" w:cs="Tahoma"/>
          <w:sz w:val="16"/>
          <w:szCs w:val="16"/>
        </w:rPr>
        <w:sectPr w:rsidR="00073BFC" w:rsidRPr="00105FFC" w:rsidSect="000D6C4B">
          <w:footnotePr>
            <w:numFmt w:val="lowerRoman"/>
          </w:footnotePr>
          <w:endnotePr>
            <w:numFmt w:val="decimal"/>
          </w:endnotePr>
          <w:pgSz w:w="15840" w:h="12240" w:orient="landscape"/>
          <w:pgMar w:top="1440" w:right="1440" w:bottom="1440" w:left="1440" w:header="720" w:footer="720" w:gutter="0"/>
          <w:cols w:space="720"/>
          <w:docGrid w:linePitch="360"/>
        </w:sectPr>
      </w:pPr>
      <w:r w:rsidRPr="00105FFC">
        <w:rPr>
          <w:rFonts w:asciiTheme="minorHAnsi" w:eastAsiaTheme="minorHAnsi" w:hAnsiTheme="minorHAnsi" w:cs="Tahoma"/>
          <w:sz w:val="16"/>
          <w:szCs w:val="16"/>
        </w:rPr>
        <w:br w:type="page"/>
      </w:r>
    </w:p>
    <w:p w14:paraId="673FBA92" w14:textId="77777777" w:rsidR="00073BFC" w:rsidRPr="00105FFC" w:rsidRDefault="00073BFC" w:rsidP="00047142">
      <w:pPr>
        <w:pStyle w:val="Heading3"/>
        <w:spacing w:before="0" w:after="120" w:line="276" w:lineRule="auto"/>
      </w:pPr>
      <w:bookmarkStart w:id="506" w:name="_Toc459287780"/>
      <w:r w:rsidRPr="00105FFC">
        <w:t>Calls Received from FFS Medi-Cal Beneficiaries, by Aid Category</w:t>
      </w:r>
      <w:bookmarkEnd w:id="506"/>
    </w:p>
    <w:p w14:paraId="12E564B5" w14:textId="77777777" w:rsidR="00073BFC" w:rsidRPr="00105FFC" w:rsidRDefault="00073BFC" w:rsidP="00047142">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 xml:space="preserve">During SFYs 2013-14 and 2014-15, calls from FFS Medi-Cal beneficiaries were concentrated in the Parent/Caretaker Relative &amp; Child and Seniors and Persons with Disabilities (SPD) aid categories. The largest increase in call volume from SFYs 2013-14 to 2014-15 was seen in the Adoption/Foster Care aid category (121.2%), and the largest decrease was seen in the SPD aid category (-21.2%). Overall, call volume by aid category increased 7.7% from SFYs 2013-14 to 2014-15 (Table </w:t>
      </w:r>
      <w:r w:rsidR="008D19CB">
        <w:rPr>
          <w:rFonts w:asciiTheme="minorHAnsi" w:eastAsiaTheme="minorHAnsi" w:hAnsiTheme="minorHAnsi" w:cstheme="minorBidi"/>
        </w:rPr>
        <w:t>48</w:t>
      </w:r>
      <w:r w:rsidRPr="00105FFC">
        <w:rPr>
          <w:rFonts w:asciiTheme="minorHAnsi" w:eastAsiaTheme="minorHAnsi" w:hAnsiTheme="minorHAnsi" w:cstheme="minorBidi"/>
        </w:rPr>
        <w:t>).</w:t>
      </w:r>
    </w:p>
    <w:p w14:paraId="05553C4A" w14:textId="77777777" w:rsidR="00073BFC" w:rsidRPr="00105FFC" w:rsidRDefault="008734A9" w:rsidP="00693080">
      <w:pPr>
        <w:rPr>
          <w:rFonts w:asciiTheme="minorHAnsi" w:eastAsiaTheme="minorHAnsi" w:hAnsiTheme="minorHAnsi" w:cstheme="minorBidi"/>
          <w:bCs/>
          <w:sz w:val="20"/>
          <w:szCs w:val="20"/>
        </w:rPr>
      </w:pPr>
      <w:bookmarkStart w:id="507" w:name="_Toc458783147"/>
      <w:bookmarkStart w:id="508" w:name="_Toc459285193"/>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48</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Calls Received from FFS Medi-Cal Beneficiaries in SFYs 2013-14 and 2014-15, by Aid Category</w:t>
      </w:r>
      <w:bookmarkEnd w:id="507"/>
      <w:bookmarkEnd w:id="508"/>
    </w:p>
    <w:tbl>
      <w:tblPr>
        <w:tblStyle w:val="TableGrid3"/>
        <w:tblW w:w="0" w:type="auto"/>
        <w:tblLook w:val="04A0" w:firstRow="1" w:lastRow="0" w:firstColumn="1" w:lastColumn="0" w:noHBand="0" w:noVBand="1"/>
      </w:tblPr>
      <w:tblGrid>
        <w:gridCol w:w="3648"/>
        <w:gridCol w:w="1500"/>
        <w:gridCol w:w="1530"/>
        <w:gridCol w:w="1440"/>
      </w:tblGrid>
      <w:tr w:rsidR="00073BFC" w:rsidRPr="00105FFC" w14:paraId="735A0B55" w14:textId="77777777" w:rsidTr="000739EB">
        <w:trPr>
          <w:trHeight w:val="315"/>
          <w:tblHeader/>
        </w:trPr>
        <w:tc>
          <w:tcPr>
            <w:tcW w:w="3648" w:type="dxa"/>
            <w:shd w:val="clear" w:color="auto" w:fill="F2F2F2" w:themeFill="background1" w:themeFillShade="F2"/>
            <w:noWrap/>
            <w:vAlign w:val="center"/>
            <w:hideMark/>
          </w:tcPr>
          <w:p w14:paraId="31F68FC4"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Aid Category</w:t>
            </w:r>
          </w:p>
        </w:tc>
        <w:tc>
          <w:tcPr>
            <w:tcW w:w="1500" w:type="dxa"/>
            <w:shd w:val="clear" w:color="auto" w:fill="F2F2F2" w:themeFill="background1" w:themeFillShade="F2"/>
            <w:noWrap/>
            <w:vAlign w:val="center"/>
            <w:hideMark/>
          </w:tcPr>
          <w:p w14:paraId="5AF62479"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SFY 2013-14</w:t>
            </w:r>
          </w:p>
        </w:tc>
        <w:tc>
          <w:tcPr>
            <w:tcW w:w="1530" w:type="dxa"/>
            <w:shd w:val="clear" w:color="auto" w:fill="F2F2F2" w:themeFill="background1" w:themeFillShade="F2"/>
            <w:noWrap/>
            <w:vAlign w:val="center"/>
            <w:hideMark/>
          </w:tcPr>
          <w:p w14:paraId="2FE220BB"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SFY 2014-15</w:t>
            </w:r>
          </w:p>
        </w:tc>
        <w:tc>
          <w:tcPr>
            <w:tcW w:w="1440" w:type="dxa"/>
            <w:shd w:val="clear" w:color="auto" w:fill="F2F2F2" w:themeFill="background1" w:themeFillShade="F2"/>
            <w:noWrap/>
            <w:vAlign w:val="center"/>
            <w:hideMark/>
          </w:tcPr>
          <w:p w14:paraId="110E798F"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 Change</w:t>
            </w:r>
          </w:p>
        </w:tc>
      </w:tr>
      <w:tr w:rsidR="00073BFC" w:rsidRPr="00105FFC" w14:paraId="66CAB62A" w14:textId="77777777" w:rsidTr="000D6C4B">
        <w:trPr>
          <w:trHeight w:val="315"/>
        </w:trPr>
        <w:tc>
          <w:tcPr>
            <w:tcW w:w="3648" w:type="dxa"/>
            <w:noWrap/>
            <w:vAlign w:val="center"/>
            <w:hideMark/>
          </w:tcPr>
          <w:p w14:paraId="6071B86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Parent/Caretaker Relative &amp; Child</w:t>
            </w:r>
          </w:p>
        </w:tc>
        <w:tc>
          <w:tcPr>
            <w:tcW w:w="1500" w:type="dxa"/>
            <w:noWrap/>
            <w:vAlign w:val="center"/>
            <w:hideMark/>
          </w:tcPr>
          <w:p w14:paraId="05BC69C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8,164</w:t>
            </w:r>
          </w:p>
        </w:tc>
        <w:tc>
          <w:tcPr>
            <w:tcW w:w="1530" w:type="dxa"/>
            <w:noWrap/>
            <w:vAlign w:val="center"/>
            <w:hideMark/>
          </w:tcPr>
          <w:p w14:paraId="2833357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8,034</w:t>
            </w:r>
          </w:p>
        </w:tc>
        <w:tc>
          <w:tcPr>
            <w:tcW w:w="1440" w:type="dxa"/>
            <w:noWrap/>
            <w:vAlign w:val="center"/>
            <w:hideMark/>
          </w:tcPr>
          <w:p w14:paraId="4F96C9D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-1.6%</w:t>
            </w:r>
          </w:p>
        </w:tc>
      </w:tr>
      <w:tr w:rsidR="00073BFC" w:rsidRPr="00105FFC" w14:paraId="72A52B19" w14:textId="77777777" w:rsidTr="000D6C4B">
        <w:trPr>
          <w:trHeight w:val="315"/>
        </w:trPr>
        <w:tc>
          <w:tcPr>
            <w:tcW w:w="3648" w:type="dxa"/>
            <w:noWrap/>
            <w:vAlign w:val="center"/>
            <w:hideMark/>
          </w:tcPr>
          <w:p w14:paraId="09BB60C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Seniors and Persons with Disabilities</w:t>
            </w:r>
          </w:p>
        </w:tc>
        <w:tc>
          <w:tcPr>
            <w:tcW w:w="1500" w:type="dxa"/>
            <w:noWrap/>
            <w:vAlign w:val="center"/>
            <w:hideMark/>
          </w:tcPr>
          <w:p w14:paraId="747C348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6,308</w:t>
            </w:r>
          </w:p>
        </w:tc>
        <w:tc>
          <w:tcPr>
            <w:tcW w:w="1530" w:type="dxa"/>
            <w:noWrap/>
            <w:vAlign w:val="center"/>
            <w:hideMark/>
          </w:tcPr>
          <w:p w14:paraId="5BF87D3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4,972</w:t>
            </w:r>
          </w:p>
        </w:tc>
        <w:tc>
          <w:tcPr>
            <w:tcW w:w="1440" w:type="dxa"/>
            <w:noWrap/>
            <w:vAlign w:val="center"/>
            <w:hideMark/>
          </w:tcPr>
          <w:p w14:paraId="66E8237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-21.2%</w:t>
            </w:r>
          </w:p>
        </w:tc>
      </w:tr>
      <w:tr w:rsidR="00073BFC" w:rsidRPr="00105FFC" w14:paraId="5A9F0C3E" w14:textId="77777777" w:rsidTr="000D6C4B">
        <w:trPr>
          <w:trHeight w:val="315"/>
        </w:trPr>
        <w:tc>
          <w:tcPr>
            <w:tcW w:w="3648" w:type="dxa"/>
            <w:noWrap/>
            <w:vAlign w:val="center"/>
            <w:hideMark/>
          </w:tcPr>
          <w:p w14:paraId="457357F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ACA Expansion Adult Ages 19 to 64</w:t>
            </w:r>
          </w:p>
        </w:tc>
        <w:tc>
          <w:tcPr>
            <w:tcW w:w="1500" w:type="dxa"/>
            <w:noWrap/>
            <w:vAlign w:val="center"/>
            <w:hideMark/>
          </w:tcPr>
          <w:p w14:paraId="7503732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2,379</w:t>
            </w:r>
          </w:p>
        </w:tc>
        <w:tc>
          <w:tcPr>
            <w:tcW w:w="1530" w:type="dxa"/>
            <w:noWrap/>
            <w:vAlign w:val="center"/>
            <w:hideMark/>
          </w:tcPr>
          <w:p w14:paraId="20649A3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4,102</w:t>
            </w:r>
          </w:p>
        </w:tc>
        <w:tc>
          <w:tcPr>
            <w:tcW w:w="1440" w:type="dxa"/>
            <w:noWrap/>
            <w:vAlign w:val="center"/>
            <w:hideMark/>
          </w:tcPr>
          <w:p w14:paraId="4E7E340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72.4%</w:t>
            </w:r>
          </w:p>
        </w:tc>
      </w:tr>
      <w:tr w:rsidR="00073BFC" w:rsidRPr="00105FFC" w14:paraId="66B9047E" w14:textId="77777777" w:rsidTr="000D6C4B">
        <w:trPr>
          <w:trHeight w:val="315"/>
        </w:trPr>
        <w:tc>
          <w:tcPr>
            <w:tcW w:w="3648" w:type="dxa"/>
            <w:noWrap/>
            <w:vAlign w:val="center"/>
            <w:hideMark/>
          </w:tcPr>
          <w:p w14:paraId="22A5919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Adoption/Foster Care</w:t>
            </w:r>
          </w:p>
        </w:tc>
        <w:tc>
          <w:tcPr>
            <w:tcW w:w="1500" w:type="dxa"/>
            <w:noWrap/>
            <w:vAlign w:val="center"/>
            <w:hideMark/>
          </w:tcPr>
          <w:p w14:paraId="44CF63B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689</w:t>
            </w:r>
          </w:p>
        </w:tc>
        <w:tc>
          <w:tcPr>
            <w:tcW w:w="1530" w:type="dxa"/>
            <w:noWrap/>
            <w:vAlign w:val="center"/>
            <w:hideMark/>
          </w:tcPr>
          <w:p w14:paraId="633121B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1,524</w:t>
            </w:r>
          </w:p>
        </w:tc>
        <w:tc>
          <w:tcPr>
            <w:tcW w:w="1440" w:type="dxa"/>
            <w:noWrap/>
            <w:vAlign w:val="center"/>
            <w:hideMark/>
          </w:tcPr>
          <w:p w14:paraId="6EE8740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121.2%</w:t>
            </w:r>
          </w:p>
        </w:tc>
      </w:tr>
      <w:tr w:rsidR="00073BFC" w:rsidRPr="00105FFC" w14:paraId="19FEC6CD" w14:textId="77777777" w:rsidTr="000D6C4B">
        <w:trPr>
          <w:trHeight w:val="315"/>
        </w:trPr>
        <w:tc>
          <w:tcPr>
            <w:tcW w:w="3648" w:type="dxa"/>
            <w:tcBorders>
              <w:bottom w:val="single" w:sz="4" w:space="0" w:color="auto"/>
            </w:tcBorders>
            <w:noWrap/>
            <w:vAlign w:val="center"/>
            <w:hideMark/>
          </w:tcPr>
          <w:p w14:paraId="62EE33A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Undocumented</w:t>
            </w:r>
          </w:p>
        </w:tc>
        <w:tc>
          <w:tcPr>
            <w:tcW w:w="1500" w:type="dxa"/>
            <w:tcBorders>
              <w:bottom w:val="single" w:sz="4" w:space="0" w:color="auto"/>
            </w:tcBorders>
            <w:noWrap/>
            <w:vAlign w:val="center"/>
            <w:hideMark/>
          </w:tcPr>
          <w:p w14:paraId="6740A4B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335</w:t>
            </w:r>
          </w:p>
        </w:tc>
        <w:tc>
          <w:tcPr>
            <w:tcW w:w="1530" w:type="dxa"/>
            <w:tcBorders>
              <w:bottom w:val="single" w:sz="4" w:space="0" w:color="auto"/>
            </w:tcBorders>
            <w:noWrap/>
            <w:vAlign w:val="center"/>
            <w:hideMark/>
          </w:tcPr>
          <w:p w14:paraId="35FC2E3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615</w:t>
            </w:r>
          </w:p>
        </w:tc>
        <w:tc>
          <w:tcPr>
            <w:tcW w:w="1440" w:type="dxa"/>
            <w:tcBorders>
              <w:bottom w:val="single" w:sz="4" w:space="0" w:color="auto"/>
            </w:tcBorders>
            <w:noWrap/>
            <w:vAlign w:val="center"/>
            <w:hideMark/>
          </w:tcPr>
          <w:p w14:paraId="2686BC9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83.6%</w:t>
            </w:r>
          </w:p>
        </w:tc>
      </w:tr>
      <w:tr w:rsidR="00073BFC" w:rsidRPr="00105FFC" w14:paraId="2F8CEE02" w14:textId="77777777" w:rsidTr="000D6C4B">
        <w:trPr>
          <w:trHeight w:val="315"/>
        </w:trPr>
        <w:tc>
          <w:tcPr>
            <w:tcW w:w="3648" w:type="dxa"/>
            <w:shd w:val="clear" w:color="auto" w:fill="EAF1DD" w:themeFill="accent3" w:themeFillTint="33"/>
            <w:noWrap/>
            <w:vAlign w:val="center"/>
            <w:hideMark/>
          </w:tcPr>
          <w:p w14:paraId="5E1D724C"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Grand Total</w:t>
            </w:r>
          </w:p>
        </w:tc>
        <w:tc>
          <w:tcPr>
            <w:tcW w:w="1500" w:type="dxa"/>
            <w:shd w:val="clear" w:color="auto" w:fill="EAF1DD" w:themeFill="accent3" w:themeFillTint="33"/>
            <w:noWrap/>
            <w:vAlign w:val="center"/>
            <w:hideMark/>
          </w:tcPr>
          <w:p w14:paraId="2AB6C6EB"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17,875</w:t>
            </w:r>
          </w:p>
        </w:tc>
        <w:tc>
          <w:tcPr>
            <w:tcW w:w="1530" w:type="dxa"/>
            <w:shd w:val="clear" w:color="auto" w:fill="EAF1DD" w:themeFill="accent3" w:themeFillTint="33"/>
            <w:noWrap/>
            <w:vAlign w:val="center"/>
            <w:hideMark/>
          </w:tcPr>
          <w:p w14:paraId="40FA0222"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19,247</w:t>
            </w:r>
          </w:p>
        </w:tc>
        <w:tc>
          <w:tcPr>
            <w:tcW w:w="1440" w:type="dxa"/>
            <w:shd w:val="clear" w:color="auto" w:fill="EAF1DD" w:themeFill="accent3" w:themeFillTint="33"/>
            <w:noWrap/>
            <w:vAlign w:val="center"/>
            <w:hideMark/>
          </w:tcPr>
          <w:p w14:paraId="5230A73F"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7.7%</w:t>
            </w:r>
          </w:p>
        </w:tc>
      </w:tr>
    </w:tbl>
    <w:p w14:paraId="4C939F90" w14:textId="77777777" w:rsidR="00073BFC" w:rsidRPr="00105FFC" w:rsidRDefault="00073BFC" w:rsidP="00041458">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w:t>
      </w:r>
      <w:r w:rsidRPr="00105FFC">
        <w:rPr>
          <w:rFonts w:asciiTheme="minorHAnsi" w:eastAsiaTheme="minorHAnsi" w:hAnsiTheme="minorHAnsi" w:cs="Tahoma"/>
          <w:bCs/>
          <w:sz w:val="16"/>
          <w:szCs w:val="16"/>
        </w:rPr>
        <w:t>the Medi-Cal Managed Care Division’s Office of the Ombudsman call center</w:t>
      </w:r>
      <w:r w:rsidRPr="00105FFC">
        <w:rPr>
          <w:rFonts w:asciiTheme="minorHAnsi" w:eastAsiaTheme="minorHAnsi" w:hAnsiTheme="minorHAnsi" w:cs="Tahoma"/>
          <w:sz w:val="16"/>
          <w:szCs w:val="16"/>
        </w:rPr>
        <w:t>. 47,987 calls received during this time period included no Aid Code information (11,152 in SFY 2013-14; 36,835 in SFY 2014-15).</w:t>
      </w:r>
    </w:p>
    <w:p w14:paraId="565D332C" w14:textId="77777777" w:rsidR="00047142" w:rsidRPr="00105FFC" w:rsidRDefault="00047142" w:rsidP="00041458">
      <w:pPr>
        <w:spacing w:line="276" w:lineRule="auto"/>
        <w:rPr>
          <w:rFonts w:asciiTheme="minorHAnsi" w:eastAsiaTheme="minorHAnsi" w:hAnsiTheme="minorHAnsi" w:cs="Tahoma"/>
          <w:sz w:val="16"/>
          <w:szCs w:val="16"/>
        </w:rPr>
      </w:pPr>
    </w:p>
    <w:p w14:paraId="50811359" w14:textId="77777777" w:rsidR="00073BFC" w:rsidRPr="00105FFC" w:rsidRDefault="00073BFC" w:rsidP="00047142">
      <w:pPr>
        <w:pStyle w:val="Heading3"/>
        <w:spacing w:before="0" w:after="120" w:line="276" w:lineRule="auto"/>
      </w:pPr>
      <w:bookmarkStart w:id="509" w:name="_Toc459287781"/>
      <w:r w:rsidRPr="00105FFC">
        <w:t>Calls Received from FFS Medi-Cal Beneficiaries, by Call Category</w:t>
      </w:r>
      <w:bookmarkEnd w:id="509"/>
    </w:p>
    <w:p w14:paraId="02D01A8C" w14:textId="77777777" w:rsidR="00073BFC" w:rsidRPr="00105FFC" w:rsidRDefault="00073BFC" w:rsidP="00041458">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During SFYs 2013-14 and 2014-15, calls from FFS Medi-Cal beneficiaries were concentrated in the Miscellaneous Issues and Enrollment/Disenrollment call categories. The largest increase in call volume from SFYs 2013-14 to 2014-15 was seen in the Miscellaneous Issues call category (228.4%), and the largest decrease was seen in the Healthy Families Transition call category (-98.9%). Overall, call volume by call category increased 93.2% from SFYs 2013-14 to 2014-15 (Table </w:t>
      </w:r>
      <w:r w:rsidR="008D19CB">
        <w:rPr>
          <w:rFonts w:asciiTheme="minorHAnsi" w:eastAsiaTheme="minorHAnsi" w:hAnsiTheme="minorHAnsi" w:cstheme="minorBidi"/>
        </w:rPr>
        <w:t>49</w:t>
      </w:r>
      <w:r w:rsidRPr="00105FFC">
        <w:rPr>
          <w:rFonts w:asciiTheme="minorHAnsi" w:eastAsiaTheme="minorHAnsi" w:hAnsiTheme="minorHAnsi" w:cstheme="minorBidi"/>
        </w:rPr>
        <w:t>).</w:t>
      </w:r>
    </w:p>
    <w:p w14:paraId="04971ED7" w14:textId="77777777" w:rsidR="00041458" w:rsidRPr="00105FFC" w:rsidRDefault="00041458">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br w:type="page"/>
      </w:r>
    </w:p>
    <w:p w14:paraId="3486D781" w14:textId="77777777" w:rsidR="00041458" w:rsidRPr="00105FFC" w:rsidRDefault="00041458" w:rsidP="00041458">
      <w:pPr>
        <w:spacing w:line="276" w:lineRule="auto"/>
        <w:rPr>
          <w:rFonts w:asciiTheme="minorHAnsi" w:eastAsiaTheme="minorHAnsi" w:hAnsiTheme="minorHAnsi" w:cstheme="minorBidi"/>
        </w:rPr>
      </w:pPr>
    </w:p>
    <w:p w14:paraId="34063F94" w14:textId="77777777" w:rsidR="00073BFC" w:rsidRPr="00105FFC" w:rsidRDefault="008734A9" w:rsidP="00693080">
      <w:pPr>
        <w:rPr>
          <w:rFonts w:asciiTheme="minorHAnsi" w:eastAsiaTheme="minorHAnsi" w:hAnsiTheme="minorHAnsi" w:cstheme="minorBidi"/>
          <w:bCs/>
          <w:sz w:val="20"/>
          <w:szCs w:val="20"/>
        </w:rPr>
      </w:pPr>
      <w:bookmarkStart w:id="510" w:name="_Toc458783148"/>
      <w:bookmarkStart w:id="511" w:name="_Toc459285194"/>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49</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Calls Received from FFS Medi-Cal Beneficiaries in SFYs 2013-14 and 2014-15, by Call Category</w:t>
      </w:r>
      <w:bookmarkEnd w:id="510"/>
      <w:bookmarkEnd w:id="511"/>
    </w:p>
    <w:tbl>
      <w:tblPr>
        <w:tblStyle w:val="TableGrid3"/>
        <w:tblW w:w="0" w:type="auto"/>
        <w:tblLook w:val="04A0" w:firstRow="1" w:lastRow="0" w:firstColumn="1" w:lastColumn="0" w:noHBand="0" w:noVBand="1"/>
      </w:tblPr>
      <w:tblGrid>
        <w:gridCol w:w="3618"/>
        <w:gridCol w:w="1530"/>
        <w:gridCol w:w="1530"/>
        <w:gridCol w:w="1440"/>
      </w:tblGrid>
      <w:tr w:rsidR="00073BFC" w:rsidRPr="00105FFC" w14:paraId="20EA09D2" w14:textId="77777777" w:rsidTr="000739EB">
        <w:trPr>
          <w:trHeight w:val="315"/>
          <w:tblHeader/>
        </w:trPr>
        <w:tc>
          <w:tcPr>
            <w:tcW w:w="3618" w:type="dxa"/>
            <w:shd w:val="clear" w:color="auto" w:fill="F2F2F2" w:themeFill="background1" w:themeFillShade="F2"/>
            <w:noWrap/>
            <w:vAlign w:val="center"/>
            <w:hideMark/>
          </w:tcPr>
          <w:p w14:paraId="6EC1E58B"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Call Category</w:t>
            </w:r>
          </w:p>
        </w:tc>
        <w:tc>
          <w:tcPr>
            <w:tcW w:w="1530" w:type="dxa"/>
            <w:shd w:val="clear" w:color="auto" w:fill="F2F2F2" w:themeFill="background1" w:themeFillShade="F2"/>
            <w:noWrap/>
            <w:vAlign w:val="center"/>
            <w:hideMark/>
          </w:tcPr>
          <w:p w14:paraId="1F9006B6"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SFY 2013-14</w:t>
            </w:r>
          </w:p>
        </w:tc>
        <w:tc>
          <w:tcPr>
            <w:tcW w:w="1530" w:type="dxa"/>
            <w:shd w:val="clear" w:color="auto" w:fill="F2F2F2" w:themeFill="background1" w:themeFillShade="F2"/>
            <w:noWrap/>
            <w:vAlign w:val="center"/>
            <w:hideMark/>
          </w:tcPr>
          <w:p w14:paraId="735E4410"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SFY 2014-15</w:t>
            </w:r>
          </w:p>
        </w:tc>
        <w:tc>
          <w:tcPr>
            <w:tcW w:w="1440" w:type="dxa"/>
            <w:shd w:val="clear" w:color="auto" w:fill="F2F2F2" w:themeFill="background1" w:themeFillShade="F2"/>
            <w:noWrap/>
            <w:vAlign w:val="center"/>
            <w:hideMark/>
          </w:tcPr>
          <w:p w14:paraId="026612C0"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 Change</w:t>
            </w:r>
          </w:p>
        </w:tc>
      </w:tr>
      <w:tr w:rsidR="00073BFC" w:rsidRPr="00105FFC" w14:paraId="7376B7B7" w14:textId="77777777" w:rsidTr="000D6C4B">
        <w:trPr>
          <w:trHeight w:val="315"/>
        </w:trPr>
        <w:tc>
          <w:tcPr>
            <w:tcW w:w="3618" w:type="dxa"/>
            <w:noWrap/>
            <w:vAlign w:val="center"/>
            <w:hideMark/>
          </w:tcPr>
          <w:p w14:paraId="4D878E5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COC - Continuity of Care</w:t>
            </w:r>
          </w:p>
        </w:tc>
        <w:tc>
          <w:tcPr>
            <w:tcW w:w="1530" w:type="dxa"/>
            <w:noWrap/>
            <w:vAlign w:val="center"/>
            <w:hideMark/>
          </w:tcPr>
          <w:p w14:paraId="646D64C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38</w:t>
            </w:r>
          </w:p>
        </w:tc>
        <w:tc>
          <w:tcPr>
            <w:tcW w:w="1530" w:type="dxa"/>
            <w:noWrap/>
            <w:vAlign w:val="center"/>
            <w:hideMark/>
          </w:tcPr>
          <w:p w14:paraId="53C0A5D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w:t>
            </w:r>
          </w:p>
        </w:tc>
        <w:tc>
          <w:tcPr>
            <w:tcW w:w="1440" w:type="dxa"/>
            <w:noWrap/>
            <w:vAlign w:val="center"/>
            <w:hideMark/>
          </w:tcPr>
          <w:p w14:paraId="20A84BF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-31.6%</w:t>
            </w:r>
          </w:p>
        </w:tc>
      </w:tr>
      <w:tr w:rsidR="00073BFC" w:rsidRPr="00105FFC" w14:paraId="0F2CD81A" w14:textId="77777777" w:rsidTr="000D6C4B">
        <w:trPr>
          <w:trHeight w:val="315"/>
        </w:trPr>
        <w:tc>
          <w:tcPr>
            <w:tcW w:w="3618" w:type="dxa"/>
            <w:noWrap/>
            <w:vAlign w:val="center"/>
            <w:hideMark/>
          </w:tcPr>
          <w:p w14:paraId="2C72CCC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EDU - Education &amp; Outreach</w:t>
            </w:r>
          </w:p>
        </w:tc>
        <w:tc>
          <w:tcPr>
            <w:tcW w:w="1530" w:type="dxa"/>
            <w:noWrap/>
            <w:vAlign w:val="center"/>
            <w:hideMark/>
          </w:tcPr>
          <w:p w14:paraId="4B2704A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4,160</w:t>
            </w:r>
          </w:p>
        </w:tc>
        <w:tc>
          <w:tcPr>
            <w:tcW w:w="1530" w:type="dxa"/>
            <w:noWrap/>
            <w:vAlign w:val="center"/>
            <w:hideMark/>
          </w:tcPr>
          <w:p w14:paraId="32EB298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3,523</w:t>
            </w:r>
          </w:p>
        </w:tc>
        <w:tc>
          <w:tcPr>
            <w:tcW w:w="1440" w:type="dxa"/>
            <w:noWrap/>
            <w:vAlign w:val="center"/>
            <w:hideMark/>
          </w:tcPr>
          <w:p w14:paraId="02A5013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-15.3%</w:t>
            </w:r>
          </w:p>
        </w:tc>
      </w:tr>
      <w:tr w:rsidR="00073BFC" w:rsidRPr="00105FFC" w14:paraId="75D6CCB3" w14:textId="77777777" w:rsidTr="000D6C4B">
        <w:trPr>
          <w:trHeight w:val="315"/>
        </w:trPr>
        <w:tc>
          <w:tcPr>
            <w:tcW w:w="3618" w:type="dxa"/>
            <w:noWrap/>
            <w:vAlign w:val="center"/>
            <w:hideMark/>
          </w:tcPr>
          <w:p w14:paraId="466B229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ELG - Eligibility</w:t>
            </w:r>
          </w:p>
        </w:tc>
        <w:tc>
          <w:tcPr>
            <w:tcW w:w="1530" w:type="dxa"/>
            <w:noWrap/>
            <w:vAlign w:val="center"/>
            <w:hideMark/>
          </w:tcPr>
          <w:p w14:paraId="171B77E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2,237</w:t>
            </w:r>
          </w:p>
        </w:tc>
        <w:tc>
          <w:tcPr>
            <w:tcW w:w="1530" w:type="dxa"/>
            <w:noWrap/>
            <w:vAlign w:val="center"/>
            <w:hideMark/>
          </w:tcPr>
          <w:p w14:paraId="13D328A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2,614</w:t>
            </w:r>
          </w:p>
        </w:tc>
        <w:tc>
          <w:tcPr>
            <w:tcW w:w="1440" w:type="dxa"/>
            <w:noWrap/>
            <w:vAlign w:val="center"/>
            <w:hideMark/>
          </w:tcPr>
          <w:p w14:paraId="26CBDC7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16.9%</w:t>
            </w:r>
          </w:p>
        </w:tc>
      </w:tr>
      <w:tr w:rsidR="00073BFC" w:rsidRPr="00105FFC" w14:paraId="62EA1C3E" w14:textId="77777777" w:rsidTr="000D6C4B">
        <w:trPr>
          <w:trHeight w:val="315"/>
        </w:trPr>
        <w:tc>
          <w:tcPr>
            <w:tcW w:w="3618" w:type="dxa"/>
            <w:noWrap/>
            <w:vAlign w:val="center"/>
            <w:hideMark/>
          </w:tcPr>
          <w:p w14:paraId="4C77E3B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HCO - Enrollment/Disenrollment</w:t>
            </w:r>
          </w:p>
        </w:tc>
        <w:tc>
          <w:tcPr>
            <w:tcW w:w="1530" w:type="dxa"/>
            <w:noWrap/>
            <w:vAlign w:val="center"/>
            <w:hideMark/>
          </w:tcPr>
          <w:p w14:paraId="2E66D01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11,028</w:t>
            </w:r>
          </w:p>
        </w:tc>
        <w:tc>
          <w:tcPr>
            <w:tcW w:w="1530" w:type="dxa"/>
            <w:noWrap/>
            <w:vAlign w:val="center"/>
            <w:hideMark/>
          </w:tcPr>
          <w:p w14:paraId="394A1DE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14,359</w:t>
            </w:r>
          </w:p>
        </w:tc>
        <w:tc>
          <w:tcPr>
            <w:tcW w:w="1440" w:type="dxa"/>
            <w:noWrap/>
            <w:vAlign w:val="center"/>
            <w:hideMark/>
          </w:tcPr>
          <w:p w14:paraId="6B6A2A6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30.2%</w:t>
            </w:r>
          </w:p>
        </w:tc>
      </w:tr>
      <w:tr w:rsidR="00073BFC" w:rsidRPr="00105FFC" w14:paraId="24E7BFCF" w14:textId="77777777" w:rsidTr="000D6C4B">
        <w:trPr>
          <w:trHeight w:val="315"/>
        </w:trPr>
        <w:tc>
          <w:tcPr>
            <w:tcW w:w="3618" w:type="dxa"/>
            <w:noWrap/>
            <w:vAlign w:val="center"/>
            <w:hideMark/>
          </w:tcPr>
          <w:p w14:paraId="4A4A5A8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HCP - Health Care Plan Issues</w:t>
            </w:r>
          </w:p>
        </w:tc>
        <w:tc>
          <w:tcPr>
            <w:tcW w:w="1530" w:type="dxa"/>
            <w:noWrap/>
            <w:vAlign w:val="center"/>
            <w:hideMark/>
          </w:tcPr>
          <w:p w14:paraId="2180BFD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107</w:t>
            </w:r>
          </w:p>
        </w:tc>
        <w:tc>
          <w:tcPr>
            <w:tcW w:w="1530" w:type="dxa"/>
            <w:noWrap/>
            <w:vAlign w:val="center"/>
            <w:hideMark/>
          </w:tcPr>
          <w:p w14:paraId="634D900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103</w:t>
            </w:r>
          </w:p>
        </w:tc>
        <w:tc>
          <w:tcPr>
            <w:tcW w:w="1440" w:type="dxa"/>
            <w:noWrap/>
            <w:vAlign w:val="center"/>
            <w:hideMark/>
          </w:tcPr>
          <w:p w14:paraId="319B10F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-3.7%</w:t>
            </w:r>
          </w:p>
        </w:tc>
      </w:tr>
      <w:tr w:rsidR="00073BFC" w:rsidRPr="00105FFC" w14:paraId="0FA26ABF" w14:textId="77777777" w:rsidTr="000D6C4B">
        <w:trPr>
          <w:trHeight w:val="315"/>
        </w:trPr>
        <w:tc>
          <w:tcPr>
            <w:tcW w:w="3618" w:type="dxa"/>
            <w:noWrap/>
            <w:vAlign w:val="center"/>
            <w:hideMark/>
          </w:tcPr>
          <w:p w14:paraId="69B6326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HFT - Healthy Families Transition</w:t>
            </w:r>
          </w:p>
        </w:tc>
        <w:tc>
          <w:tcPr>
            <w:tcW w:w="1530" w:type="dxa"/>
            <w:noWrap/>
            <w:vAlign w:val="center"/>
            <w:hideMark/>
          </w:tcPr>
          <w:p w14:paraId="0DB7865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89</w:t>
            </w:r>
          </w:p>
        </w:tc>
        <w:tc>
          <w:tcPr>
            <w:tcW w:w="1530" w:type="dxa"/>
            <w:noWrap/>
            <w:vAlign w:val="center"/>
            <w:hideMark/>
          </w:tcPr>
          <w:p w14:paraId="54A9559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w:t>
            </w:r>
          </w:p>
        </w:tc>
        <w:tc>
          <w:tcPr>
            <w:tcW w:w="1440" w:type="dxa"/>
            <w:noWrap/>
            <w:vAlign w:val="center"/>
            <w:hideMark/>
          </w:tcPr>
          <w:p w14:paraId="7F44DB6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-98.9%</w:t>
            </w:r>
          </w:p>
        </w:tc>
      </w:tr>
      <w:tr w:rsidR="00073BFC" w:rsidRPr="00105FFC" w14:paraId="621042EF" w14:textId="77777777" w:rsidTr="000D6C4B">
        <w:trPr>
          <w:trHeight w:val="315"/>
        </w:trPr>
        <w:tc>
          <w:tcPr>
            <w:tcW w:w="3618" w:type="dxa"/>
            <w:noWrap/>
            <w:vAlign w:val="center"/>
            <w:hideMark/>
          </w:tcPr>
          <w:p w14:paraId="64E5D0F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MISC - Miscellaneous Issues</w:t>
            </w:r>
          </w:p>
        </w:tc>
        <w:tc>
          <w:tcPr>
            <w:tcW w:w="1530" w:type="dxa"/>
            <w:noWrap/>
            <w:vAlign w:val="center"/>
            <w:hideMark/>
          </w:tcPr>
          <w:p w14:paraId="5F8E7AA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10,561</w:t>
            </w:r>
          </w:p>
        </w:tc>
        <w:tc>
          <w:tcPr>
            <w:tcW w:w="1530" w:type="dxa"/>
            <w:noWrap/>
            <w:vAlign w:val="center"/>
            <w:hideMark/>
          </w:tcPr>
          <w:p w14:paraId="7805551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34,680</w:t>
            </w:r>
          </w:p>
        </w:tc>
        <w:tc>
          <w:tcPr>
            <w:tcW w:w="1440" w:type="dxa"/>
            <w:noWrap/>
            <w:vAlign w:val="center"/>
            <w:hideMark/>
          </w:tcPr>
          <w:p w14:paraId="7F9DC15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228.4%</w:t>
            </w:r>
          </w:p>
        </w:tc>
      </w:tr>
      <w:tr w:rsidR="00073BFC" w:rsidRPr="00105FFC" w14:paraId="26F7AB1B" w14:textId="77777777" w:rsidTr="000D6C4B">
        <w:trPr>
          <w:trHeight w:val="315"/>
        </w:trPr>
        <w:tc>
          <w:tcPr>
            <w:tcW w:w="3618" w:type="dxa"/>
            <w:noWrap/>
            <w:vAlign w:val="center"/>
            <w:hideMark/>
          </w:tcPr>
          <w:p w14:paraId="24E4BA8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OHC - Other Health Coverage</w:t>
            </w:r>
          </w:p>
        </w:tc>
        <w:tc>
          <w:tcPr>
            <w:tcW w:w="1530" w:type="dxa"/>
            <w:noWrap/>
            <w:vAlign w:val="center"/>
            <w:hideMark/>
          </w:tcPr>
          <w:p w14:paraId="75D539A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604</w:t>
            </w:r>
          </w:p>
        </w:tc>
        <w:tc>
          <w:tcPr>
            <w:tcW w:w="1530" w:type="dxa"/>
            <w:noWrap/>
            <w:vAlign w:val="center"/>
            <w:hideMark/>
          </w:tcPr>
          <w:p w14:paraId="1012206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513</w:t>
            </w:r>
          </w:p>
        </w:tc>
        <w:tc>
          <w:tcPr>
            <w:tcW w:w="1440" w:type="dxa"/>
            <w:noWrap/>
            <w:vAlign w:val="center"/>
            <w:hideMark/>
          </w:tcPr>
          <w:p w14:paraId="2272BE3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-15.1%</w:t>
            </w:r>
          </w:p>
        </w:tc>
      </w:tr>
      <w:tr w:rsidR="00073BFC" w:rsidRPr="00105FFC" w14:paraId="42228687" w14:textId="77777777" w:rsidTr="000D6C4B">
        <w:trPr>
          <w:trHeight w:val="315"/>
        </w:trPr>
        <w:tc>
          <w:tcPr>
            <w:tcW w:w="3618" w:type="dxa"/>
            <w:noWrap/>
            <w:vAlign w:val="center"/>
            <w:hideMark/>
          </w:tcPr>
          <w:p w14:paraId="066BF8F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PRV - Plan Subcontractor/Provider Issues</w:t>
            </w:r>
          </w:p>
        </w:tc>
        <w:tc>
          <w:tcPr>
            <w:tcW w:w="1530" w:type="dxa"/>
            <w:noWrap/>
            <w:vAlign w:val="center"/>
            <w:hideMark/>
          </w:tcPr>
          <w:p w14:paraId="773ABA2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100</w:t>
            </w:r>
          </w:p>
        </w:tc>
        <w:tc>
          <w:tcPr>
            <w:tcW w:w="1530" w:type="dxa"/>
            <w:noWrap/>
            <w:vAlign w:val="center"/>
            <w:hideMark/>
          </w:tcPr>
          <w:p w14:paraId="23043A4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124</w:t>
            </w:r>
          </w:p>
        </w:tc>
        <w:tc>
          <w:tcPr>
            <w:tcW w:w="1440" w:type="dxa"/>
            <w:noWrap/>
            <w:vAlign w:val="center"/>
            <w:hideMark/>
          </w:tcPr>
          <w:p w14:paraId="743C234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24.0%</w:t>
            </w:r>
          </w:p>
        </w:tc>
      </w:tr>
      <w:tr w:rsidR="00073BFC" w:rsidRPr="00105FFC" w14:paraId="3A654FB9" w14:textId="77777777" w:rsidTr="000D6C4B">
        <w:trPr>
          <w:trHeight w:val="315"/>
        </w:trPr>
        <w:tc>
          <w:tcPr>
            <w:tcW w:w="3618" w:type="dxa"/>
            <w:tcBorders>
              <w:bottom w:val="single" w:sz="4" w:space="0" w:color="auto"/>
            </w:tcBorders>
            <w:noWrap/>
            <w:vAlign w:val="center"/>
            <w:hideMark/>
          </w:tcPr>
          <w:p w14:paraId="418FCF2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QOC - Quality of Care</w:t>
            </w:r>
          </w:p>
        </w:tc>
        <w:tc>
          <w:tcPr>
            <w:tcW w:w="1530" w:type="dxa"/>
            <w:tcBorders>
              <w:bottom w:val="single" w:sz="4" w:space="0" w:color="auto"/>
            </w:tcBorders>
            <w:noWrap/>
            <w:vAlign w:val="center"/>
            <w:hideMark/>
          </w:tcPr>
          <w:p w14:paraId="450B949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103</w:t>
            </w:r>
          </w:p>
        </w:tc>
        <w:tc>
          <w:tcPr>
            <w:tcW w:w="1530" w:type="dxa"/>
            <w:tcBorders>
              <w:bottom w:val="single" w:sz="4" w:space="0" w:color="auto"/>
            </w:tcBorders>
            <w:noWrap/>
            <w:vAlign w:val="center"/>
            <w:hideMark/>
          </w:tcPr>
          <w:p w14:paraId="684F406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139</w:t>
            </w:r>
          </w:p>
        </w:tc>
        <w:tc>
          <w:tcPr>
            <w:tcW w:w="1440" w:type="dxa"/>
            <w:tcBorders>
              <w:bottom w:val="single" w:sz="4" w:space="0" w:color="auto"/>
            </w:tcBorders>
            <w:noWrap/>
            <w:vAlign w:val="center"/>
            <w:hideMark/>
          </w:tcPr>
          <w:p w14:paraId="4365FB4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35.0%</w:t>
            </w:r>
          </w:p>
        </w:tc>
      </w:tr>
      <w:tr w:rsidR="00073BFC" w:rsidRPr="00105FFC" w14:paraId="610BAAFE" w14:textId="77777777" w:rsidTr="000D6C4B">
        <w:trPr>
          <w:trHeight w:val="315"/>
        </w:trPr>
        <w:tc>
          <w:tcPr>
            <w:tcW w:w="3618" w:type="dxa"/>
            <w:shd w:val="clear" w:color="auto" w:fill="EAF1DD" w:themeFill="accent3" w:themeFillTint="33"/>
            <w:noWrap/>
            <w:vAlign w:val="center"/>
            <w:hideMark/>
          </w:tcPr>
          <w:p w14:paraId="5BB034E3"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Grand Total</w:t>
            </w:r>
          </w:p>
        </w:tc>
        <w:tc>
          <w:tcPr>
            <w:tcW w:w="1530" w:type="dxa"/>
            <w:shd w:val="clear" w:color="auto" w:fill="EAF1DD" w:themeFill="accent3" w:themeFillTint="33"/>
            <w:noWrap/>
            <w:vAlign w:val="center"/>
            <w:hideMark/>
          </w:tcPr>
          <w:p w14:paraId="11E9C9A6"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29,027</w:t>
            </w:r>
          </w:p>
        </w:tc>
        <w:tc>
          <w:tcPr>
            <w:tcW w:w="1530" w:type="dxa"/>
            <w:shd w:val="clear" w:color="auto" w:fill="EAF1DD" w:themeFill="accent3" w:themeFillTint="33"/>
            <w:noWrap/>
            <w:vAlign w:val="center"/>
            <w:hideMark/>
          </w:tcPr>
          <w:p w14:paraId="50E9AF55"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56,082</w:t>
            </w:r>
          </w:p>
        </w:tc>
        <w:tc>
          <w:tcPr>
            <w:tcW w:w="1440" w:type="dxa"/>
            <w:shd w:val="clear" w:color="auto" w:fill="EAF1DD" w:themeFill="accent3" w:themeFillTint="33"/>
            <w:noWrap/>
            <w:vAlign w:val="center"/>
            <w:hideMark/>
          </w:tcPr>
          <w:p w14:paraId="2FF83B67"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93.2%</w:t>
            </w:r>
          </w:p>
        </w:tc>
      </w:tr>
    </w:tbl>
    <w:p w14:paraId="17ABC48B" w14:textId="77777777" w:rsidR="00073BFC" w:rsidRPr="00105FFC" w:rsidRDefault="00073BFC" w:rsidP="00041458">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w:t>
      </w:r>
      <w:r w:rsidRPr="00105FFC">
        <w:rPr>
          <w:rFonts w:asciiTheme="minorHAnsi" w:eastAsiaTheme="minorHAnsi" w:hAnsiTheme="minorHAnsi" w:cs="Tahoma"/>
          <w:bCs/>
          <w:sz w:val="16"/>
          <w:szCs w:val="16"/>
        </w:rPr>
        <w:t>the Medi-Cal Managed Care Division’s Office of the Ombudsman call center</w:t>
      </w:r>
      <w:r w:rsidRPr="00105FFC">
        <w:rPr>
          <w:rFonts w:asciiTheme="minorHAnsi" w:eastAsiaTheme="minorHAnsi" w:hAnsiTheme="minorHAnsi" w:cs="Tahoma"/>
          <w:sz w:val="16"/>
          <w:szCs w:val="16"/>
        </w:rPr>
        <w:t>.</w:t>
      </w:r>
    </w:p>
    <w:p w14:paraId="339FBC0C" w14:textId="77777777" w:rsidR="008D5476" w:rsidRPr="00105FFC" w:rsidRDefault="008D5476" w:rsidP="00041458">
      <w:pPr>
        <w:spacing w:line="276" w:lineRule="auto"/>
        <w:rPr>
          <w:rFonts w:asciiTheme="minorHAnsi" w:eastAsiaTheme="minorHAnsi" w:hAnsiTheme="minorHAnsi" w:cs="Tahoma"/>
          <w:sz w:val="16"/>
          <w:szCs w:val="16"/>
        </w:rPr>
      </w:pPr>
    </w:p>
    <w:p w14:paraId="11FDF101" w14:textId="77777777" w:rsidR="00073BFC" w:rsidRPr="00105FFC" w:rsidRDefault="00073BFC" w:rsidP="00047142">
      <w:pPr>
        <w:pStyle w:val="Heading3"/>
        <w:spacing w:before="0" w:after="120" w:line="276" w:lineRule="auto"/>
      </w:pPr>
      <w:bookmarkStart w:id="512" w:name="_Toc459287782"/>
      <w:r w:rsidRPr="00105FFC">
        <w:t>Top Three Call Categories, by Aid Category</w:t>
      </w:r>
      <w:bookmarkEnd w:id="512"/>
    </w:p>
    <w:p w14:paraId="56136244" w14:textId="77777777" w:rsidR="00073BFC" w:rsidRPr="00105FFC" w:rsidRDefault="00073BFC" w:rsidP="00047142">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 xml:space="preserve">During SFYs 2013-14 and 2014-15, calls from FFS Medi-Cal beneficiaries in the Parent/Caretaker Relative &amp; Child aid category were heavily concentrated in the Enrollment/Disenrollment call category. The largest change in call volume from SFYs 2013-14 to 2014-15 was seen in the Miscellaneous Issues call category (-66.9%) (Table </w:t>
      </w:r>
      <w:r w:rsidR="008734A9" w:rsidRPr="00105FFC">
        <w:rPr>
          <w:rFonts w:asciiTheme="minorHAnsi" w:eastAsiaTheme="minorHAnsi" w:hAnsiTheme="minorHAnsi" w:cstheme="minorBidi"/>
        </w:rPr>
        <w:t>5</w:t>
      </w:r>
      <w:r w:rsidR="008D19CB">
        <w:rPr>
          <w:rFonts w:asciiTheme="minorHAnsi" w:eastAsiaTheme="minorHAnsi" w:hAnsiTheme="minorHAnsi" w:cstheme="minorBidi"/>
        </w:rPr>
        <w:t>0</w:t>
      </w:r>
      <w:r w:rsidRPr="00105FFC">
        <w:rPr>
          <w:rFonts w:asciiTheme="minorHAnsi" w:eastAsiaTheme="minorHAnsi" w:hAnsiTheme="minorHAnsi" w:cstheme="minorBidi"/>
        </w:rPr>
        <w:t>).</w:t>
      </w:r>
    </w:p>
    <w:p w14:paraId="40ADBFAB" w14:textId="77777777" w:rsidR="00073BFC" w:rsidRPr="00105FFC" w:rsidRDefault="008734A9" w:rsidP="00693080">
      <w:pPr>
        <w:rPr>
          <w:rFonts w:asciiTheme="minorHAnsi" w:eastAsiaTheme="minorHAnsi" w:hAnsiTheme="minorHAnsi" w:cstheme="minorBidi"/>
          <w:bCs/>
          <w:sz w:val="20"/>
          <w:szCs w:val="20"/>
        </w:rPr>
      </w:pPr>
      <w:bookmarkStart w:id="513" w:name="_Toc458783149"/>
      <w:bookmarkStart w:id="514" w:name="_Toc459285195"/>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50</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Top Three Categories of Calls Received from FFS Medi-Cal Beneficiaries in the Parent/Caretaker Relative &amp; Child Aid Category in SFYs 2013-14 and 2014-15</w:t>
      </w:r>
      <w:bookmarkEnd w:id="513"/>
      <w:bookmarkEnd w:id="514"/>
    </w:p>
    <w:tbl>
      <w:tblPr>
        <w:tblStyle w:val="TableGrid3"/>
        <w:tblW w:w="0" w:type="auto"/>
        <w:tblLook w:val="04A0" w:firstRow="1" w:lastRow="0" w:firstColumn="1" w:lastColumn="0" w:noHBand="0" w:noVBand="1"/>
      </w:tblPr>
      <w:tblGrid>
        <w:gridCol w:w="1008"/>
        <w:gridCol w:w="3240"/>
        <w:gridCol w:w="3240"/>
        <w:gridCol w:w="1054"/>
        <w:gridCol w:w="1034"/>
      </w:tblGrid>
      <w:tr w:rsidR="00073BFC" w:rsidRPr="00105FFC" w14:paraId="5E07C1BB" w14:textId="77777777" w:rsidTr="000739EB">
        <w:trPr>
          <w:trHeight w:val="315"/>
          <w:tblHeader/>
        </w:trPr>
        <w:tc>
          <w:tcPr>
            <w:tcW w:w="1008" w:type="dxa"/>
            <w:shd w:val="clear" w:color="auto" w:fill="F2F2F2" w:themeFill="background1" w:themeFillShade="F2"/>
            <w:noWrap/>
            <w:vAlign w:val="center"/>
            <w:hideMark/>
          </w:tcPr>
          <w:p w14:paraId="649ECB5A"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SFY</w:t>
            </w:r>
          </w:p>
        </w:tc>
        <w:tc>
          <w:tcPr>
            <w:tcW w:w="3240" w:type="dxa"/>
            <w:shd w:val="clear" w:color="auto" w:fill="F2F2F2" w:themeFill="background1" w:themeFillShade="F2"/>
            <w:noWrap/>
            <w:vAlign w:val="center"/>
            <w:hideMark/>
          </w:tcPr>
          <w:p w14:paraId="3AEC196E"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Call Category</w:t>
            </w:r>
          </w:p>
        </w:tc>
        <w:tc>
          <w:tcPr>
            <w:tcW w:w="3240" w:type="dxa"/>
            <w:shd w:val="clear" w:color="auto" w:fill="F2F2F2" w:themeFill="background1" w:themeFillShade="F2"/>
            <w:noWrap/>
            <w:vAlign w:val="center"/>
            <w:hideMark/>
          </w:tcPr>
          <w:p w14:paraId="0E9873B8"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Aid Category</w:t>
            </w:r>
          </w:p>
        </w:tc>
        <w:tc>
          <w:tcPr>
            <w:tcW w:w="1054" w:type="dxa"/>
            <w:shd w:val="clear" w:color="auto" w:fill="F2F2F2" w:themeFill="background1" w:themeFillShade="F2"/>
            <w:noWrap/>
            <w:vAlign w:val="center"/>
            <w:hideMark/>
          </w:tcPr>
          <w:p w14:paraId="099C1CC2"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 of Calls</w:t>
            </w:r>
          </w:p>
        </w:tc>
        <w:tc>
          <w:tcPr>
            <w:tcW w:w="1034" w:type="dxa"/>
            <w:shd w:val="clear" w:color="auto" w:fill="F2F2F2" w:themeFill="background1" w:themeFillShade="F2"/>
            <w:noWrap/>
            <w:vAlign w:val="center"/>
            <w:hideMark/>
          </w:tcPr>
          <w:p w14:paraId="4507F9D2"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 Change</w:t>
            </w:r>
          </w:p>
        </w:tc>
      </w:tr>
      <w:tr w:rsidR="00073BFC" w:rsidRPr="00105FFC" w14:paraId="4EB21F38" w14:textId="77777777" w:rsidTr="000D6C4B">
        <w:trPr>
          <w:trHeight w:val="315"/>
        </w:trPr>
        <w:tc>
          <w:tcPr>
            <w:tcW w:w="1008" w:type="dxa"/>
            <w:noWrap/>
            <w:vAlign w:val="center"/>
            <w:hideMark/>
          </w:tcPr>
          <w:p w14:paraId="6AA017F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3240" w:type="dxa"/>
            <w:noWrap/>
            <w:vAlign w:val="center"/>
            <w:hideMark/>
          </w:tcPr>
          <w:p w14:paraId="1AC47AA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MISC - Miscellaneous Issues</w:t>
            </w:r>
          </w:p>
        </w:tc>
        <w:tc>
          <w:tcPr>
            <w:tcW w:w="3240" w:type="dxa"/>
            <w:noWrap/>
            <w:vAlign w:val="center"/>
            <w:hideMark/>
          </w:tcPr>
          <w:p w14:paraId="7EA258A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Parent/Caretaker Relative &amp; Child</w:t>
            </w:r>
          </w:p>
        </w:tc>
        <w:tc>
          <w:tcPr>
            <w:tcW w:w="1054" w:type="dxa"/>
            <w:noWrap/>
            <w:vAlign w:val="center"/>
            <w:hideMark/>
          </w:tcPr>
          <w:p w14:paraId="352F951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815</w:t>
            </w:r>
          </w:p>
        </w:tc>
        <w:tc>
          <w:tcPr>
            <w:tcW w:w="1034" w:type="dxa"/>
            <w:noWrap/>
            <w:vAlign w:val="center"/>
            <w:hideMark/>
          </w:tcPr>
          <w:p w14:paraId="7D76B95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N/A</w:t>
            </w:r>
          </w:p>
        </w:tc>
      </w:tr>
      <w:tr w:rsidR="00073BFC" w:rsidRPr="00105FFC" w14:paraId="7845EEF2" w14:textId="77777777" w:rsidTr="000D6C4B">
        <w:trPr>
          <w:trHeight w:val="315"/>
        </w:trPr>
        <w:tc>
          <w:tcPr>
            <w:tcW w:w="1008" w:type="dxa"/>
            <w:noWrap/>
            <w:vAlign w:val="center"/>
            <w:hideMark/>
          </w:tcPr>
          <w:p w14:paraId="226479B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3240" w:type="dxa"/>
            <w:noWrap/>
            <w:vAlign w:val="center"/>
            <w:hideMark/>
          </w:tcPr>
          <w:p w14:paraId="039D46A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MISC - Miscellaneous Issues</w:t>
            </w:r>
          </w:p>
        </w:tc>
        <w:tc>
          <w:tcPr>
            <w:tcW w:w="3240" w:type="dxa"/>
            <w:noWrap/>
            <w:vAlign w:val="center"/>
            <w:hideMark/>
          </w:tcPr>
          <w:p w14:paraId="43AD50B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Parent/Caretaker Relative &amp; Child</w:t>
            </w:r>
          </w:p>
        </w:tc>
        <w:tc>
          <w:tcPr>
            <w:tcW w:w="1054" w:type="dxa"/>
            <w:noWrap/>
            <w:vAlign w:val="center"/>
            <w:hideMark/>
          </w:tcPr>
          <w:p w14:paraId="6AFE253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270</w:t>
            </w:r>
          </w:p>
        </w:tc>
        <w:tc>
          <w:tcPr>
            <w:tcW w:w="1034" w:type="dxa"/>
            <w:noWrap/>
            <w:vAlign w:val="center"/>
            <w:hideMark/>
          </w:tcPr>
          <w:p w14:paraId="32E78E2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-66.9%</w:t>
            </w:r>
          </w:p>
        </w:tc>
      </w:tr>
      <w:tr w:rsidR="00073BFC" w:rsidRPr="00105FFC" w14:paraId="73FF9741" w14:textId="77777777" w:rsidTr="000D6C4B">
        <w:trPr>
          <w:trHeight w:val="315"/>
        </w:trPr>
        <w:tc>
          <w:tcPr>
            <w:tcW w:w="1008" w:type="dxa"/>
            <w:noWrap/>
            <w:vAlign w:val="center"/>
            <w:hideMark/>
          </w:tcPr>
          <w:p w14:paraId="2DECA64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3240" w:type="dxa"/>
            <w:noWrap/>
            <w:vAlign w:val="center"/>
            <w:hideMark/>
          </w:tcPr>
          <w:p w14:paraId="6AB324F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HCO - Enrollment/Disenrollment</w:t>
            </w:r>
          </w:p>
        </w:tc>
        <w:tc>
          <w:tcPr>
            <w:tcW w:w="3240" w:type="dxa"/>
            <w:noWrap/>
            <w:vAlign w:val="center"/>
            <w:hideMark/>
          </w:tcPr>
          <w:p w14:paraId="759EF72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Parent/Caretaker Relative &amp; Child</w:t>
            </w:r>
          </w:p>
        </w:tc>
        <w:tc>
          <w:tcPr>
            <w:tcW w:w="1054" w:type="dxa"/>
            <w:noWrap/>
            <w:vAlign w:val="center"/>
            <w:hideMark/>
          </w:tcPr>
          <w:p w14:paraId="6E7C1C3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6,029</w:t>
            </w:r>
          </w:p>
        </w:tc>
        <w:tc>
          <w:tcPr>
            <w:tcW w:w="1034" w:type="dxa"/>
            <w:noWrap/>
            <w:vAlign w:val="center"/>
            <w:hideMark/>
          </w:tcPr>
          <w:p w14:paraId="2A5402E3"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N/A</w:t>
            </w:r>
          </w:p>
        </w:tc>
      </w:tr>
      <w:tr w:rsidR="00073BFC" w:rsidRPr="00105FFC" w14:paraId="38EBC5B3" w14:textId="77777777" w:rsidTr="000D6C4B">
        <w:trPr>
          <w:trHeight w:val="315"/>
        </w:trPr>
        <w:tc>
          <w:tcPr>
            <w:tcW w:w="1008" w:type="dxa"/>
            <w:noWrap/>
            <w:vAlign w:val="center"/>
            <w:hideMark/>
          </w:tcPr>
          <w:p w14:paraId="2F5A7BD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3240" w:type="dxa"/>
            <w:noWrap/>
            <w:vAlign w:val="center"/>
            <w:hideMark/>
          </w:tcPr>
          <w:p w14:paraId="3D4CEDA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HCO - Enrollment/Disenrollment</w:t>
            </w:r>
          </w:p>
        </w:tc>
        <w:tc>
          <w:tcPr>
            <w:tcW w:w="3240" w:type="dxa"/>
            <w:noWrap/>
            <w:vAlign w:val="center"/>
            <w:hideMark/>
          </w:tcPr>
          <w:p w14:paraId="4B45C24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Parent/Caretaker Relative &amp; Child</w:t>
            </w:r>
          </w:p>
        </w:tc>
        <w:tc>
          <w:tcPr>
            <w:tcW w:w="1054" w:type="dxa"/>
            <w:noWrap/>
            <w:vAlign w:val="center"/>
            <w:hideMark/>
          </w:tcPr>
          <w:p w14:paraId="4E3B413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6,480</w:t>
            </w:r>
          </w:p>
        </w:tc>
        <w:tc>
          <w:tcPr>
            <w:tcW w:w="1034" w:type="dxa"/>
            <w:noWrap/>
            <w:vAlign w:val="center"/>
            <w:hideMark/>
          </w:tcPr>
          <w:p w14:paraId="5241948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7.5%</w:t>
            </w:r>
          </w:p>
        </w:tc>
      </w:tr>
      <w:tr w:rsidR="00073BFC" w:rsidRPr="00105FFC" w14:paraId="0BBCAEC7" w14:textId="77777777" w:rsidTr="000D6C4B">
        <w:trPr>
          <w:trHeight w:val="315"/>
        </w:trPr>
        <w:tc>
          <w:tcPr>
            <w:tcW w:w="1008" w:type="dxa"/>
            <w:noWrap/>
            <w:vAlign w:val="center"/>
            <w:hideMark/>
          </w:tcPr>
          <w:p w14:paraId="480C48E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3240" w:type="dxa"/>
            <w:noWrap/>
            <w:vAlign w:val="center"/>
            <w:hideMark/>
          </w:tcPr>
          <w:p w14:paraId="1A54CC5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EDU - Education &amp; Outreach</w:t>
            </w:r>
          </w:p>
        </w:tc>
        <w:tc>
          <w:tcPr>
            <w:tcW w:w="3240" w:type="dxa"/>
            <w:noWrap/>
            <w:vAlign w:val="center"/>
            <w:hideMark/>
          </w:tcPr>
          <w:p w14:paraId="422ED41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Parent/Caretaker Relative &amp; Child</w:t>
            </w:r>
          </w:p>
        </w:tc>
        <w:tc>
          <w:tcPr>
            <w:tcW w:w="1054" w:type="dxa"/>
            <w:noWrap/>
            <w:vAlign w:val="center"/>
            <w:hideMark/>
          </w:tcPr>
          <w:p w14:paraId="198BEEB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212</w:t>
            </w:r>
          </w:p>
        </w:tc>
        <w:tc>
          <w:tcPr>
            <w:tcW w:w="1034" w:type="dxa"/>
            <w:noWrap/>
            <w:vAlign w:val="center"/>
            <w:hideMark/>
          </w:tcPr>
          <w:p w14:paraId="2852CE2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N/A</w:t>
            </w:r>
          </w:p>
        </w:tc>
      </w:tr>
      <w:tr w:rsidR="00073BFC" w:rsidRPr="00105FFC" w14:paraId="5992AFF2" w14:textId="77777777" w:rsidTr="000D6C4B">
        <w:trPr>
          <w:trHeight w:val="315"/>
        </w:trPr>
        <w:tc>
          <w:tcPr>
            <w:tcW w:w="1008" w:type="dxa"/>
            <w:noWrap/>
            <w:vAlign w:val="center"/>
            <w:hideMark/>
          </w:tcPr>
          <w:p w14:paraId="6089C9A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3240" w:type="dxa"/>
            <w:noWrap/>
            <w:vAlign w:val="center"/>
            <w:hideMark/>
          </w:tcPr>
          <w:p w14:paraId="21090E5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EDU - Education &amp; Outreach</w:t>
            </w:r>
          </w:p>
        </w:tc>
        <w:tc>
          <w:tcPr>
            <w:tcW w:w="3240" w:type="dxa"/>
            <w:noWrap/>
            <w:vAlign w:val="center"/>
            <w:hideMark/>
          </w:tcPr>
          <w:p w14:paraId="7376F152"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Parent/Caretaker Relative &amp; Child</w:t>
            </w:r>
          </w:p>
        </w:tc>
        <w:tc>
          <w:tcPr>
            <w:tcW w:w="1054" w:type="dxa"/>
            <w:noWrap/>
            <w:vAlign w:val="center"/>
            <w:hideMark/>
          </w:tcPr>
          <w:p w14:paraId="3514C3F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264</w:t>
            </w:r>
          </w:p>
        </w:tc>
        <w:tc>
          <w:tcPr>
            <w:tcW w:w="1034" w:type="dxa"/>
            <w:noWrap/>
            <w:vAlign w:val="center"/>
            <w:hideMark/>
          </w:tcPr>
          <w:p w14:paraId="78AE80D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24.5%</w:t>
            </w:r>
          </w:p>
        </w:tc>
      </w:tr>
    </w:tbl>
    <w:p w14:paraId="6B74B4F2" w14:textId="77777777" w:rsidR="00073BFC" w:rsidRPr="00105FFC" w:rsidRDefault="00073BFC" w:rsidP="00073BFC">
      <w:pPr>
        <w:spacing w:after="200"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w:t>
      </w:r>
      <w:r w:rsidRPr="00105FFC">
        <w:rPr>
          <w:rFonts w:asciiTheme="minorHAnsi" w:eastAsiaTheme="minorHAnsi" w:hAnsiTheme="minorHAnsi" w:cs="Tahoma"/>
          <w:bCs/>
          <w:sz w:val="16"/>
          <w:szCs w:val="16"/>
        </w:rPr>
        <w:t>the Medi-Cal Managed Care Division’s Office of the Ombudsman call center</w:t>
      </w:r>
      <w:r w:rsidRPr="00105FFC">
        <w:rPr>
          <w:rFonts w:asciiTheme="minorHAnsi" w:eastAsiaTheme="minorHAnsi" w:hAnsiTheme="minorHAnsi" w:cs="Tahoma"/>
          <w:sz w:val="16"/>
          <w:szCs w:val="16"/>
        </w:rPr>
        <w:t>.</w:t>
      </w:r>
    </w:p>
    <w:p w14:paraId="774EA68A" w14:textId="77777777" w:rsidR="00073BFC" w:rsidRPr="00105FFC" w:rsidRDefault="00073BFC" w:rsidP="00073BFC">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t xml:space="preserve">During SFYs 2013-14 and 2014-15, calls from FFS Medi-Cal beneficiaries in the SPD aid category were concentrated in the Education &amp; Outreach call category. The largest change in call volume from SFYs 2013-14 to 2014-15 was seen in the Miscellaneous Issues call category (-75.0%) (Table </w:t>
      </w:r>
      <w:r w:rsidR="008734A9" w:rsidRPr="00105FFC">
        <w:rPr>
          <w:rFonts w:asciiTheme="minorHAnsi" w:eastAsiaTheme="minorHAnsi" w:hAnsiTheme="minorHAnsi" w:cstheme="minorBidi"/>
        </w:rPr>
        <w:t>5</w:t>
      </w:r>
      <w:r w:rsidR="008D19CB">
        <w:rPr>
          <w:rFonts w:asciiTheme="minorHAnsi" w:eastAsiaTheme="minorHAnsi" w:hAnsiTheme="minorHAnsi" w:cstheme="minorBidi"/>
        </w:rPr>
        <w:t>1</w:t>
      </w:r>
      <w:r w:rsidRPr="00105FFC">
        <w:rPr>
          <w:rFonts w:asciiTheme="minorHAnsi" w:eastAsiaTheme="minorHAnsi" w:hAnsiTheme="minorHAnsi" w:cstheme="minorBidi"/>
        </w:rPr>
        <w:t>).</w:t>
      </w:r>
    </w:p>
    <w:p w14:paraId="1F57FB70" w14:textId="77777777" w:rsidR="00693080" w:rsidRPr="00105FFC" w:rsidRDefault="00693080" w:rsidP="00073BFC">
      <w:pPr>
        <w:spacing w:after="200" w:line="276" w:lineRule="auto"/>
        <w:rPr>
          <w:rFonts w:asciiTheme="minorHAnsi" w:eastAsiaTheme="minorHAnsi" w:hAnsiTheme="minorHAnsi" w:cstheme="minorBidi"/>
        </w:rPr>
      </w:pPr>
    </w:p>
    <w:p w14:paraId="0D55C28B" w14:textId="77777777" w:rsidR="00073BFC" w:rsidRPr="00105FFC" w:rsidRDefault="008734A9" w:rsidP="00047142">
      <w:pPr>
        <w:spacing w:after="120"/>
        <w:rPr>
          <w:rFonts w:asciiTheme="minorHAnsi" w:eastAsiaTheme="minorHAnsi" w:hAnsiTheme="minorHAnsi" w:cstheme="minorBidi"/>
          <w:bCs/>
          <w:sz w:val="20"/>
          <w:szCs w:val="20"/>
        </w:rPr>
      </w:pPr>
      <w:bookmarkStart w:id="515" w:name="_Toc458783150"/>
      <w:bookmarkStart w:id="516" w:name="_Toc459285196"/>
      <w:r w:rsidRPr="00105FFC">
        <w:rPr>
          <w:rFonts w:asciiTheme="minorHAnsi" w:eastAsiaTheme="minorHAnsi" w:hAnsiTheme="minorHAnsi" w:cstheme="minorBidi"/>
          <w:b/>
          <w:bCs/>
          <w:sz w:val="20"/>
          <w:szCs w:val="20"/>
        </w:rPr>
        <w:t xml:space="preserve">Table </w:t>
      </w:r>
      <w:r w:rsidR="00073BFC" w:rsidRPr="00105FFC">
        <w:rPr>
          <w:rFonts w:asciiTheme="minorHAnsi" w:eastAsiaTheme="minorHAnsi" w:hAnsiTheme="minorHAnsi" w:cstheme="minorBidi"/>
          <w:b/>
          <w:bCs/>
          <w:sz w:val="20"/>
          <w:szCs w:val="20"/>
        </w:rPr>
        <w:fldChar w:fldCharType="begin"/>
      </w:r>
      <w:r w:rsidR="00073BFC" w:rsidRPr="00105FFC">
        <w:rPr>
          <w:rFonts w:asciiTheme="minorHAnsi" w:eastAsiaTheme="minorHAnsi" w:hAnsiTheme="minorHAnsi" w:cstheme="minorBidi"/>
          <w:b/>
          <w:bCs/>
          <w:sz w:val="20"/>
          <w:szCs w:val="20"/>
        </w:rPr>
        <w:instrText xml:space="preserve"> SEQ Table \* ARABIC </w:instrText>
      </w:r>
      <w:r w:rsidR="00073BFC"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51</w:t>
      </w:r>
      <w:r w:rsidR="00073BFC" w:rsidRPr="00105FFC">
        <w:rPr>
          <w:rFonts w:asciiTheme="minorHAnsi" w:eastAsiaTheme="minorHAnsi" w:hAnsiTheme="minorHAnsi" w:cstheme="minorBidi"/>
          <w:b/>
          <w:bCs/>
          <w:sz w:val="20"/>
          <w:szCs w:val="20"/>
        </w:rPr>
        <w:fldChar w:fldCharType="end"/>
      </w:r>
      <w:r w:rsidR="00073BFC" w:rsidRPr="00105FFC">
        <w:rPr>
          <w:rFonts w:asciiTheme="minorHAnsi" w:eastAsiaTheme="minorHAnsi" w:hAnsiTheme="minorHAnsi" w:cstheme="minorBidi"/>
          <w:b/>
          <w:bCs/>
          <w:sz w:val="20"/>
          <w:szCs w:val="20"/>
        </w:rPr>
        <w:t>:</w:t>
      </w:r>
      <w:r w:rsidR="00073BFC" w:rsidRPr="00105FFC">
        <w:rPr>
          <w:rFonts w:asciiTheme="minorHAnsi" w:eastAsiaTheme="minorHAnsi" w:hAnsiTheme="minorHAnsi" w:cstheme="minorBidi"/>
          <w:bCs/>
          <w:sz w:val="20"/>
          <w:szCs w:val="20"/>
        </w:rPr>
        <w:t xml:space="preserve"> Top Three Categories of Calls Received from FFS Medi-Cal Beneficiaries in the Seniors and Persons with Disabilities Aid Category in SFYs 2013-14 and 2014-15</w:t>
      </w:r>
      <w:bookmarkEnd w:id="515"/>
      <w:bookmarkEnd w:id="516"/>
    </w:p>
    <w:tbl>
      <w:tblPr>
        <w:tblStyle w:val="TableGrid3"/>
        <w:tblW w:w="0" w:type="auto"/>
        <w:tblLook w:val="04A0" w:firstRow="1" w:lastRow="0" w:firstColumn="1" w:lastColumn="0" w:noHBand="0" w:noVBand="1"/>
      </w:tblPr>
      <w:tblGrid>
        <w:gridCol w:w="1139"/>
        <w:gridCol w:w="2929"/>
        <w:gridCol w:w="3420"/>
        <w:gridCol w:w="990"/>
        <w:gridCol w:w="1098"/>
      </w:tblGrid>
      <w:tr w:rsidR="00073BFC" w:rsidRPr="00105FFC" w14:paraId="7A5F0FAF" w14:textId="77777777" w:rsidTr="000739EB">
        <w:trPr>
          <w:trHeight w:val="315"/>
          <w:tblHeader/>
        </w:trPr>
        <w:tc>
          <w:tcPr>
            <w:tcW w:w="1139" w:type="dxa"/>
            <w:shd w:val="clear" w:color="auto" w:fill="F2F2F2" w:themeFill="background1" w:themeFillShade="F2"/>
            <w:noWrap/>
            <w:vAlign w:val="center"/>
            <w:hideMark/>
          </w:tcPr>
          <w:p w14:paraId="2E151395"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SFY</w:t>
            </w:r>
          </w:p>
        </w:tc>
        <w:tc>
          <w:tcPr>
            <w:tcW w:w="2929" w:type="dxa"/>
            <w:shd w:val="clear" w:color="auto" w:fill="F2F2F2" w:themeFill="background1" w:themeFillShade="F2"/>
            <w:noWrap/>
            <w:vAlign w:val="center"/>
            <w:hideMark/>
          </w:tcPr>
          <w:p w14:paraId="799D00BC"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Call Category</w:t>
            </w:r>
          </w:p>
        </w:tc>
        <w:tc>
          <w:tcPr>
            <w:tcW w:w="3420" w:type="dxa"/>
            <w:shd w:val="clear" w:color="auto" w:fill="F2F2F2" w:themeFill="background1" w:themeFillShade="F2"/>
            <w:noWrap/>
            <w:vAlign w:val="center"/>
            <w:hideMark/>
          </w:tcPr>
          <w:p w14:paraId="173222B0"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Aid Category</w:t>
            </w:r>
          </w:p>
        </w:tc>
        <w:tc>
          <w:tcPr>
            <w:tcW w:w="990" w:type="dxa"/>
            <w:shd w:val="clear" w:color="auto" w:fill="F2F2F2" w:themeFill="background1" w:themeFillShade="F2"/>
            <w:noWrap/>
            <w:vAlign w:val="center"/>
            <w:hideMark/>
          </w:tcPr>
          <w:p w14:paraId="79696D1C"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 of Calls</w:t>
            </w:r>
          </w:p>
        </w:tc>
        <w:tc>
          <w:tcPr>
            <w:tcW w:w="1098" w:type="dxa"/>
            <w:shd w:val="clear" w:color="auto" w:fill="F2F2F2" w:themeFill="background1" w:themeFillShade="F2"/>
            <w:noWrap/>
            <w:vAlign w:val="center"/>
            <w:hideMark/>
          </w:tcPr>
          <w:p w14:paraId="5C8BCDB2" w14:textId="77777777" w:rsidR="00073BFC" w:rsidRPr="00105FFC" w:rsidRDefault="00073BFC" w:rsidP="00073BFC">
            <w:pPr>
              <w:jc w:val="center"/>
              <w:rPr>
                <w:rFonts w:asciiTheme="minorHAnsi" w:hAnsiTheme="minorHAnsi"/>
                <w:b/>
                <w:color w:val="000000"/>
                <w:sz w:val="20"/>
                <w:szCs w:val="20"/>
              </w:rPr>
            </w:pPr>
            <w:r w:rsidRPr="00105FFC">
              <w:rPr>
                <w:rFonts w:asciiTheme="minorHAnsi" w:hAnsiTheme="minorHAnsi"/>
                <w:b/>
                <w:color w:val="000000"/>
                <w:sz w:val="20"/>
                <w:szCs w:val="20"/>
              </w:rPr>
              <w:t>% Change</w:t>
            </w:r>
          </w:p>
        </w:tc>
      </w:tr>
      <w:tr w:rsidR="00073BFC" w:rsidRPr="00105FFC" w14:paraId="3F7B9BF2" w14:textId="77777777" w:rsidTr="000D6C4B">
        <w:trPr>
          <w:trHeight w:val="315"/>
        </w:trPr>
        <w:tc>
          <w:tcPr>
            <w:tcW w:w="1139" w:type="dxa"/>
            <w:noWrap/>
            <w:vAlign w:val="center"/>
            <w:hideMark/>
          </w:tcPr>
          <w:p w14:paraId="2BE9AD9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2929" w:type="dxa"/>
            <w:noWrap/>
            <w:vAlign w:val="center"/>
            <w:hideMark/>
          </w:tcPr>
          <w:p w14:paraId="3EB5BEB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MISC - Miscellaneous Issues</w:t>
            </w:r>
          </w:p>
        </w:tc>
        <w:tc>
          <w:tcPr>
            <w:tcW w:w="3420" w:type="dxa"/>
            <w:noWrap/>
            <w:vAlign w:val="center"/>
            <w:hideMark/>
          </w:tcPr>
          <w:p w14:paraId="5D616CA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Seniors and Persons with Disabilities</w:t>
            </w:r>
          </w:p>
        </w:tc>
        <w:tc>
          <w:tcPr>
            <w:tcW w:w="990" w:type="dxa"/>
            <w:noWrap/>
            <w:vAlign w:val="center"/>
            <w:hideMark/>
          </w:tcPr>
          <w:p w14:paraId="7D92597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971</w:t>
            </w:r>
          </w:p>
        </w:tc>
        <w:tc>
          <w:tcPr>
            <w:tcW w:w="1098" w:type="dxa"/>
            <w:noWrap/>
            <w:vAlign w:val="center"/>
            <w:hideMark/>
          </w:tcPr>
          <w:p w14:paraId="72804FA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N/A</w:t>
            </w:r>
          </w:p>
        </w:tc>
      </w:tr>
      <w:tr w:rsidR="00073BFC" w:rsidRPr="00105FFC" w14:paraId="196CACC4" w14:textId="77777777" w:rsidTr="000D6C4B">
        <w:trPr>
          <w:trHeight w:val="315"/>
        </w:trPr>
        <w:tc>
          <w:tcPr>
            <w:tcW w:w="1139" w:type="dxa"/>
            <w:noWrap/>
            <w:vAlign w:val="center"/>
            <w:hideMark/>
          </w:tcPr>
          <w:p w14:paraId="041A5F4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2929" w:type="dxa"/>
            <w:noWrap/>
            <w:vAlign w:val="center"/>
            <w:hideMark/>
          </w:tcPr>
          <w:p w14:paraId="02C5911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MISC - Miscellaneous Issues</w:t>
            </w:r>
          </w:p>
        </w:tc>
        <w:tc>
          <w:tcPr>
            <w:tcW w:w="3420" w:type="dxa"/>
            <w:noWrap/>
            <w:vAlign w:val="center"/>
            <w:hideMark/>
          </w:tcPr>
          <w:p w14:paraId="705AF91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Seniors and Persons with Disabilities</w:t>
            </w:r>
          </w:p>
        </w:tc>
        <w:tc>
          <w:tcPr>
            <w:tcW w:w="990" w:type="dxa"/>
            <w:noWrap/>
            <w:vAlign w:val="center"/>
            <w:hideMark/>
          </w:tcPr>
          <w:p w14:paraId="6D12BEDF"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243</w:t>
            </w:r>
          </w:p>
        </w:tc>
        <w:tc>
          <w:tcPr>
            <w:tcW w:w="1098" w:type="dxa"/>
            <w:noWrap/>
            <w:vAlign w:val="center"/>
            <w:hideMark/>
          </w:tcPr>
          <w:p w14:paraId="033167E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-75.0%</w:t>
            </w:r>
          </w:p>
        </w:tc>
      </w:tr>
      <w:tr w:rsidR="00073BFC" w:rsidRPr="00105FFC" w14:paraId="5BCDB3E3" w14:textId="77777777" w:rsidTr="000D6C4B">
        <w:trPr>
          <w:trHeight w:val="315"/>
        </w:trPr>
        <w:tc>
          <w:tcPr>
            <w:tcW w:w="1139" w:type="dxa"/>
            <w:noWrap/>
            <w:vAlign w:val="center"/>
            <w:hideMark/>
          </w:tcPr>
          <w:p w14:paraId="792CA17C"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2929" w:type="dxa"/>
            <w:noWrap/>
            <w:vAlign w:val="center"/>
            <w:hideMark/>
          </w:tcPr>
          <w:p w14:paraId="403C116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HCO - Enrollment/Disenrollment</w:t>
            </w:r>
          </w:p>
        </w:tc>
        <w:tc>
          <w:tcPr>
            <w:tcW w:w="3420" w:type="dxa"/>
            <w:noWrap/>
            <w:vAlign w:val="center"/>
            <w:hideMark/>
          </w:tcPr>
          <w:p w14:paraId="5B75545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Seniors and Persons with Disabilities</w:t>
            </w:r>
          </w:p>
        </w:tc>
        <w:tc>
          <w:tcPr>
            <w:tcW w:w="990" w:type="dxa"/>
            <w:noWrap/>
            <w:vAlign w:val="center"/>
            <w:hideMark/>
          </w:tcPr>
          <w:p w14:paraId="3F31945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1,672</w:t>
            </w:r>
          </w:p>
        </w:tc>
        <w:tc>
          <w:tcPr>
            <w:tcW w:w="1098" w:type="dxa"/>
            <w:noWrap/>
            <w:vAlign w:val="center"/>
            <w:hideMark/>
          </w:tcPr>
          <w:p w14:paraId="6C14249E"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N/A</w:t>
            </w:r>
          </w:p>
        </w:tc>
      </w:tr>
      <w:tr w:rsidR="00073BFC" w:rsidRPr="00105FFC" w14:paraId="1643BE51" w14:textId="77777777" w:rsidTr="000D6C4B">
        <w:trPr>
          <w:trHeight w:val="315"/>
        </w:trPr>
        <w:tc>
          <w:tcPr>
            <w:tcW w:w="1139" w:type="dxa"/>
            <w:noWrap/>
            <w:vAlign w:val="center"/>
            <w:hideMark/>
          </w:tcPr>
          <w:p w14:paraId="7D7AFA4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2929" w:type="dxa"/>
            <w:noWrap/>
            <w:vAlign w:val="center"/>
            <w:hideMark/>
          </w:tcPr>
          <w:p w14:paraId="71E08ECB"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HCO - Enrollment/Disenrollment</w:t>
            </w:r>
          </w:p>
        </w:tc>
        <w:tc>
          <w:tcPr>
            <w:tcW w:w="3420" w:type="dxa"/>
            <w:noWrap/>
            <w:vAlign w:val="center"/>
            <w:hideMark/>
          </w:tcPr>
          <w:p w14:paraId="4ED2FEA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Seniors and Persons with Disabilities</w:t>
            </w:r>
          </w:p>
        </w:tc>
        <w:tc>
          <w:tcPr>
            <w:tcW w:w="990" w:type="dxa"/>
            <w:noWrap/>
            <w:vAlign w:val="center"/>
            <w:hideMark/>
          </w:tcPr>
          <w:p w14:paraId="0F801EB8"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1,850</w:t>
            </w:r>
          </w:p>
        </w:tc>
        <w:tc>
          <w:tcPr>
            <w:tcW w:w="1098" w:type="dxa"/>
            <w:noWrap/>
            <w:vAlign w:val="center"/>
            <w:hideMark/>
          </w:tcPr>
          <w:p w14:paraId="41272859"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10.7%</w:t>
            </w:r>
          </w:p>
        </w:tc>
      </w:tr>
      <w:tr w:rsidR="00073BFC" w:rsidRPr="00105FFC" w14:paraId="09955136" w14:textId="77777777" w:rsidTr="000D6C4B">
        <w:trPr>
          <w:trHeight w:val="315"/>
        </w:trPr>
        <w:tc>
          <w:tcPr>
            <w:tcW w:w="1139" w:type="dxa"/>
            <w:noWrap/>
            <w:vAlign w:val="center"/>
            <w:hideMark/>
          </w:tcPr>
          <w:p w14:paraId="3FE8F70D"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2013-14</w:t>
            </w:r>
          </w:p>
        </w:tc>
        <w:tc>
          <w:tcPr>
            <w:tcW w:w="2929" w:type="dxa"/>
            <w:noWrap/>
            <w:vAlign w:val="center"/>
            <w:hideMark/>
          </w:tcPr>
          <w:p w14:paraId="675A8E7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EDU - Education &amp; Outreach</w:t>
            </w:r>
          </w:p>
        </w:tc>
        <w:tc>
          <w:tcPr>
            <w:tcW w:w="3420" w:type="dxa"/>
            <w:noWrap/>
            <w:vAlign w:val="center"/>
            <w:hideMark/>
          </w:tcPr>
          <w:p w14:paraId="1817E517"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Seniors and Persons with Disabilities</w:t>
            </w:r>
          </w:p>
        </w:tc>
        <w:tc>
          <w:tcPr>
            <w:tcW w:w="990" w:type="dxa"/>
            <w:noWrap/>
            <w:vAlign w:val="center"/>
            <w:hideMark/>
          </w:tcPr>
          <w:p w14:paraId="67BC5AE0"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3,097</w:t>
            </w:r>
          </w:p>
        </w:tc>
        <w:tc>
          <w:tcPr>
            <w:tcW w:w="1098" w:type="dxa"/>
            <w:noWrap/>
            <w:vAlign w:val="center"/>
            <w:hideMark/>
          </w:tcPr>
          <w:p w14:paraId="3FF73411"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N/A</w:t>
            </w:r>
          </w:p>
        </w:tc>
      </w:tr>
      <w:tr w:rsidR="00073BFC" w:rsidRPr="00105FFC" w14:paraId="33669177" w14:textId="77777777" w:rsidTr="000D6C4B">
        <w:trPr>
          <w:trHeight w:val="315"/>
        </w:trPr>
        <w:tc>
          <w:tcPr>
            <w:tcW w:w="1139" w:type="dxa"/>
            <w:noWrap/>
            <w:vAlign w:val="center"/>
            <w:hideMark/>
          </w:tcPr>
          <w:p w14:paraId="405940B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2014-15</w:t>
            </w:r>
          </w:p>
        </w:tc>
        <w:tc>
          <w:tcPr>
            <w:tcW w:w="2929" w:type="dxa"/>
            <w:noWrap/>
            <w:vAlign w:val="center"/>
            <w:hideMark/>
          </w:tcPr>
          <w:p w14:paraId="3B145385"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EDU - Education &amp; Outreach</w:t>
            </w:r>
          </w:p>
        </w:tc>
        <w:tc>
          <w:tcPr>
            <w:tcW w:w="3420" w:type="dxa"/>
            <w:noWrap/>
            <w:vAlign w:val="center"/>
            <w:hideMark/>
          </w:tcPr>
          <w:p w14:paraId="15D4E126"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Seniors and Persons with Disabilities</w:t>
            </w:r>
          </w:p>
        </w:tc>
        <w:tc>
          <w:tcPr>
            <w:tcW w:w="990" w:type="dxa"/>
            <w:noWrap/>
            <w:vAlign w:val="center"/>
            <w:hideMark/>
          </w:tcPr>
          <w:p w14:paraId="22CE1B64"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2,388</w:t>
            </w:r>
          </w:p>
        </w:tc>
        <w:tc>
          <w:tcPr>
            <w:tcW w:w="1098" w:type="dxa"/>
            <w:noWrap/>
            <w:vAlign w:val="center"/>
            <w:hideMark/>
          </w:tcPr>
          <w:p w14:paraId="57FD81BA" w14:textId="77777777" w:rsidR="00073BFC" w:rsidRPr="00105FFC" w:rsidRDefault="00073BFC" w:rsidP="00073BFC">
            <w:pPr>
              <w:jc w:val="center"/>
              <w:rPr>
                <w:rFonts w:asciiTheme="minorHAnsi" w:hAnsiTheme="minorHAnsi"/>
                <w:color w:val="000000"/>
                <w:sz w:val="20"/>
                <w:szCs w:val="20"/>
              </w:rPr>
            </w:pPr>
            <w:r w:rsidRPr="00105FFC">
              <w:rPr>
                <w:rFonts w:asciiTheme="minorHAnsi" w:hAnsiTheme="minorHAnsi"/>
                <w:color w:val="000000"/>
                <w:sz w:val="20"/>
                <w:szCs w:val="20"/>
              </w:rPr>
              <w:t>-22.9%</w:t>
            </w:r>
          </w:p>
        </w:tc>
      </w:tr>
    </w:tbl>
    <w:p w14:paraId="00E7545B" w14:textId="77777777" w:rsidR="00073BFC" w:rsidRPr="00105FFC" w:rsidRDefault="00073BFC" w:rsidP="00693080">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w:t>
      </w:r>
      <w:r w:rsidRPr="00105FFC">
        <w:rPr>
          <w:rFonts w:asciiTheme="minorHAnsi" w:eastAsiaTheme="minorHAnsi" w:hAnsiTheme="minorHAnsi" w:cs="Tahoma"/>
          <w:bCs/>
          <w:sz w:val="16"/>
          <w:szCs w:val="16"/>
        </w:rPr>
        <w:t>the Medi-Cal Managed Care Division’s Office of the Ombudsman call center</w:t>
      </w:r>
      <w:r w:rsidRPr="00105FFC">
        <w:rPr>
          <w:rFonts w:asciiTheme="minorHAnsi" w:eastAsiaTheme="minorHAnsi" w:hAnsiTheme="minorHAnsi" w:cs="Tahoma"/>
          <w:sz w:val="16"/>
          <w:szCs w:val="16"/>
        </w:rPr>
        <w:t>.</w:t>
      </w:r>
    </w:p>
    <w:p w14:paraId="459BDD88" w14:textId="77777777" w:rsidR="00693080" w:rsidRPr="00105FFC" w:rsidRDefault="00693080" w:rsidP="00693080">
      <w:pPr>
        <w:spacing w:line="276" w:lineRule="auto"/>
        <w:rPr>
          <w:rFonts w:asciiTheme="minorHAnsi" w:eastAsiaTheme="minorHAnsi" w:hAnsiTheme="minorHAnsi"/>
        </w:rPr>
      </w:pPr>
    </w:p>
    <w:p w14:paraId="078E8646" w14:textId="77777777" w:rsidR="00864C5D" w:rsidRPr="00105FFC" w:rsidRDefault="00864C5D" w:rsidP="00864C5D">
      <w:pPr>
        <w:pStyle w:val="Heading3"/>
        <w:spacing w:before="0" w:line="276" w:lineRule="auto"/>
      </w:pPr>
      <w:bookmarkStart w:id="517" w:name="_Toc459287783"/>
      <w:r w:rsidRPr="00105FFC">
        <w:t>Dedicated Webpage and Email</w:t>
      </w:r>
      <w:bookmarkEnd w:id="517"/>
    </w:p>
    <w:p w14:paraId="01C1DE89" w14:textId="77777777" w:rsidR="00864C5D" w:rsidRPr="00105FFC" w:rsidRDefault="00864C5D" w:rsidP="00864C5D">
      <w:pPr>
        <w:rPr>
          <w:rFonts w:asciiTheme="minorHAnsi" w:eastAsiaTheme="minorHAnsi" w:hAnsiTheme="minorHAnsi" w:cstheme="minorBidi"/>
        </w:rPr>
      </w:pPr>
      <w:r w:rsidRPr="00105FFC">
        <w:rPr>
          <w:rFonts w:asciiTheme="minorHAnsi" w:eastAsiaTheme="minorHAnsi" w:hAnsiTheme="minorHAnsi" w:cstheme="minorBidi"/>
        </w:rPr>
        <w:t xml:space="preserve">As previously indicated, as a part of the development of this access monitoring plan, DHCS is also developing a dedicated access webpage and email boxes.  The dedicated webpage will provide the public with information about this monitoring plan (including future updates), future access reviews, as well as information on state plan amendments affecting payment rates.  In addition, the dedicated email boxes will provide mechanisms for public input on access generally as well as on specific state plan amendments.  The information collected through these sources will be used in future access analyses.  </w:t>
      </w:r>
    </w:p>
    <w:p w14:paraId="0582DC9B" w14:textId="77777777" w:rsidR="00864C5D" w:rsidRPr="00105FFC" w:rsidRDefault="00864C5D" w:rsidP="00864C5D">
      <w:pPr>
        <w:rPr>
          <w:rFonts w:asciiTheme="minorHAnsi" w:eastAsiaTheme="minorHAnsi" w:hAnsiTheme="minorHAnsi" w:cstheme="minorBidi"/>
        </w:rPr>
      </w:pPr>
    </w:p>
    <w:p w14:paraId="0855C795" w14:textId="77777777" w:rsidR="00693080" w:rsidRPr="00105FFC" w:rsidRDefault="00693080" w:rsidP="00693080">
      <w:pPr>
        <w:pStyle w:val="Heading3"/>
        <w:spacing w:before="0" w:line="276" w:lineRule="auto"/>
        <w:rPr>
          <w:rFonts w:eastAsiaTheme="minorHAnsi"/>
        </w:rPr>
      </w:pPr>
      <w:bookmarkStart w:id="518" w:name="_Toc459287784"/>
      <w:r w:rsidRPr="00105FFC">
        <w:rPr>
          <w:rFonts w:eastAsiaTheme="minorHAnsi"/>
        </w:rPr>
        <w:t>Conclusions</w:t>
      </w:r>
      <w:bookmarkEnd w:id="518"/>
    </w:p>
    <w:p w14:paraId="5DD65C1C" w14:textId="77777777" w:rsidR="00693080" w:rsidRPr="00105FFC" w:rsidRDefault="00693080" w:rsidP="00693080">
      <w:pPr>
        <w:spacing w:line="276" w:lineRule="auto"/>
        <w:rPr>
          <w:rFonts w:asciiTheme="minorHAnsi" w:eastAsiaTheme="minorHAnsi" w:hAnsiTheme="minorHAnsi"/>
        </w:rPr>
      </w:pPr>
    </w:p>
    <w:p w14:paraId="03988994" w14:textId="77777777" w:rsidR="00693080" w:rsidRPr="00105FFC" w:rsidRDefault="00693080" w:rsidP="00693080">
      <w:pPr>
        <w:pStyle w:val="ListParagraph"/>
        <w:numPr>
          <w:ilvl w:val="0"/>
          <w:numId w:val="38"/>
        </w:numPr>
        <w:spacing w:after="160" w:line="276" w:lineRule="auto"/>
        <w:contextualSpacing/>
        <w:rPr>
          <w:rFonts w:asciiTheme="minorHAnsi" w:hAnsiTheme="minorHAnsi"/>
        </w:rPr>
      </w:pPr>
      <w:r w:rsidRPr="00105FFC">
        <w:rPr>
          <w:rFonts w:asciiTheme="minorHAnsi" w:hAnsiTheme="minorHAnsi"/>
        </w:rPr>
        <w:t>A sharp increase in calls from individuals in FFS occurred statewide at the end of calendar year 2013 and the beginning of 2014. This spike reflects the managed care rural expansions late in 2013 and the implementation of the ACA in 2014.</w:t>
      </w:r>
    </w:p>
    <w:p w14:paraId="0DE29277" w14:textId="77777777" w:rsidR="00693080" w:rsidRPr="00105FFC" w:rsidRDefault="00693080" w:rsidP="00693080">
      <w:pPr>
        <w:pStyle w:val="ListParagraph"/>
        <w:spacing w:after="160" w:line="276" w:lineRule="auto"/>
        <w:contextualSpacing/>
        <w:rPr>
          <w:rFonts w:asciiTheme="minorHAnsi" w:hAnsiTheme="minorHAnsi"/>
        </w:rPr>
      </w:pPr>
    </w:p>
    <w:p w14:paraId="48198C56" w14:textId="77777777" w:rsidR="00693080" w:rsidRPr="00105FFC" w:rsidRDefault="00693080" w:rsidP="00693080">
      <w:pPr>
        <w:pStyle w:val="ListParagraph"/>
        <w:numPr>
          <w:ilvl w:val="0"/>
          <w:numId w:val="38"/>
        </w:numPr>
        <w:spacing w:after="160" w:line="276" w:lineRule="auto"/>
        <w:contextualSpacing/>
        <w:rPr>
          <w:rFonts w:asciiTheme="minorHAnsi" w:hAnsiTheme="minorHAnsi"/>
        </w:rPr>
      </w:pPr>
      <w:r w:rsidRPr="00105FFC">
        <w:rPr>
          <w:rFonts w:asciiTheme="minorHAnsi" w:hAnsiTheme="minorHAnsi"/>
        </w:rPr>
        <w:t>Secondary spikes at the end of SFY 2014-15 in the Southern California and Bay Area regions likely represent the implementation of CCI and Cal MediConnect plans in those counties.</w:t>
      </w:r>
    </w:p>
    <w:p w14:paraId="1729A66C" w14:textId="77777777" w:rsidR="00F13F83" w:rsidRPr="00105FFC" w:rsidRDefault="00F13F83" w:rsidP="00E81124">
      <w:pPr>
        <w:spacing w:after="200" w:line="276" w:lineRule="auto"/>
        <w:rPr>
          <w:rFonts w:asciiTheme="minorHAnsi" w:eastAsiaTheme="minorHAnsi" w:hAnsiTheme="minorHAnsi" w:cs="Tahoma"/>
          <w:sz w:val="16"/>
          <w:szCs w:val="16"/>
        </w:rPr>
      </w:pPr>
      <w:r w:rsidRPr="00105FFC">
        <w:rPr>
          <w:rFonts w:asciiTheme="minorHAnsi" w:eastAsiaTheme="minorHAnsi" w:hAnsiTheme="minorHAnsi"/>
        </w:rPr>
        <w:br w:type="page"/>
      </w:r>
    </w:p>
    <w:p w14:paraId="33E23548" w14:textId="77777777" w:rsidR="00F13F83" w:rsidRPr="00105FFC" w:rsidRDefault="004435AE" w:rsidP="00DB3E05">
      <w:pPr>
        <w:pStyle w:val="Heading2"/>
        <w:spacing w:before="0"/>
        <w:rPr>
          <w:rFonts w:asciiTheme="minorHAnsi" w:hAnsiTheme="minorHAnsi"/>
          <w:color w:val="auto"/>
        </w:rPr>
      </w:pPr>
      <w:bookmarkStart w:id="519" w:name="_Toc459287785"/>
      <w:r w:rsidRPr="00105FFC">
        <w:rPr>
          <w:rFonts w:asciiTheme="minorHAnsi" w:hAnsiTheme="minorHAnsi"/>
          <w:color w:val="auto"/>
        </w:rPr>
        <w:t>Domain</w:t>
      </w:r>
      <w:r w:rsidR="00F13F83" w:rsidRPr="00105FFC">
        <w:rPr>
          <w:rFonts w:asciiTheme="minorHAnsi" w:hAnsiTheme="minorHAnsi"/>
          <w:color w:val="auto"/>
        </w:rPr>
        <w:t>: Dental</w:t>
      </w:r>
      <w:bookmarkEnd w:id="519"/>
    </w:p>
    <w:p w14:paraId="0822DFE7" w14:textId="77777777" w:rsidR="00DB3E05" w:rsidRPr="00105FFC" w:rsidRDefault="00DB3E05" w:rsidP="006F7144">
      <w:pPr>
        <w:pStyle w:val="Caption"/>
        <w:spacing w:after="0"/>
        <w:rPr>
          <w:rFonts w:asciiTheme="minorHAnsi" w:hAnsiTheme="minorHAnsi"/>
          <w:color w:val="auto"/>
        </w:rPr>
      </w:pPr>
    </w:p>
    <w:p w14:paraId="3CF4651A" w14:textId="77777777" w:rsidR="00407705" w:rsidRPr="00105FFC" w:rsidRDefault="00407705" w:rsidP="00407705">
      <w:pPr>
        <w:pStyle w:val="Heading3"/>
        <w:spacing w:before="0" w:after="120" w:line="276" w:lineRule="auto"/>
      </w:pPr>
      <w:bookmarkStart w:id="520" w:name="_Toc458177967"/>
      <w:bookmarkStart w:id="521" w:name="_Toc459287786"/>
      <w:bookmarkStart w:id="522" w:name="_Toc458177968"/>
      <w:r w:rsidRPr="00105FFC">
        <w:t>Introduction</w:t>
      </w:r>
      <w:bookmarkEnd w:id="520"/>
      <w:bookmarkEnd w:id="521"/>
    </w:p>
    <w:p w14:paraId="06D77B87" w14:textId="77777777" w:rsidR="00407705" w:rsidRPr="00105FFC" w:rsidRDefault="00407705" w:rsidP="00407705">
      <w:pPr>
        <w:spacing w:line="276" w:lineRule="auto"/>
        <w:rPr>
          <w:rFonts w:asciiTheme="minorHAnsi" w:eastAsiaTheme="minorHAnsi" w:hAnsiTheme="minorHAnsi" w:cstheme="minorBidi"/>
        </w:rPr>
      </w:pPr>
      <w:r w:rsidRPr="00105FFC">
        <w:rPr>
          <w:rFonts w:asciiTheme="minorHAnsi" w:hAnsiTheme="minorHAnsi"/>
        </w:rPr>
        <w:t xml:space="preserve">The benefits of seeing a dentist annually include an increased likelihood of receiving preventive dental services, and early diagnosis and treatment of dental problems. </w:t>
      </w:r>
      <w:r w:rsidRPr="00105FFC">
        <w:rPr>
          <w:rFonts w:asciiTheme="minorHAnsi" w:eastAsiaTheme="minorHAnsi" w:hAnsiTheme="minorHAnsi" w:cstheme="minorBidi"/>
        </w:rPr>
        <w:t>As beneficiaries ages 21 and older became eligible to receive dental services in May 2014,</w:t>
      </w:r>
      <w:r w:rsidRPr="00105FFC">
        <w:rPr>
          <w:rStyle w:val="FootnoteReference"/>
          <w:rFonts w:asciiTheme="minorHAnsi" w:eastAsiaTheme="minorHAnsi" w:hAnsiTheme="minorHAnsi" w:cstheme="minorBidi"/>
        </w:rPr>
        <w:footnoteReference w:id="19"/>
      </w:r>
      <w:r w:rsidRPr="00105FFC">
        <w:rPr>
          <w:rFonts w:asciiTheme="minorHAnsi" w:eastAsiaTheme="minorHAnsi" w:hAnsiTheme="minorHAnsi" w:cstheme="minorBidi"/>
        </w:rPr>
        <w:t xml:space="preserve"> the following baseline analysis focuses on dental services utilization among beneficiaries ages 0-20</w:t>
      </w:r>
      <w:r w:rsidR="001E0013" w:rsidRPr="00105FFC">
        <w:rPr>
          <w:rFonts w:asciiTheme="minorHAnsi" w:eastAsiaTheme="minorHAnsi" w:hAnsiTheme="minorHAnsi" w:cstheme="minorBidi"/>
        </w:rPr>
        <w:t xml:space="preserve"> who were continuously eligible for at least 11 months during the study period</w:t>
      </w:r>
      <w:r w:rsidRPr="00105FFC">
        <w:rPr>
          <w:rFonts w:asciiTheme="minorHAnsi" w:eastAsiaTheme="minorHAnsi" w:hAnsiTheme="minorHAnsi" w:cstheme="minorBidi"/>
        </w:rPr>
        <w:t xml:space="preserve">. </w:t>
      </w:r>
    </w:p>
    <w:p w14:paraId="139AA6CB" w14:textId="77777777" w:rsidR="001E0013" w:rsidRPr="00105FFC" w:rsidRDefault="001E0013" w:rsidP="00407705">
      <w:pPr>
        <w:spacing w:line="276" w:lineRule="auto"/>
        <w:rPr>
          <w:rFonts w:asciiTheme="minorHAnsi" w:eastAsiaTheme="minorHAnsi" w:hAnsiTheme="minorHAnsi" w:cstheme="minorBidi"/>
        </w:rPr>
      </w:pPr>
    </w:p>
    <w:p w14:paraId="2EFD7371" w14:textId="77777777" w:rsidR="001E0013" w:rsidRPr="00105FFC" w:rsidRDefault="001E0013" w:rsidP="001E0013">
      <w:pPr>
        <w:spacing w:after="120" w:line="276" w:lineRule="auto"/>
        <w:rPr>
          <w:rFonts w:asciiTheme="minorHAnsi" w:hAnsiTheme="minorHAnsi"/>
          <w:b/>
        </w:rPr>
      </w:pPr>
      <w:r w:rsidRPr="00105FFC">
        <w:rPr>
          <w:rFonts w:asciiTheme="minorHAnsi" w:hAnsiTheme="minorHAnsi"/>
        </w:rPr>
        <w:t>In this section, several measures will be presented and evaluated.  These include:</w:t>
      </w:r>
    </w:p>
    <w:p w14:paraId="4C428AA5" w14:textId="77777777" w:rsidR="001E0013" w:rsidRPr="00105FFC" w:rsidRDefault="001E0013" w:rsidP="001E0013">
      <w:pPr>
        <w:pStyle w:val="Caption"/>
        <w:numPr>
          <w:ilvl w:val="0"/>
          <w:numId w:val="30"/>
        </w:numPr>
        <w:spacing w:after="120" w:line="276" w:lineRule="auto"/>
        <w:rPr>
          <w:rFonts w:asciiTheme="minorHAnsi" w:hAnsiTheme="minorHAnsi"/>
          <w:b w:val="0"/>
          <w:bCs w:val="0"/>
          <w:color w:val="auto"/>
          <w:sz w:val="24"/>
          <w:szCs w:val="24"/>
        </w:rPr>
      </w:pPr>
      <w:r w:rsidRPr="00105FFC">
        <w:rPr>
          <w:rFonts w:asciiTheme="minorHAnsi" w:hAnsiTheme="minorHAnsi"/>
          <w:b w:val="0"/>
          <w:bCs w:val="0"/>
          <w:color w:val="auto"/>
          <w:sz w:val="24"/>
          <w:szCs w:val="24"/>
        </w:rPr>
        <w:t>Distribution of dental providers in CY 2014 and CY 2015 by geographic region,</w:t>
      </w:r>
    </w:p>
    <w:p w14:paraId="2FCDB88E" w14:textId="77777777" w:rsidR="001E0013" w:rsidRPr="00105FFC" w:rsidRDefault="001E0013" w:rsidP="001E0013">
      <w:pPr>
        <w:pStyle w:val="Caption"/>
        <w:numPr>
          <w:ilvl w:val="0"/>
          <w:numId w:val="30"/>
        </w:numPr>
        <w:spacing w:after="120" w:line="276" w:lineRule="auto"/>
        <w:rPr>
          <w:rFonts w:asciiTheme="minorHAnsi" w:hAnsiTheme="minorHAnsi"/>
          <w:b w:val="0"/>
          <w:bCs w:val="0"/>
          <w:color w:val="auto"/>
          <w:sz w:val="24"/>
          <w:szCs w:val="24"/>
        </w:rPr>
      </w:pPr>
      <w:r w:rsidRPr="00105FFC">
        <w:rPr>
          <w:rFonts w:asciiTheme="minorHAnsi" w:hAnsiTheme="minorHAnsi"/>
          <w:b w:val="0"/>
          <w:bCs w:val="0"/>
          <w:color w:val="auto"/>
          <w:sz w:val="24"/>
          <w:szCs w:val="24"/>
        </w:rPr>
        <w:t>Proportion of FFS Medi-Cal beneficiaries Ages 0-20 with at least 11 months of enrollment in either CY 2014 or CY 2015 who received a preventative dental service by geographic region,</w:t>
      </w:r>
    </w:p>
    <w:p w14:paraId="022DE68C" w14:textId="77777777" w:rsidR="001E0013" w:rsidRPr="00105FFC" w:rsidRDefault="001E0013" w:rsidP="001E0013">
      <w:pPr>
        <w:pStyle w:val="Caption"/>
        <w:numPr>
          <w:ilvl w:val="0"/>
          <w:numId w:val="30"/>
        </w:numPr>
        <w:spacing w:after="120" w:line="276" w:lineRule="auto"/>
        <w:rPr>
          <w:rFonts w:asciiTheme="minorHAnsi" w:hAnsiTheme="minorHAnsi"/>
          <w:b w:val="0"/>
          <w:bCs w:val="0"/>
          <w:color w:val="auto"/>
          <w:sz w:val="24"/>
          <w:szCs w:val="24"/>
        </w:rPr>
      </w:pPr>
      <w:r w:rsidRPr="00105FFC">
        <w:rPr>
          <w:rFonts w:asciiTheme="minorHAnsi" w:hAnsiTheme="minorHAnsi"/>
          <w:b w:val="0"/>
          <w:bCs w:val="0"/>
          <w:color w:val="auto"/>
          <w:sz w:val="24"/>
          <w:szCs w:val="24"/>
        </w:rPr>
        <w:t>Proportion of FFS Medi-Cal beneficiaries Ages 0-20 with at least 11 months of enrollment in either CY 2014 or CY 2015 who received any type of dental service by geographic region,</w:t>
      </w:r>
    </w:p>
    <w:p w14:paraId="35F23CDC" w14:textId="77777777" w:rsidR="001E0013" w:rsidRPr="00105FFC" w:rsidRDefault="001E0013" w:rsidP="001E0013">
      <w:pPr>
        <w:pStyle w:val="Caption"/>
        <w:numPr>
          <w:ilvl w:val="0"/>
          <w:numId w:val="30"/>
        </w:numPr>
        <w:spacing w:after="120" w:line="276" w:lineRule="auto"/>
        <w:rPr>
          <w:rFonts w:asciiTheme="minorHAnsi" w:hAnsiTheme="minorHAnsi"/>
          <w:b w:val="0"/>
          <w:bCs w:val="0"/>
          <w:color w:val="auto"/>
          <w:sz w:val="24"/>
          <w:szCs w:val="24"/>
        </w:rPr>
      </w:pPr>
      <w:r w:rsidRPr="00105FFC">
        <w:rPr>
          <w:rFonts w:asciiTheme="minorHAnsi" w:hAnsiTheme="minorHAnsi"/>
          <w:b w:val="0"/>
          <w:bCs w:val="0"/>
          <w:color w:val="auto"/>
          <w:sz w:val="24"/>
          <w:szCs w:val="24"/>
        </w:rPr>
        <w:t>Proportion of FFS Medi-Cal beneficiaries Ages 0-20 with at least 11 months of enrollment in either CY 2014 or CY 2015 who received a dental service in a clinic setting by geographic region,</w:t>
      </w:r>
    </w:p>
    <w:p w14:paraId="2915A003" w14:textId="77777777" w:rsidR="001E0013" w:rsidRPr="00105FFC" w:rsidRDefault="001E0013" w:rsidP="001E0013">
      <w:pPr>
        <w:pStyle w:val="ListParagraph"/>
        <w:numPr>
          <w:ilvl w:val="0"/>
          <w:numId w:val="30"/>
        </w:numPr>
        <w:spacing w:after="240" w:line="276" w:lineRule="auto"/>
        <w:rPr>
          <w:rFonts w:asciiTheme="minorHAnsi" w:hAnsiTheme="minorHAnsi"/>
        </w:rPr>
      </w:pPr>
      <w:r w:rsidRPr="00105FFC">
        <w:rPr>
          <w:rFonts w:asciiTheme="minorHAnsi" w:hAnsiTheme="minorHAnsi"/>
        </w:rPr>
        <w:t xml:space="preserve">Percentage of 25 most utilized dental procedure reimbursement rates in SFY 2013-14 in relation to of comparable State’s Medicaid programs, and </w:t>
      </w:r>
    </w:p>
    <w:p w14:paraId="3DA866A3" w14:textId="77777777" w:rsidR="001E0013" w:rsidRPr="00105FFC" w:rsidRDefault="001E0013" w:rsidP="001E0013">
      <w:pPr>
        <w:pStyle w:val="ListParagraph"/>
        <w:numPr>
          <w:ilvl w:val="0"/>
          <w:numId w:val="30"/>
        </w:numPr>
        <w:spacing w:line="276" w:lineRule="auto"/>
        <w:rPr>
          <w:rFonts w:asciiTheme="minorHAnsi" w:hAnsiTheme="minorHAnsi"/>
        </w:rPr>
      </w:pPr>
      <w:r w:rsidRPr="00105FFC">
        <w:rPr>
          <w:rFonts w:asciiTheme="minorHAnsi" w:hAnsiTheme="minorHAnsi"/>
        </w:rPr>
        <w:t>Percentage of 25 most utilized dental procedure reimbursement rates in SFY 2014-15 in relation to of comparable State’s Medicaid programs.</w:t>
      </w:r>
    </w:p>
    <w:p w14:paraId="00764300" w14:textId="77777777" w:rsidR="00407705" w:rsidRPr="00105FFC" w:rsidRDefault="001E0013" w:rsidP="001E0013">
      <w:pPr>
        <w:spacing w:after="200" w:line="276" w:lineRule="auto"/>
        <w:rPr>
          <w:rFonts w:asciiTheme="minorHAnsi" w:eastAsiaTheme="minorHAnsi" w:hAnsiTheme="minorHAnsi" w:cstheme="minorBidi"/>
        </w:rPr>
      </w:pPr>
      <w:r w:rsidRPr="00105FFC">
        <w:rPr>
          <w:rFonts w:asciiTheme="minorHAnsi" w:eastAsiaTheme="minorHAnsi" w:hAnsiTheme="minorHAnsi" w:cstheme="minorBidi"/>
        </w:rPr>
        <w:br w:type="page"/>
      </w:r>
    </w:p>
    <w:p w14:paraId="53F50AED" w14:textId="77777777" w:rsidR="00407705" w:rsidRPr="00105FFC" w:rsidRDefault="00407705" w:rsidP="00407705">
      <w:pPr>
        <w:pStyle w:val="Heading3"/>
        <w:spacing w:before="0"/>
        <w:rPr>
          <w:rFonts w:eastAsiaTheme="minorHAnsi"/>
        </w:rPr>
      </w:pPr>
      <w:bookmarkStart w:id="523" w:name="_Toc459287787"/>
      <w:r w:rsidRPr="00105FFC">
        <w:rPr>
          <w:rFonts w:eastAsiaTheme="minorHAnsi"/>
        </w:rPr>
        <w:t>Dental Providers</w:t>
      </w:r>
      <w:bookmarkEnd w:id="522"/>
      <w:bookmarkEnd w:id="523"/>
    </w:p>
    <w:p w14:paraId="7AB0FB37" w14:textId="77777777" w:rsidR="00407705" w:rsidRPr="00105FFC" w:rsidRDefault="00407705" w:rsidP="00407705">
      <w:pPr>
        <w:spacing w:line="276" w:lineRule="auto"/>
        <w:rPr>
          <w:rFonts w:asciiTheme="minorHAnsi" w:eastAsiaTheme="minorHAnsi" w:hAnsiTheme="minorHAnsi" w:cstheme="minorBidi"/>
        </w:rPr>
      </w:pPr>
    </w:p>
    <w:p w14:paraId="72A25F78" w14:textId="77777777" w:rsidR="00407705" w:rsidRPr="00105FFC" w:rsidRDefault="00407705" w:rsidP="00407705">
      <w:pPr>
        <w:pStyle w:val="Caption"/>
        <w:spacing w:after="0"/>
        <w:rPr>
          <w:rFonts w:asciiTheme="minorHAnsi" w:eastAsiaTheme="minorHAnsi" w:hAnsiTheme="minorHAnsi" w:cstheme="minorBidi"/>
          <w:b w:val="0"/>
        </w:rPr>
      </w:pPr>
      <w:bookmarkStart w:id="524" w:name="_Toc458178112"/>
      <w:bookmarkStart w:id="525" w:name="_Toc458783151"/>
      <w:bookmarkStart w:id="526" w:name="_Toc459285197"/>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52</w:t>
      </w:r>
      <w:r w:rsidRPr="00105FFC">
        <w:rPr>
          <w:rFonts w:asciiTheme="minorHAnsi" w:hAnsiTheme="minorHAnsi"/>
          <w:color w:val="auto"/>
          <w:sz w:val="20"/>
          <w:szCs w:val="20"/>
        </w:rPr>
        <w:fldChar w:fldCharType="end"/>
      </w:r>
      <w:r w:rsidRPr="00105FFC">
        <w:rPr>
          <w:rFonts w:asciiTheme="minorHAnsi" w:eastAsiaTheme="minorHAnsi" w:hAnsiTheme="minorHAnsi" w:cstheme="minorBidi"/>
          <w:b w:val="0"/>
          <w:bCs w:val="0"/>
          <w:color w:val="auto"/>
          <w:sz w:val="20"/>
          <w:szCs w:val="20"/>
        </w:rPr>
        <w:t>:</w:t>
      </w:r>
      <w:r w:rsidRPr="00105FFC">
        <w:rPr>
          <w:rFonts w:asciiTheme="minorHAnsi" w:eastAsiaTheme="minorHAnsi" w:hAnsiTheme="minorHAnsi" w:cstheme="minorBidi"/>
          <w:bCs w:val="0"/>
          <w:color w:val="auto"/>
          <w:sz w:val="20"/>
          <w:szCs w:val="20"/>
        </w:rPr>
        <w:t xml:space="preserve"> </w:t>
      </w:r>
      <w:r w:rsidRPr="00105FFC">
        <w:rPr>
          <w:rFonts w:asciiTheme="minorHAnsi" w:eastAsiaTheme="minorHAnsi" w:hAnsiTheme="minorHAnsi" w:cstheme="minorBidi"/>
          <w:b w:val="0"/>
          <w:bCs w:val="0"/>
          <w:color w:val="auto"/>
          <w:sz w:val="20"/>
          <w:szCs w:val="20"/>
        </w:rPr>
        <w:t>Denti-Cal Provider Enrollment - Active Offices &amp; Renderers in CY 2014 and 2015, by Geographic Region</w:t>
      </w:r>
      <w:bookmarkEnd w:id="524"/>
      <w:bookmarkEnd w:id="525"/>
      <w:bookmarkEnd w:id="526"/>
    </w:p>
    <w:tbl>
      <w:tblPr>
        <w:tblStyle w:val="GridTable6Colorful-Accent11"/>
        <w:tblW w:w="7320" w:type="dxa"/>
        <w:tblLook w:val="04A0" w:firstRow="1" w:lastRow="0" w:firstColumn="1" w:lastColumn="0" w:noHBand="0" w:noVBand="1"/>
      </w:tblPr>
      <w:tblGrid>
        <w:gridCol w:w="2080"/>
        <w:gridCol w:w="1440"/>
        <w:gridCol w:w="1180"/>
        <w:gridCol w:w="1440"/>
        <w:gridCol w:w="1180"/>
      </w:tblGrid>
      <w:tr w:rsidR="00407705" w:rsidRPr="00105FFC" w14:paraId="6789D06E" w14:textId="77777777" w:rsidTr="000739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5A356D69" w14:textId="77777777" w:rsidR="00407705" w:rsidRPr="00105FFC" w:rsidRDefault="00407705" w:rsidP="00407705">
            <w:pPr>
              <w:jc w:val="center"/>
              <w:rPr>
                <w:rFonts w:asciiTheme="minorHAnsi" w:hAnsiTheme="minorHAnsi" w:cs="Arial"/>
                <w:color w:val="555555"/>
                <w:sz w:val="22"/>
                <w:szCs w:val="22"/>
              </w:rPr>
            </w:pPr>
            <w:r w:rsidRPr="00105FFC">
              <w:rPr>
                <w:rFonts w:asciiTheme="minorHAnsi" w:hAnsiTheme="minorHAnsi" w:cs="Arial"/>
                <w:color w:val="555555"/>
                <w:sz w:val="22"/>
                <w:szCs w:val="22"/>
              </w:rPr>
              <w:t>Region</w:t>
            </w:r>
          </w:p>
        </w:tc>
        <w:tc>
          <w:tcPr>
            <w:tcW w:w="2620" w:type="dxa"/>
            <w:gridSpan w:val="2"/>
            <w:noWrap/>
            <w:vAlign w:val="center"/>
            <w:hideMark/>
          </w:tcPr>
          <w:p w14:paraId="4EB347DC"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CY 2014</w:t>
            </w:r>
          </w:p>
        </w:tc>
        <w:tc>
          <w:tcPr>
            <w:tcW w:w="2620" w:type="dxa"/>
            <w:gridSpan w:val="2"/>
            <w:noWrap/>
            <w:vAlign w:val="center"/>
            <w:hideMark/>
          </w:tcPr>
          <w:p w14:paraId="4ED8A048"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CY 2015</w:t>
            </w:r>
          </w:p>
        </w:tc>
      </w:tr>
      <w:tr w:rsidR="00407705" w:rsidRPr="00105FFC" w14:paraId="0E75F5CB" w14:textId="77777777" w:rsidTr="0040770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80" w:type="dxa"/>
            <w:vAlign w:val="center"/>
            <w:hideMark/>
          </w:tcPr>
          <w:p w14:paraId="2D0E09D8" w14:textId="77777777" w:rsidR="00407705" w:rsidRPr="00105FFC" w:rsidRDefault="00407705" w:rsidP="00407705">
            <w:pPr>
              <w:rPr>
                <w:rFonts w:asciiTheme="minorHAnsi" w:hAnsiTheme="minorHAnsi" w:cs="Arial"/>
                <w:color w:val="555555"/>
                <w:sz w:val="22"/>
                <w:szCs w:val="22"/>
              </w:rPr>
            </w:pPr>
          </w:p>
        </w:tc>
        <w:tc>
          <w:tcPr>
            <w:tcW w:w="1440" w:type="dxa"/>
            <w:vAlign w:val="center"/>
            <w:hideMark/>
          </w:tcPr>
          <w:p w14:paraId="0E9C5CF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2"/>
                <w:szCs w:val="22"/>
              </w:rPr>
            </w:pPr>
            <w:r w:rsidRPr="00105FFC">
              <w:rPr>
                <w:rFonts w:asciiTheme="minorHAnsi" w:hAnsiTheme="minorHAnsi" w:cs="Arial"/>
                <w:b/>
                <w:bCs/>
                <w:color w:val="555555"/>
                <w:sz w:val="22"/>
                <w:szCs w:val="22"/>
              </w:rPr>
              <w:t>Service Office Locations</w:t>
            </w:r>
          </w:p>
        </w:tc>
        <w:tc>
          <w:tcPr>
            <w:tcW w:w="1180" w:type="dxa"/>
            <w:vAlign w:val="center"/>
            <w:hideMark/>
          </w:tcPr>
          <w:p w14:paraId="1FA6493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2"/>
                <w:szCs w:val="22"/>
              </w:rPr>
            </w:pPr>
            <w:r w:rsidRPr="00105FFC">
              <w:rPr>
                <w:rFonts w:asciiTheme="minorHAnsi" w:hAnsiTheme="minorHAnsi" w:cs="Arial"/>
                <w:b/>
                <w:bCs/>
                <w:color w:val="555555"/>
                <w:sz w:val="22"/>
                <w:szCs w:val="22"/>
              </w:rPr>
              <w:t>Rendering Providers</w:t>
            </w:r>
          </w:p>
        </w:tc>
        <w:tc>
          <w:tcPr>
            <w:tcW w:w="1440" w:type="dxa"/>
            <w:vAlign w:val="center"/>
            <w:hideMark/>
          </w:tcPr>
          <w:p w14:paraId="4954922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2"/>
                <w:szCs w:val="22"/>
              </w:rPr>
            </w:pPr>
            <w:r w:rsidRPr="00105FFC">
              <w:rPr>
                <w:rFonts w:asciiTheme="minorHAnsi" w:hAnsiTheme="minorHAnsi" w:cs="Arial"/>
                <w:b/>
                <w:bCs/>
                <w:color w:val="555555"/>
                <w:sz w:val="22"/>
                <w:szCs w:val="22"/>
              </w:rPr>
              <w:t>Service Office Locations</w:t>
            </w:r>
          </w:p>
        </w:tc>
        <w:tc>
          <w:tcPr>
            <w:tcW w:w="1180" w:type="dxa"/>
            <w:vAlign w:val="center"/>
            <w:hideMark/>
          </w:tcPr>
          <w:p w14:paraId="4C770E8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2"/>
                <w:szCs w:val="22"/>
              </w:rPr>
            </w:pPr>
            <w:r w:rsidRPr="00105FFC">
              <w:rPr>
                <w:rFonts w:asciiTheme="minorHAnsi" w:hAnsiTheme="minorHAnsi" w:cs="Arial"/>
                <w:b/>
                <w:bCs/>
                <w:color w:val="555555"/>
                <w:sz w:val="22"/>
                <w:szCs w:val="22"/>
              </w:rPr>
              <w:t>Rendering Providers</w:t>
            </w:r>
          </w:p>
        </w:tc>
      </w:tr>
      <w:tr w:rsidR="00407705" w:rsidRPr="00105FFC" w14:paraId="1F095A75" w14:textId="77777777" w:rsidTr="00407705">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5E63138F"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Alameda</w:t>
            </w:r>
          </w:p>
        </w:tc>
        <w:tc>
          <w:tcPr>
            <w:tcW w:w="1440" w:type="dxa"/>
            <w:noWrap/>
            <w:vAlign w:val="center"/>
            <w:hideMark/>
          </w:tcPr>
          <w:p w14:paraId="19F2323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158</w:t>
            </w:r>
          </w:p>
        </w:tc>
        <w:tc>
          <w:tcPr>
            <w:tcW w:w="1180" w:type="dxa"/>
            <w:noWrap/>
            <w:vAlign w:val="center"/>
            <w:hideMark/>
          </w:tcPr>
          <w:p w14:paraId="7B7E071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351</w:t>
            </w:r>
          </w:p>
        </w:tc>
        <w:tc>
          <w:tcPr>
            <w:tcW w:w="1440" w:type="dxa"/>
            <w:noWrap/>
            <w:vAlign w:val="center"/>
            <w:hideMark/>
          </w:tcPr>
          <w:p w14:paraId="2CE3727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143</w:t>
            </w:r>
          </w:p>
        </w:tc>
        <w:tc>
          <w:tcPr>
            <w:tcW w:w="1180" w:type="dxa"/>
            <w:noWrap/>
            <w:vAlign w:val="center"/>
            <w:hideMark/>
          </w:tcPr>
          <w:p w14:paraId="2CAA5EF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338</w:t>
            </w:r>
          </w:p>
        </w:tc>
      </w:tr>
      <w:tr w:rsidR="00407705" w:rsidRPr="00105FFC" w14:paraId="67A1A4B5" w14:textId="77777777" w:rsidTr="00407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44E00D99"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Central Coast</w:t>
            </w:r>
          </w:p>
        </w:tc>
        <w:tc>
          <w:tcPr>
            <w:tcW w:w="1440" w:type="dxa"/>
            <w:noWrap/>
            <w:vAlign w:val="center"/>
            <w:hideMark/>
          </w:tcPr>
          <w:p w14:paraId="6276914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62</w:t>
            </w:r>
          </w:p>
        </w:tc>
        <w:tc>
          <w:tcPr>
            <w:tcW w:w="1180" w:type="dxa"/>
            <w:noWrap/>
            <w:vAlign w:val="center"/>
            <w:hideMark/>
          </w:tcPr>
          <w:p w14:paraId="79B043C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158</w:t>
            </w:r>
          </w:p>
        </w:tc>
        <w:tc>
          <w:tcPr>
            <w:tcW w:w="1440" w:type="dxa"/>
            <w:noWrap/>
            <w:vAlign w:val="center"/>
            <w:hideMark/>
          </w:tcPr>
          <w:p w14:paraId="7A262F1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55</w:t>
            </w:r>
          </w:p>
        </w:tc>
        <w:tc>
          <w:tcPr>
            <w:tcW w:w="1180" w:type="dxa"/>
            <w:noWrap/>
            <w:vAlign w:val="center"/>
            <w:hideMark/>
          </w:tcPr>
          <w:p w14:paraId="25E89B7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149</w:t>
            </w:r>
          </w:p>
        </w:tc>
      </w:tr>
      <w:tr w:rsidR="00407705" w:rsidRPr="00105FFC" w14:paraId="3499CF84" w14:textId="77777777" w:rsidTr="00407705">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3F38AA97"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Central Valley</w:t>
            </w:r>
          </w:p>
        </w:tc>
        <w:tc>
          <w:tcPr>
            <w:tcW w:w="1440" w:type="dxa"/>
            <w:noWrap/>
            <w:vAlign w:val="center"/>
            <w:hideMark/>
          </w:tcPr>
          <w:p w14:paraId="7BF53FD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199</w:t>
            </w:r>
          </w:p>
        </w:tc>
        <w:tc>
          <w:tcPr>
            <w:tcW w:w="1180" w:type="dxa"/>
            <w:noWrap/>
            <w:vAlign w:val="center"/>
            <w:hideMark/>
          </w:tcPr>
          <w:p w14:paraId="0A9F04E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544</w:t>
            </w:r>
          </w:p>
        </w:tc>
        <w:tc>
          <w:tcPr>
            <w:tcW w:w="1440" w:type="dxa"/>
            <w:noWrap/>
            <w:vAlign w:val="center"/>
            <w:hideMark/>
          </w:tcPr>
          <w:p w14:paraId="118BFE0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192</w:t>
            </w:r>
          </w:p>
        </w:tc>
        <w:tc>
          <w:tcPr>
            <w:tcW w:w="1180" w:type="dxa"/>
            <w:noWrap/>
            <w:vAlign w:val="center"/>
            <w:hideMark/>
          </w:tcPr>
          <w:p w14:paraId="429DA39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510</w:t>
            </w:r>
          </w:p>
        </w:tc>
      </w:tr>
      <w:tr w:rsidR="00407705" w:rsidRPr="00105FFC" w14:paraId="32F2C01A" w14:textId="77777777" w:rsidTr="00407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BBAD7DE"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Contra Costa</w:t>
            </w:r>
          </w:p>
        </w:tc>
        <w:tc>
          <w:tcPr>
            <w:tcW w:w="1440" w:type="dxa"/>
            <w:noWrap/>
            <w:vAlign w:val="center"/>
            <w:hideMark/>
          </w:tcPr>
          <w:p w14:paraId="19F81C1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59</w:t>
            </w:r>
          </w:p>
        </w:tc>
        <w:tc>
          <w:tcPr>
            <w:tcW w:w="1180" w:type="dxa"/>
            <w:noWrap/>
            <w:vAlign w:val="center"/>
            <w:hideMark/>
          </w:tcPr>
          <w:p w14:paraId="5E5B74C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180</w:t>
            </w:r>
          </w:p>
        </w:tc>
        <w:tc>
          <w:tcPr>
            <w:tcW w:w="1440" w:type="dxa"/>
            <w:noWrap/>
            <w:vAlign w:val="center"/>
            <w:hideMark/>
          </w:tcPr>
          <w:p w14:paraId="759BD3E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58</w:t>
            </w:r>
          </w:p>
        </w:tc>
        <w:tc>
          <w:tcPr>
            <w:tcW w:w="1180" w:type="dxa"/>
            <w:noWrap/>
            <w:vAlign w:val="center"/>
            <w:hideMark/>
          </w:tcPr>
          <w:p w14:paraId="761C338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183</w:t>
            </w:r>
          </w:p>
        </w:tc>
      </w:tr>
      <w:tr w:rsidR="00407705" w:rsidRPr="00105FFC" w14:paraId="61027E9A" w14:textId="77777777" w:rsidTr="00407705">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5C0867B"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Greater Fresno</w:t>
            </w:r>
          </w:p>
        </w:tc>
        <w:tc>
          <w:tcPr>
            <w:tcW w:w="1440" w:type="dxa"/>
            <w:noWrap/>
            <w:vAlign w:val="center"/>
            <w:hideMark/>
          </w:tcPr>
          <w:p w14:paraId="65F3D8C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173</w:t>
            </w:r>
          </w:p>
        </w:tc>
        <w:tc>
          <w:tcPr>
            <w:tcW w:w="1180" w:type="dxa"/>
            <w:noWrap/>
            <w:vAlign w:val="center"/>
            <w:hideMark/>
          </w:tcPr>
          <w:p w14:paraId="56D017B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356</w:t>
            </w:r>
          </w:p>
        </w:tc>
        <w:tc>
          <w:tcPr>
            <w:tcW w:w="1440" w:type="dxa"/>
            <w:noWrap/>
            <w:vAlign w:val="center"/>
            <w:hideMark/>
          </w:tcPr>
          <w:p w14:paraId="0829D37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169</w:t>
            </w:r>
          </w:p>
        </w:tc>
        <w:tc>
          <w:tcPr>
            <w:tcW w:w="1180" w:type="dxa"/>
            <w:noWrap/>
            <w:vAlign w:val="center"/>
            <w:hideMark/>
          </w:tcPr>
          <w:p w14:paraId="47A35BB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295</w:t>
            </w:r>
          </w:p>
        </w:tc>
      </w:tr>
      <w:tr w:rsidR="00407705" w:rsidRPr="00105FFC" w14:paraId="1FA3925D" w14:textId="77777777" w:rsidTr="00407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37BFD534"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Greater Sacramento</w:t>
            </w:r>
          </w:p>
        </w:tc>
        <w:tc>
          <w:tcPr>
            <w:tcW w:w="1440" w:type="dxa"/>
            <w:noWrap/>
            <w:vAlign w:val="center"/>
            <w:hideMark/>
          </w:tcPr>
          <w:p w14:paraId="5562FE0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148</w:t>
            </w:r>
          </w:p>
        </w:tc>
        <w:tc>
          <w:tcPr>
            <w:tcW w:w="1180" w:type="dxa"/>
            <w:noWrap/>
            <w:vAlign w:val="center"/>
            <w:hideMark/>
          </w:tcPr>
          <w:p w14:paraId="51B795E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492</w:t>
            </w:r>
          </w:p>
        </w:tc>
        <w:tc>
          <w:tcPr>
            <w:tcW w:w="1440" w:type="dxa"/>
            <w:noWrap/>
            <w:vAlign w:val="center"/>
            <w:hideMark/>
          </w:tcPr>
          <w:p w14:paraId="0AFF80F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151</w:t>
            </w:r>
          </w:p>
        </w:tc>
        <w:tc>
          <w:tcPr>
            <w:tcW w:w="1180" w:type="dxa"/>
            <w:noWrap/>
            <w:vAlign w:val="center"/>
            <w:hideMark/>
          </w:tcPr>
          <w:p w14:paraId="07032B5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306</w:t>
            </w:r>
          </w:p>
        </w:tc>
      </w:tr>
      <w:tr w:rsidR="00407705" w:rsidRPr="00105FFC" w14:paraId="1D56BFCC" w14:textId="77777777" w:rsidTr="00407705">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6132ABC3"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Inland Desert</w:t>
            </w:r>
          </w:p>
        </w:tc>
        <w:tc>
          <w:tcPr>
            <w:tcW w:w="1440" w:type="dxa"/>
            <w:noWrap/>
            <w:vAlign w:val="center"/>
            <w:hideMark/>
          </w:tcPr>
          <w:p w14:paraId="6FF4379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15</w:t>
            </w:r>
          </w:p>
        </w:tc>
        <w:tc>
          <w:tcPr>
            <w:tcW w:w="1180" w:type="dxa"/>
            <w:noWrap/>
            <w:vAlign w:val="center"/>
            <w:hideMark/>
          </w:tcPr>
          <w:p w14:paraId="0705C7A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44</w:t>
            </w:r>
          </w:p>
        </w:tc>
        <w:tc>
          <w:tcPr>
            <w:tcW w:w="1440" w:type="dxa"/>
            <w:noWrap/>
            <w:vAlign w:val="center"/>
            <w:hideMark/>
          </w:tcPr>
          <w:p w14:paraId="03C9B1E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18</w:t>
            </w:r>
          </w:p>
        </w:tc>
        <w:tc>
          <w:tcPr>
            <w:tcW w:w="1180" w:type="dxa"/>
            <w:noWrap/>
            <w:vAlign w:val="center"/>
            <w:hideMark/>
          </w:tcPr>
          <w:p w14:paraId="6BBBC3E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48</w:t>
            </w:r>
          </w:p>
        </w:tc>
      </w:tr>
      <w:tr w:rsidR="00407705" w:rsidRPr="00105FFC" w14:paraId="5C28BF27" w14:textId="77777777" w:rsidTr="00407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408B0FB"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Inland Empire</w:t>
            </w:r>
          </w:p>
        </w:tc>
        <w:tc>
          <w:tcPr>
            <w:tcW w:w="1440" w:type="dxa"/>
            <w:noWrap/>
            <w:vAlign w:val="center"/>
            <w:hideMark/>
          </w:tcPr>
          <w:p w14:paraId="7C7A45A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727</w:t>
            </w:r>
          </w:p>
        </w:tc>
        <w:tc>
          <w:tcPr>
            <w:tcW w:w="1180" w:type="dxa"/>
            <w:noWrap/>
            <w:vAlign w:val="center"/>
            <w:hideMark/>
          </w:tcPr>
          <w:p w14:paraId="79CFFC6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1,574</w:t>
            </w:r>
          </w:p>
        </w:tc>
        <w:tc>
          <w:tcPr>
            <w:tcW w:w="1440" w:type="dxa"/>
            <w:noWrap/>
            <w:vAlign w:val="center"/>
            <w:hideMark/>
          </w:tcPr>
          <w:p w14:paraId="3B12CD5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743</w:t>
            </w:r>
          </w:p>
        </w:tc>
        <w:tc>
          <w:tcPr>
            <w:tcW w:w="1180" w:type="dxa"/>
            <w:noWrap/>
            <w:vAlign w:val="center"/>
            <w:hideMark/>
          </w:tcPr>
          <w:p w14:paraId="5B5B646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1,508</w:t>
            </w:r>
          </w:p>
        </w:tc>
      </w:tr>
      <w:tr w:rsidR="00407705" w:rsidRPr="00105FFC" w14:paraId="4F5D195C" w14:textId="77777777" w:rsidTr="00407705">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23A2A4A"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Kern</w:t>
            </w:r>
          </w:p>
        </w:tc>
        <w:tc>
          <w:tcPr>
            <w:tcW w:w="1440" w:type="dxa"/>
            <w:noWrap/>
            <w:vAlign w:val="center"/>
            <w:hideMark/>
          </w:tcPr>
          <w:p w14:paraId="2C751AA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94</w:t>
            </w:r>
          </w:p>
        </w:tc>
        <w:tc>
          <w:tcPr>
            <w:tcW w:w="1180" w:type="dxa"/>
            <w:noWrap/>
            <w:vAlign w:val="center"/>
            <w:hideMark/>
          </w:tcPr>
          <w:p w14:paraId="238CFE6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279</w:t>
            </w:r>
          </w:p>
        </w:tc>
        <w:tc>
          <w:tcPr>
            <w:tcW w:w="1440" w:type="dxa"/>
            <w:noWrap/>
            <w:vAlign w:val="center"/>
            <w:hideMark/>
          </w:tcPr>
          <w:p w14:paraId="73082E3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90</w:t>
            </w:r>
          </w:p>
        </w:tc>
        <w:tc>
          <w:tcPr>
            <w:tcW w:w="1180" w:type="dxa"/>
            <w:noWrap/>
            <w:vAlign w:val="center"/>
            <w:hideMark/>
          </w:tcPr>
          <w:p w14:paraId="1BE2302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226</w:t>
            </w:r>
          </w:p>
        </w:tc>
      </w:tr>
      <w:tr w:rsidR="00407705" w:rsidRPr="00105FFC" w14:paraId="0864D8E7" w14:textId="77777777" w:rsidTr="00407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41A2C12D"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Los Angeles</w:t>
            </w:r>
          </w:p>
        </w:tc>
        <w:tc>
          <w:tcPr>
            <w:tcW w:w="1440" w:type="dxa"/>
            <w:noWrap/>
            <w:vAlign w:val="center"/>
            <w:hideMark/>
          </w:tcPr>
          <w:p w14:paraId="1BD9C4A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2,307</w:t>
            </w:r>
          </w:p>
        </w:tc>
        <w:tc>
          <w:tcPr>
            <w:tcW w:w="1180" w:type="dxa"/>
            <w:noWrap/>
            <w:vAlign w:val="center"/>
            <w:hideMark/>
          </w:tcPr>
          <w:p w14:paraId="0C58E97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4,044</w:t>
            </w:r>
          </w:p>
        </w:tc>
        <w:tc>
          <w:tcPr>
            <w:tcW w:w="1440" w:type="dxa"/>
            <w:noWrap/>
            <w:vAlign w:val="center"/>
            <w:hideMark/>
          </w:tcPr>
          <w:p w14:paraId="4A01750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2,253</w:t>
            </w:r>
          </w:p>
        </w:tc>
        <w:tc>
          <w:tcPr>
            <w:tcW w:w="1180" w:type="dxa"/>
            <w:noWrap/>
            <w:vAlign w:val="center"/>
            <w:hideMark/>
          </w:tcPr>
          <w:p w14:paraId="34F3CF4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3,812</w:t>
            </w:r>
          </w:p>
        </w:tc>
      </w:tr>
      <w:tr w:rsidR="00407705" w:rsidRPr="00105FFC" w14:paraId="5FBCD92A" w14:textId="77777777" w:rsidTr="00407705">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1FE1C92C"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North Bay</w:t>
            </w:r>
          </w:p>
        </w:tc>
        <w:tc>
          <w:tcPr>
            <w:tcW w:w="1440" w:type="dxa"/>
            <w:noWrap/>
            <w:vAlign w:val="center"/>
            <w:hideMark/>
          </w:tcPr>
          <w:p w14:paraId="33EF59C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79</w:t>
            </w:r>
          </w:p>
        </w:tc>
        <w:tc>
          <w:tcPr>
            <w:tcW w:w="1180" w:type="dxa"/>
            <w:noWrap/>
            <w:vAlign w:val="center"/>
            <w:hideMark/>
          </w:tcPr>
          <w:p w14:paraId="0053008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226</w:t>
            </w:r>
          </w:p>
        </w:tc>
        <w:tc>
          <w:tcPr>
            <w:tcW w:w="1440" w:type="dxa"/>
            <w:noWrap/>
            <w:vAlign w:val="center"/>
            <w:hideMark/>
          </w:tcPr>
          <w:p w14:paraId="0B4721F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81</w:t>
            </w:r>
          </w:p>
        </w:tc>
        <w:tc>
          <w:tcPr>
            <w:tcW w:w="1180" w:type="dxa"/>
            <w:noWrap/>
            <w:vAlign w:val="center"/>
            <w:hideMark/>
          </w:tcPr>
          <w:p w14:paraId="42EED70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222</w:t>
            </w:r>
          </w:p>
        </w:tc>
      </w:tr>
      <w:tr w:rsidR="00407705" w:rsidRPr="00105FFC" w14:paraId="786DE6BE" w14:textId="77777777" w:rsidTr="00407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6AE40DCD"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Northern</w:t>
            </w:r>
          </w:p>
        </w:tc>
        <w:tc>
          <w:tcPr>
            <w:tcW w:w="1440" w:type="dxa"/>
            <w:noWrap/>
            <w:vAlign w:val="center"/>
            <w:hideMark/>
          </w:tcPr>
          <w:p w14:paraId="49F260B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99</w:t>
            </w:r>
          </w:p>
        </w:tc>
        <w:tc>
          <w:tcPr>
            <w:tcW w:w="1180" w:type="dxa"/>
            <w:noWrap/>
            <w:vAlign w:val="center"/>
            <w:hideMark/>
          </w:tcPr>
          <w:p w14:paraId="727628D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179</w:t>
            </w:r>
          </w:p>
        </w:tc>
        <w:tc>
          <w:tcPr>
            <w:tcW w:w="1440" w:type="dxa"/>
            <w:noWrap/>
            <w:vAlign w:val="center"/>
            <w:hideMark/>
          </w:tcPr>
          <w:p w14:paraId="3A08EB4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89</w:t>
            </w:r>
          </w:p>
        </w:tc>
        <w:tc>
          <w:tcPr>
            <w:tcW w:w="1180" w:type="dxa"/>
            <w:noWrap/>
            <w:vAlign w:val="center"/>
            <w:hideMark/>
          </w:tcPr>
          <w:p w14:paraId="0337380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152</w:t>
            </w:r>
          </w:p>
        </w:tc>
      </w:tr>
      <w:tr w:rsidR="00407705" w:rsidRPr="00105FFC" w14:paraId="54A98C05" w14:textId="77777777" w:rsidTr="00407705">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B3A04AF"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Orange</w:t>
            </w:r>
          </w:p>
        </w:tc>
        <w:tc>
          <w:tcPr>
            <w:tcW w:w="1440" w:type="dxa"/>
            <w:noWrap/>
            <w:vAlign w:val="center"/>
            <w:hideMark/>
          </w:tcPr>
          <w:p w14:paraId="6BD2692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726</w:t>
            </w:r>
          </w:p>
        </w:tc>
        <w:tc>
          <w:tcPr>
            <w:tcW w:w="1180" w:type="dxa"/>
            <w:noWrap/>
            <w:vAlign w:val="center"/>
            <w:hideMark/>
          </w:tcPr>
          <w:p w14:paraId="0218736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1,312</w:t>
            </w:r>
          </w:p>
        </w:tc>
        <w:tc>
          <w:tcPr>
            <w:tcW w:w="1440" w:type="dxa"/>
            <w:noWrap/>
            <w:vAlign w:val="center"/>
            <w:hideMark/>
          </w:tcPr>
          <w:p w14:paraId="7F11056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736</w:t>
            </w:r>
          </w:p>
        </w:tc>
        <w:tc>
          <w:tcPr>
            <w:tcW w:w="1180" w:type="dxa"/>
            <w:noWrap/>
            <w:vAlign w:val="center"/>
            <w:hideMark/>
          </w:tcPr>
          <w:p w14:paraId="4B09DE7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1,283</w:t>
            </w:r>
          </w:p>
        </w:tc>
      </w:tr>
      <w:tr w:rsidR="00407705" w:rsidRPr="00105FFC" w14:paraId="0221D7E0" w14:textId="77777777" w:rsidTr="00407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76D8C83"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San Diego</w:t>
            </w:r>
          </w:p>
        </w:tc>
        <w:tc>
          <w:tcPr>
            <w:tcW w:w="1440" w:type="dxa"/>
            <w:noWrap/>
            <w:vAlign w:val="center"/>
            <w:hideMark/>
          </w:tcPr>
          <w:p w14:paraId="10B4384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338</w:t>
            </w:r>
          </w:p>
        </w:tc>
        <w:tc>
          <w:tcPr>
            <w:tcW w:w="1180" w:type="dxa"/>
            <w:noWrap/>
            <w:vAlign w:val="center"/>
            <w:hideMark/>
          </w:tcPr>
          <w:p w14:paraId="6CDF1E6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664</w:t>
            </w:r>
          </w:p>
        </w:tc>
        <w:tc>
          <w:tcPr>
            <w:tcW w:w="1440" w:type="dxa"/>
            <w:noWrap/>
            <w:vAlign w:val="center"/>
            <w:hideMark/>
          </w:tcPr>
          <w:p w14:paraId="469F55B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342</w:t>
            </w:r>
          </w:p>
        </w:tc>
        <w:tc>
          <w:tcPr>
            <w:tcW w:w="1180" w:type="dxa"/>
            <w:noWrap/>
            <w:vAlign w:val="center"/>
            <w:hideMark/>
          </w:tcPr>
          <w:p w14:paraId="69A88C7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648</w:t>
            </w:r>
          </w:p>
        </w:tc>
      </w:tr>
      <w:tr w:rsidR="00407705" w:rsidRPr="00105FFC" w14:paraId="7D0BC991" w14:textId="77777777" w:rsidTr="00407705">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67635EA6"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San Francisco</w:t>
            </w:r>
          </w:p>
        </w:tc>
        <w:tc>
          <w:tcPr>
            <w:tcW w:w="1440" w:type="dxa"/>
            <w:noWrap/>
            <w:vAlign w:val="center"/>
            <w:hideMark/>
          </w:tcPr>
          <w:p w14:paraId="6A3301F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111</w:t>
            </w:r>
          </w:p>
        </w:tc>
        <w:tc>
          <w:tcPr>
            <w:tcW w:w="1180" w:type="dxa"/>
            <w:noWrap/>
            <w:vAlign w:val="center"/>
            <w:hideMark/>
          </w:tcPr>
          <w:p w14:paraId="41DE39C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235</w:t>
            </w:r>
          </w:p>
        </w:tc>
        <w:tc>
          <w:tcPr>
            <w:tcW w:w="1440" w:type="dxa"/>
            <w:noWrap/>
            <w:vAlign w:val="center"/>
            <w:hideMark/>
          </w:tcPr>
          <w:p w14:paraId="055BDFE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91</w:t>
            </w:r>
          </w:p>
        </w:tc>
        <w:tc>
          <w:tcPr>
            <w:tcW w:w="1180" w:type="dxa"/>
            <w:noWrap/>
            <w:vAlign w:val="center"/>
            <w:hideMark/>
          </w:tcPr>
          <w:p w14:paraId="30A9CC3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216</w:t>
            </w:r>
          </w:p>
        </w:tc>
      </w:tr>
      <w:tr w:rsidR="00407705" w:rsidRPr="00105FFC" w14:paraId="2BD530AA" w14:textId="77777777" w:rsidTr="00407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4840C858"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San Mateo</w:t>
            </w:r>
          </w:p>
        </w:tc>
        <w:tc>
          <w:tcPr>
            <w:tcW w:w="1440" w:type="dxa"/>
            <w:noWrap/>
            <w:vAlign w:val="center"/>
            <w:hideMark/>
          </w:tcPr>
          <w:p w14:paraId="7852BDC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49</w:t>
            </w:r>
          </w:p>
        </w:tc>
        <w:tc>
          <w:tcPr>
            <w:tcW w:w="1180" w:type="dxa"/>
            <w:noWrap/>
            <w:vAlign w:val="center"/>
            <w:hideMark/>
          </w:tcPr>
          <w:p w14:paraId="19480F2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110</w:t>
            </w:r>
          </w:p>
        </w:tc>
        <w:tc>
          <w:tcPr>
            <w:tcW w:w="1440" w:type="dxa"/>
            <w:noWrap/>
            <w:vAlign w:val="center"/>
            <w:hideMark/>
          </w:tcPr>
          <w:p w14:paraId="7C7B2A0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46</w:t>
            </w:r>
          </w:p>
        </w:tc>
        <w:tc>
          <w:tcPr>
            <w:tcW w:w="1180" w:type="dxa"/>
            <w:noWrap/>
            <w:vAlign w:val="center"/>
            <w:hideMark/>
          </w:tcPr>
          <w:p w14:paraId="1C094CD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108</w:t>
            </w:r>
          </w:p>
        </w:tc>
      </w:tr>
      <w:tr w:rsidR="00407705" w:rsidRPr="00105FFC" w14:paraId="6838A2C6" w14:textId="77777777" w:rsidTr="00407705">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CB8C6D2"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Santa Clara</w:t>
            </w:r>
          </w:p>
        </w:tc>
        <w:tc>
          <w:tcPr>
            <w:tcW w:w="1440" w:type="dxa"/>
            <w:noWrap/>
            <w:vAlign w:val="center"/>
            <w:hideMark/>
          </w:tcPr>
          <w:p w14:paraId="47B030B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272</w:t>
            </w:r>
          </w:p>
        </w:tc>
        <w:tc>
          <w:tcPr>
            <w:tcW w:w="1180" w:type="dxa"/>
            <w:noWrap/>
            <w:vAlign w:val="center"/>
            <w:hideMark/>
          </w:tcPr>
          <w:p w14:paraId="4D48DE4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503</w:t>
            </w:r>
          </w:p>
        </w:tc>
        <w:tc>
          <w:tcPr>
            <w:tcW w:w="1440" w:type="dxa"/>
            <w:noWrap/>
            <w:vAlign w:val="center"/>
            <w:hideMark/>
          </w:tcPr>
          <w:p w14:paraId="7F850E4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251</w:t>
            </w:r>
          </w:p>
        </w:tc>
        <w:tc>
          <w:tcPr>
            <w:tcW w:w="1180" w:type="dxa"/>
            <w:noWrap/>
            <w:vAlign w:val="center"/>
            <w:hideMark/>
          </w:tcPr>
          <w:p w14:paraId="2E82BA7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484</w:t>
            </w:r>
          </w:p>
        </w:tc>
      </w:tr>
      <w:tr w:rsidR="00407705" w:rsidRPr="00105FFC" w14:paraId="263CCC91" w14:textId="77777777" w:rsidTr="00407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5FC97891"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South Coast</w:t>
            </w:r>
          </w:p>
        </w:tc>
        <w:tc>
          <w:tcPr>
            <w:tcW w:w="1440" w:type="dxa"/>
            <w:noWrap/>
            <w:vAlign w:val="center"/>
            <w:hideMark/>
          </w:tcPr>
          <w:p w14:paraId="4F234F6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162</w:t>
            </w:r>
          </w:p>
        </w:tc>
        <w:tc>
          <w:tcPr>
            <w:tcW w:w="1180" w:type="dxa"/>
            <w:noWrap/>
            <w:vAlign w:val="center"/>
            <w:hideMark/>
          </w:tcPr>
          <w:p w14:paraId="18AB195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355</w:t>
            </w:r>
          </w:p>
        </w:tc>
        <w:tc>
          <w:tcPr>
            <w:tcW w:w="1440" w:type="dxa"/>
            <w:noWrap/>
            <w:vAlign w:val="center"/>
            <w:hideMark/>
          </w:tcPr>
          <w:p w14:paraId="76F8B58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166</w:t>
            </w:r>
          </w:p>
        </w:tc>
        <w:tc>
          <w:tcPr>
            <w:tcW w:w="1180" w:type="dxa"/>
            <w:noWrap/>
            <w:vAlign w:val="center"/>
            <w:hideMark/>
          </w:tcPr>
          <w:p w14:paraId="3E5A38A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344</w:t>
            </w:r>
          </w:p>
        </w:tc>
      </w:tr>
      <w:tr w:rsidR="00407705" w:rsidRPr="00105FFC" w14:paraId="51535E26" w14:textId="77777777" w:rsidTr="00407705">
        <w:trPr>
          <w:trHeight w:val="315"/>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580A55B" w14:textId="77777777" w:rsidR="00407705" w:rsidRPr="00105FFC" w:rsidRDefault="00407705" w:rsidP="00407705">
            <w:pPr>
              <w:rPr>
                <w:rFonts w:asciiTheme="minorHAnsi" w:hAnsiTheme="minorHAnsi" w:cs="Arial"/>
                <w:b w:val="0"/>
                <w:color w:val="555555"/>
                <w:sz w:val="22"/>
                <w:szCs w:val="22"/>
              </w:rPr>
            </w:pPr>
            <w:r w:rsidRPr="00105FFC">
              <w:rPr>
                <w:rFonts w:asciiTheme="minorHAnsi" w:hAnsiTheme="minorHAnsi" w:cs="Arial"/>
                <w:b w:val="0"/>
                <w:color w:val="555555"/>
                <w:sz w:val="22"/>
                <w:szCs w:val="22"/>
              </w:rPr>
              <w:t>Out of State</w:t>
            </w:r>
          </w:p>
        </w:tc>
        <w:tc>
          <w:tcPr>
            <w:tcW w:w="1440" w:type="dxa"/>
            <w:noWrap/>
            <w:vAlign w:val="center"/>
            <w:hideMark/>
          </w:tcPr>
          <w:p w14:paraId="33543CE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9</w:t>
            </w:r>
          </w:p>
        </w:tc>
        <w:tc>
          <w:tcPr>
            <w:tcW w:w="1180" w:type="dxa"/>
            <w:noWrap/>
            <w:vAlign w:val="center"/>
            <w:hideMark/>
          </w:tcPr>
          <w:p w14:paraId="41B0F6C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9</w:t>
            </w:r>
          </w:p>
        </w:tc>
        <w:tc>
          <w:tcPr>
            <w:tcW w:w="1440" w:type="dxa"/>
            <w:noWrap/>
            <w:vAlign w:val="center"/>
            <w:hideMark/>
          </w:tcPr>
          <w:p w14:paraId="3CF91FF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w:t>
            </w:r>
          </w:p>
        </w:tc>
        <w:tc>
          <w:tcPr>
            <w:tcW w:w="1180" w:type="dxa"/>
            <w:noWrap/>
            <w:vAlign w:val="center"/>
            <w:hideMark/>
          </w:tcPr>
          <w:p w14:paraId="3C4C2C7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2"/>
                <w:szCs w:val="22"/>
              </w:rPr>
            </w:pPr>
            <w:r w:rsidRPr="00105FFC">
              <w:rPr>
                <w:rFonts w:asciiTheme="minorHAnsi" w:hAnsiTheme="minorHAnsi" w:cs="Arial"/>
                <w:color w:val="555555"/>
                <w:sz w:val="22"/>
                <w:szCs w:val="22"/>
              </w:rPr>
              <w:t>2</w:t>
            </w:r>
          </w:p>
        </w:tc>
      </w:tr>
      <w:tr w:rsidR="00407705" w:rsidRPr="00105FFC" w14:paraId="13F84E29" w14:textId="77777777" w:rsidTr="0040770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64FAE20" w14:textId="77777777" w:rsidR="00407705" w:rsidRPr="00105FFC" w:rsidRDefault="00913834" w:rsidP="00407705">
            <w:pPr>
              <w:rPr>
                <w:rFonts w:asciiTheme="minorHAnsi" w:hAnsiTheme="minorHAnsi" w:cs="Arial"/>
                <w:color w:val="555555"/>
                <w:sz w:val="22"/>
                <w:szCs w:val="22"/>
              </w:rPr>
            </w:pPr>
            <w:r w:rsidRPr="00105FFC">
              <w:rPr>
                <w:rFonts w:asciiTheme="minorHAnsi" w:hAnsiTheme="minorHAnsi" w:cs="Arial"/>
                <w:color w:val="555555"/>
                <w:sz w:val="22"/>
                <w:szCs w:val="22"/>
              </w:rPr>
              <w:t>Unduplicated Total</w:t>
            </w:r>
            <w:r w:rsidR="00407705" w:rsidRPr="00105FFC">
              <w:rPr>
                <w:rFonts w:asciiTheme="minorHAnsi" w:hAnsiTheme="minorHAnsi" w:cs="Arial"/>
                <w:color w:val="555555"/>
                <w:sz w:val="22"/>
                <w:szCs w:val="22"/>
              </w:rPr>
              <w:t xml:space="preserve"> </w:t>
            </w:r>
          </w:p>
        </w:tc>
        <w:tc>
          <w:tcPr>
            <w:tcW w:w="1440" w:type="dxa"/>
            <w:noWrap/>
            <w:vAlign w:val="center"/>
            <w:hideMark/>
          </w:tcPr>
          <w:p w14:paraId="39D7BEB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2"/>
                <w:szCs w:val="22"/>
              </w:rPr>
            </w:pPr>
            <w:r w:rsidRPr="00105FFC">
              <w:rPr>
                <w:rFonts w:asciiTheme="minorHAnsi" w:hAnsiTheme="minorHAnsi" w:cs="Arial"/>
                <w:b/>
                <w:bCs/>
                <w:color w:val="555555"/>
                <w:sz w:val="22"/>
                <w:szCs w:val="22"/>
              </w:rPr>
              <w:t>5,784</w:t>
            </w:r>
          </w:p>
        </w:tc>
        <w:tc>
          <w:tcPr>
            <w:tcW w:w="1180" w:type="dxa"/>
            <w:noWrap/>
            <w:vAlign w:val="center"/>
            <w:hideMark/>
          </w:tcPr>
          <w:p w14:paraId="24BB679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2"/>
                <w:szCs w:val="22"/>
              </w:rPr>
            </w:pPr>
            <w:r w:rsidRPr="00105FFC">
              <w:rPr>
                <w:rFonts w:asciiTheme="minorHAnsi" w:hAnsiTheme="minorHAnsi" w:cs="Arial"/>
                <w:b/>
                <w:bCs/>
                <w:color w:val="555555"/>
                <w:sz w:val="22"/>
                <w:szCs w:val="22"/>
              </w:rPr>
              <w:t>8,561</w:t>
            </w:r>
          </w:p>
        </w:tc>
        <w:tc>
          <w:tcPr>
            <w:tcW w:w="1440" w:type="dxa"/>
            <w:noWrap/>
            <w:vAlign w:val="center"/>
            <w:hideMark/>
          </w:tcPr>
          <w:p w14:paraId="4480E24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2"/>
                <w:szCs w:val="22"/>
              </w:rPr>
            </w:pPr>
            <w:r w:rsidRPr="00105FFC">
              <w:rPr>
                <w:rFonts w:asciiTheme="minorHAnsi" w:hAnsiTheme="minorHAnsi" w:cs="Arial"/>
                <w:b/>
                <w:bCs/>
                <w:color w:val="555555"/>
                <w:sz w:val="22"/>
                <w:szCs w:val="22"/>
              </w:rPr>
              <w:t>5,676</w:t>
            </w:r>
          </w:p>
        </w:tc>
        <w:tc>
          <w:tcPr>
            <w:tcW w:w="1180" w:type="dxa"/>
            <w:noWrap/>
            <w:vAlign w:val="center"/>
            <w:hideMark/>
          </w:tcPr>
          <w:p w14:paraId="1F762F1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2"/>
                <w:szCs w:val="22"/>
              </w:rPr>
            </w:pPr>
            <w:r w:rsidRPr="00105FFC">
              <w:rPr>
                <w:rFonts w:asciiTheme="minorHAnsi" w:hAnsiTheme="minorHAnsi" w:cs="Arial"/>
                <w:b/>
                <w:bCs/>
                <w:color w:val="555555"/>
                <w:sz w:val="22"/>
                <w:szCs w:val="22"/>
              </w:rPr>
              <w:t>8,001</w:t>
            </w:r>
          </w:p>
        </w:tc>
      </w:tr>
    </w:tbl>
    <w:p w14:paraId="37DB2A1A" w14:textId="77777777" w:rsidR="00407705" w:rsidRPr="00105FFC" w:rsidRDefault="00407705" w:rsidP="00407705">
      <w:pPr>
        <w:spacing w:after="200"/>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hAnsiTheme="minorHAnsi"/>
        </w:rPr>
        <w:t xml:space="preserve"> </w:t>
      </w:r>
      <w:r w:rsidRPr="00105FFC">
        <w:rPr>
          <w:rFonts w:asciiTheme="minorHAnsi" w:eastAsiaTheme="minorHAnsi" w:hAnsiTheme="minorHAnsi" w:cs="Tahoma"/>
          <w:sz w:val="16"/>
          <w:szCs w:val="16"/>
        </w:rPr>
        <w:t>Prepared by DHCS’ Medi-Cal Dental Services Division using data from the MIS/DSS, the Medi-Cal Fiscal Intermediary’s 35c-file of paid claims records, and the PMF</w:t>
      </w:r>
    </w:p>
    <w:p w14:paraId="6DEAEB8D" w14:textId="77777777" w:rsidR="00407705" w:rsidRPr="00105FFC" w:rsidRDefault="00407705" w:rsidP="00407705">
      <w:pPr>
        <w:spacing w:after="200"/>
        <w:rPr>
          <w:rFonts w:asciiTheme="minorHAnsi" w:eastAsiaTheme="minorHAnsi" w:hAnsiTheme="minorHAnsi" w:cs="Tahoma"/>
          <w:b/>
          <w:sz w:val="16"/>
          <w:szCs w:val="16"/>
        </w:rPr>
      </w:pPr>
      <w:r w:rsidRPr="00105FFC">
        <w:rPr>
          <w:rFonts w:asciiTheme="minorHAnsi" w:eastAsiaTheme="minorHAnsi" w:hAnsiTheme="minorHAnsi" w:cs="Tahoma"/>
          <w:b/>
          <w:sz w:val="16"/>
          <w:szCs w:val="16"/>
        </w:rPr>
        <w:br w:type="page"/>
      </w:r>
    </w:p>
    <w:p w14:paraId="423CCB95" w14:textId="77777777" w:rsidR="00407705" w:rsidRPr="00105FFC" w:rsidRDefault="00407705" w:rsidP="00407705">
      <w:pPr>
        <w:spacing w:after="200"/>
        <w:rPr>
          <w:rFonts w:asciiTheme="minorHAnsi" w:eastAsiaTheme="minorHAnsi" w:hAnsiTheme="minorHAnsi" w:cs="Tahoma"/>
          <w:b/>
          <w:sz w:val="16"/>
          <w:szCs w:val="16"/>
        </w:rPr>
        <w:sectPr w:rsidR="00407705" w:rsidRPr="00105FFC" w:rsidSect="005246D7">
          <w:headerReference w:type="default" r:id="rId89"/>
          <w:footerReference w:type="default" r:id="rId90"/>
          <w:footnotePr>
            <w:numFmt w:val="lowerRoman"/>
          </w:footnotePr>
          <w:endnotePr>
            <w:numFmt w:val="decimal"/>
          </w:endnotePr>
          <w:pgSz w:w="12240" w:h="15840"/>
          <w:pgMar w:top="1440" w:right="1440" w:bottom="1440" w:left="1440" w:header="720" w:footer="720" w:gutter="0"/>
          <w:cols w:space="720"/>
          <w:titlePg/>
          <w:docGrid w:linePitch="360"/>
        </w:sectPr>
      </w:pPr>
    </w:p>
    <w:p w14:paraId="315AEBB2" w14:textId="77777777" w:rsidR="00407705" w:rsidRPr="00105FFC" w:rsidRDefault="00407705" w:rsidP="00407705">
      <w:pPr>
        <w:pStyle w:val="Heading3"/>
        <w:spacing w:before="0"/>
        <w:rPr>
          <w:rFonts w:eastAsiaTheme="minorHAnsi"/>
        </w:rPr>
      </w:pPr>
      <w:bookmarkStart w:id="527" w:name="_Toc458177969"/>
      <w:bookmarkStart w:id="528" w:name="_Toc459287788"/>
      <w:r w:rsidRPr="00105FFC">
        <w:rPr>
          <w:rFonts w:eastAsiaTheme="minorHAnsi"/>
        </w:rPr>
        <w:t>Beneficiary Participation and Utilization</w:t>
      </w:r>
      <w:bookmarkEnd w:id="527"/>
      <w:bookmarkEnd w:id="528"/>
    </w:p>
    <w:p w14:paraId="0810D9F8" w14:textId="77777777" w:rsidR="00407705" w:rsidRPr="00105FFC" w:rsidRDefault="00407705" w:rsidP="00407705">
      <w:pPr>
        <w:pStyle w:val="Caption"/>
        <w:spacing w:after="0" w:line="276" w:lineRule="auto"/>
        <w:rPr>
          <w:rFonts w:asciiTheme="minorHAnsi" w:hAnsiTheme="minorHAnsi"/>
          <w:color w:val="auto"/>
          <w:sz w:val="24"/>
          <w:szCs w:val="24"/>
        </w:rPr>
      </w:pPr>
    </w:p>
    <w:p w14:paraId="0986AB74" w14:textId="77777777" w:rsidR="00407705" w:rsidRPr="00105FFC" w:rsidRDefault="00407705" w:rsidP="00407705">
      <w:pPr>
        <w:rPr>
          <w:rFonts w:asciiTheme="minorHAnsi" w:hAnsiTheme="minorHAnsi"/>
        </w:rPr>
      </w:pPr>
      <w:r w:rsidRPr="00105FFC">
        <w:rPr>
          <w:rFonts w:asciiTheme="minorHAnsi" w:eastAsiaTheme="minorHAnsi" w:hAnsiTheme="minorHAnsi" w:cstheme="minorBidi"/>
        </w:rPr>
        <w:t>The Dental measure analyzes dental services utilization among beneficiaries ages 0-20 with at least 11 months of eligibility during the study period.</w:t>
      </w:r>
    </w:p>
    <w:p w14:paraId="0E6C4900" w14:textId="77777777" w:rsidR="00407705" w:rsidRPr="00105FFC" w:rsidRDefault="00407705" w:rsidP="00407705">
      <w:pPr>
        <w:rPr>
          <w:rFonts w:asciiTheme="minorHAnsi" w:hAnsiTheme="minorHAnsi"/>
        </w:rPr>
      </w:pPr>
    </w:p>
    <w:p w14:paraId="6B393FE4" w14:textId="77777777" w:rsidR="00407705" w:rsidRPr="00105FFC" w:rsidRDefault="00407705" w:rsidP="00407705">
      <w:pPr>
        <w:pStyle w:val="Caption"/>
        <w:spacing w:after="0"/>
        <w:rPr>
          <w:rFonts w:asciiTheme="minorHAnsi" w:eastAsiaTheme="minorHAnsi" w:hAnsiTheme="minorHAnsi" w:cstheme="minorBidi"/>
          <w:b w:val="0"/>
          <w:color w:val="auto"/>
          <w:sz w:val="20"/>
          <w:szCs w:val="20"/>
        </w:rPr>
      </w:pPr>
      <w:bookmarkStart w:id="529" w:name="_Toc458178113"/>
      <w:bookmarkStart w:id="530" w:name="_Toc458783152"/>
      <w:bookmarkStart w:id="531" w:name="_Toc459285198"/>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53</w:t>
      </w:r>
      <w:r w:rsidRPr="00105FFC">
        <w:rPr>
          <w:rFonts w:asciiTheme="minorHAnsi" w:hAnsiTheme="minorHAnsi"/>
          <w:color w:val="auto"/>
          <w:sz w:val="20"/>
          <w:szCs w:val="20"/>
        </w:rPr>
        <w:fldChar w:fldCharType="end"/>
      </w:r>
      <w:r w:rsidRPr="00105FFC">
        <w:rPr>
          <w:rFonts w:asciiTheme="minorHAnsi" w:eastAsiaTheme="minorHAnsi" w:hAnsiTheme="minorHAnsi" w:cstheme="minorBidi"/>
          <w:color w:val="auto"/>
          <w:sz w:val="20"/>
          <w:szCs w:val="20"/>
        </w:rPr>
        <w:t xml:space="preserve">: </w:t>
      </w:r>
      <w:r w:rsidRPr="00105FFC">
        <w:rPr>
          <w:rFonts w:asciiTheme="minorHAnsi" w:eastAsiaTheme="minorHAnsi" w:hAnsiTheme="minorHAnsi" w:cstheme="minorBidi"/>
          <w:b w:val="0"/>
          <w:color w:val="auto"/>
          <w:sz w:val="20"/>
          <w:szCs w:val="20"/>
        </w:rPr>
        <w:t>Proportion of FFS Medi-Cal Beneficiaries Ages 0-20 Who Received a Preventive Dental Service, Any Dental Service, or a Dental Visit at a Clinic in CY 2014, by Age Group and Geographic Region</w:t>
      </w:r>
      <w:bookmarkEnd w:id="529"/>
      <w:bookmarkEnd w:id="530"/>
      <w:bookmarkEnd w:id="531"/>
    </w:p>
    <w:tbl>
      <w:tblPr>
        <w:tblStyle w:val="GridTable6Colorful-Accent11"/>
        <w:tblW w:w="12954" w:type="dxa"/>
        <w:tblLayout w:type="fixed"/>
        <w:tblLook w:val="04A0" w:firstRow="1" w:lastRow="0" w:firstColumn="1" w:lastColumn="0" w:noHBand="0" w:noVBand="1"/>
      </w:tblPr>
      <w:tblGrid>
        <w:gridCol w:w="1345"/>
        <w:gridCol w:w="1260"/>
        <w:gridCol w:w="1864"/>
        <w:gridCol w:w="1440"/>
        <w:gridCol w:w="1436"/>
        <w:gridCol w:w="1390"/>
        <w:gridCol w:w="1387"/>
        <w:gridCol w:w="1418"/>
        <w:gridCol w:w="1414"/>
      </w:tblGrid>
      <w:tr w:rsidR="00407705" w:rsidRPr="00105FFC" w14:paraId="275F946F" w14:textId="77777777" w:rsidTr="00407705">
        <w:trPr>
          <w:cnfStyle w:val="100000000000" w:firstRow="1" w:lastRow="0" w:firstColumn="0" w:lastColumn="0" w:oddVBand="0" w:evenVBand="0" w:oddHBand="0" w:evenHBand="0" w:firstRowFirstColumn="0" w:firstRowLastColumn="0" w:lastRowFirstColumn="0" w:lastRowLastColumn="0"/>
          <w:cantSplit/>
          <w:trHeight w:val="1155"/>
          <w:tblHeader/>
        </w:trPr>
        <w:tc>
          <w:tcPr>
            <w:cnfStyle w:val="001000000000" w:firstRow="0" w:lastRow="0" w:firstColumn="1" w:lastColumn="0" w:oddVBand="0" w:evenVBand="0" w:oddHBand="0" w:evenHBand="0" w:firstRowFirstColumn="0" w:firstRowLastColumn="0" w:lastRowFirstColumn="0" w:lastRowLastColumn="0"/>
            <w:tcW w:w="1345" w:type="dxa"/>
            <w:vAlign w:val="center"/>
            <w:hideMark/>
          </w:tcPr>
          <w:p w14:paraId="0E550531" w14:textId="77777777" w:rsidR="00407705" w:rsidRPr="00105FFC" w:rsidRDefault="00407705" w:rsidP="00407705">
            <w:pPr>
              <w:jc w:val="center"/>
              <w:rPr>
                <w:rFonts w:asciiTheme="minorHAnsi" w:hAnsiTheme="minorHAnsi" w:cs="Arial"/>
                <w:color w:val="555555"/>
                <w:sz w:val="20"/>
                <w:szCs w:val="20"/>
              </w:rPr>
            </w:pPr>
            <w:r w:rsidRPr="00105FFC">
              <w:rPr>
                <w:rFonts w:asciiTheme="minorHAnsi" w:hAnsiTheme="minorHAnsi" w:cs="Arial"/>
                <w:color w:val="555555"/>
                <w:sz w:val="20"/>
                <w:szCs w:val="20"/>
              </w:rPr>
              <w:t>Geographic Region</w:t>
            </w:r>
          </w:p>
        </w:tc>
        <w:tc>
          <w:tcPr>
            <w:tcW w:w="1260" w:type="dxa"/>
            <w:vAlign w:val="center"/>
            <w:hideMark/>
          </w:tcPr>
          <w:p w14:paraId="6EB4E9E9" w14:textId="77777777" w:rsidR="00407705" w:rsidRPr="00105FFC" w:rsidRDefault="00407705" w:rsidP="00407705">
            <w:pP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Age Group</w:t>
            </w:r>
          </w:p>
        </w:tc>
        <w:tc>
          <w:tcPr>
            <w:tcW w:w="1864" w:type="dxa"/>
            <w:vAlign w:val="center"/>
            <w:hideMark/>
          </w:tcPr>
          <w:p w14:paraId="2D7E89EE"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Total Beneficiaries with at least 11 of 12 months eligibility with no more than a one month gap</w:t>
            </w:r>
          </w:p>
        </w:tc>
        <w:tc>
          <w:tcPr>
            <w:tcW w:w="1440" w:type="dxa"/>
            <w:vAlign w:val="center"/>
            <w:hideMark/>
          </w:tcPr>
          <w:p w14:paraId="6A7E33B8"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Total Beneficiaries with a Preventive Dental Service</w:t>
            </w:r>
          </w:p>
        </w:tc>
        <w:tc>
          <w:tcPr>
            <w:tcW w:w="1436" w:type="dxa"/>
            <w:vAlign w:val="center"/>
            <w:hideMark/>
          </w:tcPr>
          <w:p w14:paraId="069305E5"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 of Beneficiaries with a Preventive Dental Service</w:t>
            </w:r>
          </w:p>
        </w:tc>
        <w:tc>
          <w:tcPr>
            <w:tcW w:w="1390" w:type="dxa"/>
            <w:vAlign w:val="center"/>
            <w:hideMark/>
          </w:tcPr>
          <w:p w14:paraId="5155D2D2"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Total Beneficiaries with Any Dental Service</w:t>
            </w:r>
          </w:p>
        </w:tc>
        <w:tc>
          <w:tcPr>
            <w:tcW w:w="1387" w:type="dxa"/>
            <w:vAlign w:val="center"/>
            <w:hideMark/>
          </w:tcPr>
          <w:p w14:paraId="648597B5"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 of Beneficiaries with Any Dental Service</w:t>
            </w:r>
          </w:p>
        </w:tc>
        <w:tc>
          <w:tcPr>
            <w:tcW w:w="1418" w:type="dxa"/>
            <w:vAlign w:val="center"/>
            <w:hideMark/>
          </w:tcPr>
          <w:p w14:paraId="7419D74A"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Total Beneficiaries with a Dental Visit at a Clinic</w:t>
            </w:r>
          </w:p>
        </w:tc>
        <w:tc>
          <w:tcPr>
            <w:tcW w:w="1414" w:type="dxa"/>
            <w:vAlign w:val="center"/>
            <w:hideMark/>
          </w:tcPr>
          <w:p w14:paraId="1E65183D"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 of Beneficiaries with a Dental Visit at a Clinic</w:t>
            </w:r>
          </w:p>
        </w:tc>
      </w:tr>
      <w:tr w:rsidR="00407705" w:rsidRPr="00105FFC" w14:paraId="3C99B0C1"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18CE299D"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Alameda</w:t>
            </w:r>
          </w:p>
        </w:tc>
        <w:tc>
          <w:tcPr>
            <w:tcW w:w="1260" w:type="dxa"/>
            <w:noWrap/>
            <w:vAlign w:val="center"/>
            <w:hideMark/>
          </w:tcPr>
          <w:p w14:paraId="381F23DC"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1DAF6EC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22,113</w:t>
            </w:r>
          </w:p>
        </w:tc>
        <w:tc>
          <w:tcPr>
            <w:tcW w:w="1440" w:type="dxa"/>
            <w:noWrap/>
            <w:vAlign w:val="center"/>
            <w:hideMark/>
          </w:tcPr>
          <w:p w14:paraId="6E38FF6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2,827</w:t>
            </w:r>
          </w:p>
        </w:tc>
        <w:tc>
          <w:tcPr>
            <w:tcW w:w="1436" w:type="dxa"/>
            <w:noWrap/>
            <w:vAlign w:val="center"/>
            <w:hideMark/>
          </w:tcPr>
          <w:p w14:paraId="1BAA5CE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12.8%</w:t>
            </w:r>
          </w:p>
        </w:tc>
        <w:tc>
          <w:tcPr>
            <w:tcW w:w="1390" w:type="dxa"/>
            <w:noWrap/>
            <w:vAlign w:val="center"/>
            <w:hideMark/>
          </w:tcPr>
          <w:p w14:paraId="71BB893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3,747</w:t>
            </w:r>
          </w:p>
        </w:tc>
        <w:tc>
          <w:tcPr>
            <w:tcW w:w="1387" w:type="dxa"/>
            <w:noWrap/>
            <w:vAlign w:val="center"/>
            <w:hideMark/>
          </w:tcPr>
          <w:p w14:paraId="428B3D9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16.9%</w:t>
            </w:r>
          </w:p>
        </w:tc>
        <w:tc>
          <w:tcPr>
            <w:tcW w:w="1418" w:type="dxa"/>
            <w:noWrap/>
            <w:vAlign w:val="center"/>
            <w:hideMark/>
          </w:tcPr>
          <w:p w14:paraId="72C6E8E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4,185</w:t>
            </w:r>
          </w:p>
        </w:tc>
        <w:tc>
          <w:tcPr>
            <w:tcW w:w="1414" w:type="dxa"/>
            <w:noWrap/>
            <w:vAlign w:val="center"/>
            <w:hideMark/>
          </w:tcPr>
          <w:p w14:paraId="53E2BDD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18.9%</w:t>
            </w:r>
          </w:p>
        </w:tc>
      </w:tr>
      <w:tr w:rsidR="00407705" w:rsidRPr="00105FFC" w14:paraId="203DE98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F1EB92C"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8B2BDC1" w14:textId="77777777" w:rsidR="00407705" w:rsidRPr="00105FFC" w:rsidRDefault="00407705" w:rsidP="0040770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4C2656D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14,607</w:t>
            </w:r>
          </w:p>
        </w:tc>
        <w:tc>
          <w:tcPr>
            <w:tcW w:w="1440" w:type="dxa"/>
            <w:noWrap/>
            <w:vAlign w:val="center"/>
            <w:hideMark/>
          </w:tcPr>
          <w:p w14:paraId="75DDC1F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5,085</w:t>
            </w:r>
          </w:p>
        </w:tc>
        <w:tc>
          <w:tcPr>
            <w:tcW w:w="1436" w:type="dxa"/>
            <w:noWrap/>
            <w:vAlign w:val="center"/>
            <w:hideMark/>
          </w:tcPr>
          <w:p w14:paraId="57669DA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34.8%</w:t>
            </w:r>
          </w:p>
        </w:tc>
        <w:tc>
          <w:tcPr>
            <w:tcW w:w="1390" w:type="dxa"/>
            <w:noWrap/>
            <w:vAlign w:val="center"/>
            <w:hideMark/>
          </w:tcPr>
          <w:p w14:paraId="16BB252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5,565</w:t>
            </w:r>
          </w:p>
        </w:tc>
        <w:tc>
          <w:tcPr>
            <w:tcW w:w="1387" w:type="dxa"/>
            <w:noWrap/>
            <w:vAlign w:val="center"/>
            <w:hideMark/>
          </w:tcPr>
          <w:p w14:paraId="248D0AF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38.1%</w:t>
            </w:r>
          </w:p>
        </w:tc>
        <w:tc>
          <w:tcPr>
            <w:tcW w:w="1418" w:type="dxa"/>
            <w:noWrap/>
            <w:vAlign w:val="center"/>
            <w:hideMark/>
          </w:tcPr>
          <w:p w14:paraId="51EA1EE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3,505</w:t>
            </w:r>
          </w:p>
        </w:tc>
        <w:tc>
          <w:tcPr>
            <w:tcW w:w="1414" w:type="dxa"/>
            <w:noWrap/>
            <w:vAlign w:val="center"/>
            <w:hideMark/>
          </w:tcPr>
          <w:p w14:paraId="1DB0BC8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24.0%</w:t>
            </w:r>
          </w:p>
        </w:tc>
      </w:tr>
      <w:tr w:rsidR="00407705" w:rsidRPr="00105FFC" w14:paraId="54B32827"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235A3E3"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EDCF0E3"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5D1221D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22,589</w:t>
            </w:r>
          </w:p>
        </w:tc>
        <w:tc>
          <w:tcPr>
            <w:tcW w:w="1440" w:type="dxa"/>
            <w:noWrap/>
            <w:vAlign w:val="center"/>
            <w:hideMark/>
          </w:tcPr>
          <w:p w14:paraId="1BA9ED4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9,071</w:t>
            </w:r>
          </w:p>
        </w:tc>
        <w:tc>
          <w:tcPr>
            <w:tcW w:w="1436" w:type="dxa"/>
            <w:noWrap/>
            <w:vAlign w:val="center"/>
            <w:hideMark/>
          </w:tcPr>
          <w:p w14:paraId="60FFCBE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40.2%</w:t>
            </w:r>
          </w:p>
        </w:tc>
        <w:tc>
          <w:tcPr>
            <w:tcW w:w="1390" w:type="dxa"/>
            <w:noWrap/>
            <w:vAlign w:val="center"/>
            <w:hideMark/>
          </w:tcPr>
          <w:p w14:paraId="503D347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9,528</w:t>
            </w:r>
          </w:p>
        </w:tc>
        <w:tc>
          <w:tcPr>
            <w:tcW w:w="1387" w:type="dxa"/>
            <w:noWrap/>
            <w:vAlign w:val="center"/>
            <w:hideMark/>
          </w:tcPr>
          <w:p w14:paraId="57131FE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42.2%</w:t>
            </w:r>
          </w:p>
        </w:tc>
        <w:tc>
          <w:tcPr>
            <w:tcW w:w="1418" w:type="dxa"/>
            <w:noWrap/>
            <w:vAlign w:val="center"/>
            <w:hideMark/>
          </w:tcPr>
          <w:p w14:paraId="13BCF81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4,695</w:t>
            </w:r>
          </w:p>
        </w:tc>
        <w:tc>
          <w:tcPr>
            <w:tcW w:w="1414" w:type="dxa"/>
            <w:noWrap/>
            <w:vAlign w:val="center"/>
            <w:hideMark/>
          </w:tcPr>
          <w:p w14:paraId="5385F27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20.8%</w:t>
            </w:r>
          </w:p>
        </w:tc>
      </w:tr>
      <w:tr w:rsidR="00407705" w:rsidRPr="00105FFC" w14:paraId="28238ED0"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8183C1A"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4C6ACC7" w14:textId="77777777" w:rsidR="00407705" w:rsidRPr="00105FFC" w:rsidRDefault="00407705" w:rsidP="0040770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64DF27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20,119</w:t>
            </w:r>
          </w:p>
        </w:tc>
        <w:tc>
          <w:tcPr>
            <w:tcW w:w="1440" w:type="dxa"/>
            <w:noWrap/>
            <w:vAlign w:val="center"/>
            <w:hideMark/>
          </w:tcPr>
          <w:p w14:paraId="5FFC730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7,859</w:t>
            </w:r>
          </w:p>
        </w:tc>
        <w:tc>
          <w:tcPr>
            <w:tcW w:w="1436" w:type="dxa"/>
            <w:noWrap/>
            <w:vAlign w:val="center"/>
            <w:hideMark/>
          </w:tcPr>
          <w:p w14:paraId="72D6DA7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39.1%</w:t>
            </w:r>
          </w:p>
        </w:tc>
        <w:tc>
          <w:tcPr>
            <w:tcW w:w="1390" w:type="dxa"/>
            <w:noWrap/>
            <w:vAlign w:val="center"/>
            <w:hideMark/>
          </w:tcPr>
          <w:p w14:paraId="378712A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8,229</w:t>
            </w:r>
          </w:p>
        </w:tc>
        <w:tc>
          <w:tcPr>
            <w:tcW w:w="1387" w:type="dxa"/>
            <w:noWrap/>
            <w:vAlign w:val="center"/>
            <w:hideMark/>
          </w:tcPr>
          <w:p w14:paraId="53E3058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40.9%</w:t>
            </w:r>
          </w:p>
        </w:tc>
        <w:tc>
          <w:tcPr>
            <w:tcW w:w="1418" w:type="dxa"/>
            <w:noWrap/>
            <w:vAlign w:val="center"/>
            <w:hideMark/>
          </w:tcPr>
          <w:p w14:paraId="4756FD3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3,543</w:t>
            </w:r>
          </w:p>
        </w:tc>
        <w:tc>
          <w:tcPr>
            <w:tcW w:w="1414" w:type="dxa"/>
            <w:noWrap/>
            <w:vAlign w:val="center"/>
            <w:hideMark/>
          </w:tcPr>
          <w:p w14:paraId="6F3D925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17.6%</w:t>
            </w:r>
          </w:p>
        </w:tc>
      </w:tr>
      <w:tr w:rsidR="00407705" w:rsidRPr="00105FFC" w14:paraId="280AA58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72A836C"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500B97A"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77D83EE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18,457</w:t>
            </w:r>
          </w:p>
        </w:tc>
        <w:tc>
          <w:tcPr>
            <w:tcW w:w="1440" w:type="dxa"/>
            <w:noWrap/>
            <w:vAlign w:val="center"/>
            <w:hideMark/>
          </w:tcPr>
          <w:p w14:paraId="3DF13B7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6,589</w:t>
            </w:r>
          </w:p>
        </w:tc>
        <w:tc>
          <w:tcPr>
            <w:tcW w:w="1436" w:type="dxa"/>
            <w:noWrap/>
            <w:vAlign w:val="center"/>
            <w:hideMark/>
          </w:tcPr>
          <w:p w14:paraId="6A833CA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35.7%</w:t>
            </w:r>
          </w:p>
        </w:tc>
        <w:tc>
          <w:tcPr>
            <w:tcW w:w="1390" w:type="dxa"/>
            <w:noWrap/>
            <w:vAlign w:val="center"/>
            <w:hideMark/>
          </w:tcPr>
          <w:p w14:paraId="47BA357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6,997</w:t>
            </w:r>
          </w:p>
        </w:tc>
        <w:tc>
          <w:tcPr>
            <w:tcW w:w="1387" w:type="dxa"/>
            <w:noWrap/>
            <w:vAlign w:val="center"/>
            <w:hideMark/>
          </w:tcPr>
          <w:p w14:paraId="4DA1366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37.9%</w:t>
            </w:r>
          </w:p>
        </w:tc>
        <w:tc>
          <w:tcPr>
            <w:tcW w:w="1418" w:type="dxa"/>
            <w:noWrap/>
            <w:vAlign w:val="center"/>
            <w:hideMark/>
          </w:tcPr>
          <w:p w14:paraId="3CB0B4A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2,728</w:t>
            </w:r>
          </w:p>
        </w:tc>
        <w:tc>
          <w:tcPr>
            <w:tcW w:w="1414" w:type="dxa"/>
            <w:noWrap/>
            <w:vAlign w:val="center"/>
            <w:hideMark/>
          </w:tcPr>
          <w:p w14:paraId="621057F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14.8%</w:t>
            </w:r>
          </w:p>
        </w:tc>
      </w:tr>
      <w:tr w:rsidR="00407705" w:rsidRPr="00105FFC" w14:paraId="27EA2FD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B7BD706"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8F4CB83" w14:textId="77777777" w:rsidR="00407705" w:rsidRPr="00105FFC" w:rsidRDefault="00407705" w:rsidP="0040770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02301B4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22,446</w:t>
            </w:r>
          </w:p>
        </w:tc>
        <w:tc>
          <w:tcPr>
            <w:tcW w:w="1440" w:type="dxa"/>
            <w:noWrap/>
            <w:vAlign w:val="center"/>
            <w:hideMark/>
          </w:tcPr>
          <w:p w14:paraId="0A92957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7,023</w:t>
            </w:r>
          </w:p>
        </w:tc>
        <w:tc>
          <w:tcPr>
            <w:tcW w:w="1436" w:type="dxa"/>
            <w:noWrap/>
            <w:vAlign w:val="center"/>
            <w:hideMark/>
          </w:tcPr>
          <w:p w14:paraId="347B90B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31.3%</w:t>
            </w:r>
          </w:p>
        </w:tc>
        <w:tc>
          <w:tcPr>
            <w:tcW w:w="1390" w:type="dxa"/>
            <w:noWrap/>
            <w:vAlign w:val="center"/>
            <w:hideMark/>
          </w:tcPr>
          <w:p w14:paraId="036C126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7,787</w:t>
            </w:r>
          </w:p>
        </w:tc>
        <w:tc>
          <w:tcPr>
            <w:tcW w:w="1387" w:type="dxa"/>
            <w:noWrap/>
            <w:vAlign w:val="center"/>
            <w:hideMark/>
          </w:tcPr>
          <w:p w14:paraId="640A675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34.7%</w:t>
            </w:r>
          </w:p>
        </w:tc>
        <w:tc>
          <w:tcPr>
            <w:tcW w:w="1418" w:type="dxa"/>
            <w:noWrap/>
            <w:vAlign w:val="center"/>
            <w:hideMark/>
          </w:tcPr>
          <w:p w14:paraId="7E2AA6F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2,163</w:t>
            </w:r>
          </w:p>
        </w:tc>
        <w:tc>
          <w:tcPr>
            <w:tcW w:w="1414" w:type="dxa"/>
            <w:noWrap/>
            <w:vAlign w:val="center"/>
            <w:hideMark/>
          </w:tcPr>
          <w:p w14:paraId="45534E2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9.6%</w:t>
            </w:r>
          </w:p>
        </w:tc>
      </w:tr>
      <w:tr w:rsidR="00407705" w:rsidRPr="00105FFC" w14:paraId="7FC0F7C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E3B4198"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2505E47"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003D9F8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7,775</w:t>
            </w:r>
          </w:p>
        </w:tc>
        <w:tc>
          <w:tcPr>
            <w:tcW w:w="1440" w:type="dxa"/>
            <w:noWrap/>
            <w:vAlign w:val="center"/>
            <w:hideMark/>
          </w:tcPr>
          <w:p w14:paraId="571D36A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1,708</w:t>
            </w:r>
          </w:p>
        </w:tc>
        <w:tc>
          <w:tcPr>
            <w:tcW w:w="1436" w:type="dxa"/>
            <w:noWrap/>
            <w:vAlign w:val="center"/>
            <w:hideMark/>
          </w:tcPr>
          <w:p w14:paraId="16C5E11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22.0%</w:t>
            </w:r>
          </w:p>
        </w:tc>
        <w:tc>
          <w:tcPr>
            <w:tcW w:w="1390" w:type="dxa"/>
            <w:noWrap/>
            <w:vAlign w:val="center"/>
            <w:hideMark/>
          </w:tcPr>
          <w:p w14:paraId="4058D10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1,977</w:t>
            </w:r>
          </w:p>
        </w:tc>
        <w:tc>
          <w:tcPr>
            <w:tcW w:w="1387" w:type="dxa"/>
            <w:noWrap/>
            <w:vAlign w:val="center"/>
            <w:hideMark/>
          </w:tcPr>
          <w:p w14:paraId="2A56B5D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25.4%</w:t>
            </w:r>
          </w:p>
        </w:tc>
        <w:tc>
          <w:tcPr>
            <w:tcW w:w="1418" w:type="dxa"/>
            <w:noWrap/>
            <w:vAlign w:val="center"/>
            <w:hideMark/>
          </w:tcPr>
          <w:p w14:paraId="5B8A752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385</w:t>
            </w:r>
          </w:p>
        </w:tc>
        <w:tc>
          <w:tcPr>
            <w:tcW w:w="1414" w:type="dxa"/>
            <w:noWrap/>
            <w:vAlign w:val="center"/>
            <w:hideMark/>
          </w:tcPr>
          <w:p w14:paraId="69BC818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w:t>
            </w:r>
          </w:p>
        </w:tc>
      </w:tr>
      <w:tr w:rsidR="00407705" w:rsidRPr="00105FFC" w14:paraId="64727807"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28EE2C77"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42C9A49" w14:textId="77777777" w:rsidR="00407705" w:rsidRPr="00105FFC" w:rsidRDefault="00407705" w:rsidP="00407705">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4E27C02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128,106</w:t>
            </w:r>
          </w:p>
        </w:tc>
        <w:tc>
          <w:tcPr>
            <w:tcW w:w="1440" w:type="dxa"/>
            <w:noWrap/>
            <w:vAlign w:val="center"/>
            <w:hideMark/>
          </w:tcPr>
          <w:p w14:paraId="6604807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40,162</w:t>
            </w:r>
          </w:p>
        </w:tc>
        <w:tc>
          <w:tcPr>
            <w:tcW w:w="1436" w:type="dxa"/>
            <w:noWrap/>
            <w:vAlign w:val="center"/>
            <w:hideMark/>
          </w:tcPr>
          <w:p w14:paraId="55C275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31.4%</w:t>
            </w:r>
          </w:p>
        </w:tc>
        <w:tc>
          <w:tcPr>
            <w:tcW w:w="1390" w:type="dxa"/>
            <w:noWrap/>
            <w:vAlign w:val="center"/>
            <w:hideMark/>
          </w:tcPr>
          <w:p w14:paraId="2023C3B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43,830</w:t>
            </w:r>
          </w:p>
        </w:tc>
        <w:tc>
          <w:tcPr>
            <w:tcW w:w="1387" w:type="dxa"/>
            <w:noWrap/>
            <w:vAlign w:val="center"/>
            <w:hideMark/>
          </w:tcPr>
          <w:p w14:paraId="171901A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34.2%</w:t>
            </w:r>
          </w:p>
        </w:tc>
        <w:tc>
          <w:tcPr>
            <w:tcW w:w="1418" w:type="dxa"/>
            <w:noWrap/>
            <w:vAlign w:val="center"/>
            <w:hideMark/>
          </w:tcPr>
          <w:p w14:paraId="35603A6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21,204</w:t>
            </w:r>
          </w:p>
        </w:tc>
        <w:tc>
          <w:tcPr>
            <w:tcW w:w="1414" w:type="dxa"/>
            <w:noWrap/>
            <w:vAlign w:val="center"/>
            <w:hideMark/>
          </w:tcPr>
          <w:p w14:paraId="47AD751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16.6%</w:t>
            </w:r>
          </w:p>
        </w:tc>
      </w:tr>
      <w:tr w:rsidR="00407705" w:rsidRPr="00105FFC" w14:paraId="4A17A07F"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1673A1FA"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Central Coast</w:t>
            </w:r>
          </w:p>
        </w:tc>
        <w:tc>
          <w:tcPr>
            <w:tcW w:w="1260" w:type="dxa"/>
            <w:noWrap/>
            <w:vAlign w:val="center"/>
            <w:hideMark/>
          </w:tcPr>
          <w:p w14:paraId="6D19A9D7"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0C959BE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19,353</w:t>
            </w:r>
          </w:p>
        </w:tc>
        <w:tc>
          <w:tcPr>
            <w:tcW w:w="1440" w:type="dxa"/>
            <w:noWrap/>
            <w:vAlign w:val="center"/>
            <w:hideMark/>
          </w:tcPr>
          <w:p w14:paraId="628A13D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6,103</w:t>
            </w:r>
          </w:p>
        </w:tc>
        <w:tc>
          <w:tcPr>
            <w:tcW w:w="1436" w:type="dxa"/>
            <w:noWrap/>
            <w:vAlign w:val="center"/>
            <w:hideMark/>
          </w:tcPr>
          <w:p w14:paraId="662786F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31.5%</w:t>
            </w:r>
          </w:p>
        </w:tc>
        <w:tc>
          <w:tcPr>
            <w:tcW w:w="1390" w:type="dxa"/>
            <w:noWrap/>
            <w:vAlign w:val="center"/>
            <w:hideMark/>
          </w:tcPr>
          <w:p w14:paraId="1572124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6,574</w:t>
            </w:r>
          </w:p>
        </w:tc>
        <w:tc>
          <w:tcPr>
            <w:tcW w:w="1387" w:type="dxa"/>
            <w:noWrap/>
            <w:vAlign w:val="center"/>
            <w:hideMark/>
          </w:tcPr>
          <w:p w14:paraId="5434892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34.0%</w:t>
            </w:r>
          </w:p>
        </w:tc>
        <w:tc>
          <w:tcPr>
            <w:tcW w:w="1418" w:type="dxa"/>
            <w:noWrap/>
            <w:vAlign w:val="center"/>
            <w:hideMark/>
          </w:tcPr>
          <w:p w14:paraId="7E7FA3E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2,610</w:t>
            </w:r>
          </w:p>
        </w:tc>
        <w:tc>
          <w:tcPr>
            <w:tcW w:w="1414" w:type="dxa"/>
            <w:noWrap/>
            <w:vAlign w:val="center"/>
            <w:hideMark/>
          </w:tcPr>
          <w:p w14:paraId="01C0520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13.5%</w:t>
            </w:r>
          </w:p>
        </w:tc>
      </w:tr>
      <w:tr w:rsidR="00407705" w:rsidRPr="00105FFC" w14:paraId="45D987AA"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7750CB2"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074CA01" w14:textId="77777777" w:rsidR="00407705" w:rsidRPr="00105FFC" w:rsidRDefault="00407705" w:rsidP="0040770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0B764AD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12,047</w:t>
            </w:r>
          </w:p>
        </w:tc>
        <w:tc>
          <w:tcPr>
            <w:tcW w:w="1440" w:type="dxa"/>
            <w:noWrap/>
            <w:vAlign w:val="center"/>
            <w:hideMark/>
          </w:tcPr>
          <w:p w14:paraId="54215EE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6,759</w:t>
            </w:r>
          </w:p>
        </w:tc>
        <w:tc>
          <w:tcPr>
            <w:tcW w:w="1436" w:type="dxa"/>
            <w:noWrap/>
            <w:vAlign w:val="center"/>
            <w:hideMark/>
          </w:tcPr>
          <w:p w14:paraId="1F42FDD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56.1%</w:t>
            </w:r>
          </w:p>
        </w:tc>
        <w:tc>
          <w:tcPr>
            <w:tcW w:w="1390" w:type="dxa"/>
            <w:noWrap/>
            <w:vAlign w:val="center"/>
            <w:hideMark/>
          </w:tcPr>
          <w:p w14:paraId="6810075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7,150</w:t>
            </w:r>
          </w:p>
        </w:tc>
        <w:tc>
          <w:tcPr>
            <w:tcW w:w="1387" w:type="dxa"/>
            <w:noWrap/>
            <w:vAlign w:val="center"/>
            <w:hideMark/>
          </w:tcPr>
          <w:p w14:paraId="49F6EC0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59.4%</w:t>
            </w:r>
          </w:p>
        </w:tc>
        <w:tc>
          <w:tcPr>
            <w:tcW w:w="1418" w:type="dxa"/>
            <w:noWrap/>
            <w:vAlign w:val="center"/>
            <w:hideMark/>
          </w:tcPr>
          <w:p w14:paraId="20C9845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2,023</w:t>
            </w:r>
          </w:p>
        </w:tc>
        <w:tc>
          <w:tcPr>
            <w:tcW w:w="1414" w:type="dxa"/>
            <w:noWrap/>
            <w:vAlign w:val="center"/>
            <w:hideMark/>
          </w:tcPr>
          <w:p w14:paraId="6DE6AF2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16.8%</w:t>
            </w:r>
          </w:p>
        </w:tc>
      </w:tr>
      <w:tr w:rsidR="00407705" w:rsidRPr="00105FFC" w14:paraId="25FEE824"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5365634"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095F3BD"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23B4744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18,875</w:t>
            </w:r>
          </w:p>
        </w:tc>
        <w:tc>
          <w:tcPr>
            <w:tcW w:w="1440" w:type="dxa"/>
            <w:noWrap/>
            <w:vAlign w:val="center"/>
            <w:hideMark/>
          </w:tcPr>
          <w:p w14:paraId="5CDC85E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10,822</w:t>
            </w:r>
          </w:p>
        </w:tc>
        <w:tc>
          <w:tcPr>
            <w:tcW w:w="1436" w:type="dxa"/>
            <w:noWrap/>
            <w:vAlign w:val="center"/>
            <w:hideMark/>
          </w:tcPr>
          <w:p w14:paraId="1308DF4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57.3%</w:t>
            </w:r>
          </w:p>
        </w:tc>
        <w:tc>
          <w:tcPr>
            <w:tcW w:w="1390" w:type="dxa"/>
            <w:noWrap/>
            <w:vAlign w:val="center"/>
            <w:hideMark/>
          </w:tcPr>
          <w:p w14:paraId="566A9F2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11,154</w:t>
            </w:r>
          </w:p>
        </w:tc>
        <w:tc>
          <w:tcPr>
            <w:tcW w:w="1387" w:type="dxa"/>
            <w:noWrap/>
            <w:vAlign w:val="center"/>
            <w:hideMark/>
          </w:tcPr>
          <w:p w14:paraId="536783E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59.1%</w:t>
            </w:r>
          </w:p>
        </w:tc>
        <w:tc>
          <w:tcPr>
            <w:tcW w:w="1418" w:type="dxa"/>
            <w:noWrap/>
            <w:vAlign w:val="center"/>
            <w:hideMark/>
          </w:tcPr>
          <w:p w14:paraId="453B7F9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3,004</w:t>
            </w:r>
          </w:p>
        </w:tc>
        <w:tc>
          <w:tcPr>
            <w:tcW w:w="1414" w:type="dxa"/>
            <w:noWrap/>
            <w:vAlign w:val="center"/>
            <w:hideMark/>
          </w:tcPr>
          <w:p w14:paraId="1699D14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15.9%</w:t>
            </w:r>
          </w:p>
        </w:tc>
      </w:tr>
      <w:tr w:rsidR="00407705" w:rsidRPr="00105FFC" w14:paraId="0C5C2A93"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F1C61E7"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EE4B6EE" w14:textId="77777777" w:rsidR="00407705" w:rsidRPr="00105FFC" w:rsidRDefault="00407705" w:rsidP="0040770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674AA46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15,963</w:t>
            </w:r>
          </w:p>
        </w:tc>
        <w:tc>
          <w:tcPr>
            <w:tcW w:w="1440" w:type="dxa"/>
            <w:noWrap/>
            <w:vAlign w:val="center"/>
            <w:hideMark/>
          </w:tcPr>
          <w:p w14:paraId="3591B20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8,657</w:t>
            </w:r>
          </w:p>
        </w:tc>
        <w:tc>
          <w:tcPr>
            <w:tcW w:w="1436" w:type="dxa"/>
            <w:noWrap/>
            <w:vAlign w:val="center"/>
            <w:hideMark/>
          </w:tcPr>
          <w:p w14:paraId="3167694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54.2%</w:t>
            </w:r>
          </w:p>
        </w:tc>
        <w:tc>
          <w:tcPr>
            <w:tcW w:w="1390" w:type="dxa"/>
            <w:noWrap/>
            <w:vAlign w:val="center"/>
            <w:hideMark/>
          </w:tcPr>
          <w:p w14:paraId="673E54C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8,973</w:t>
            </w:r>
          </w:p>
        </w:tc>
        <w:tc>
          <w:tcPr>
            <w:tcW w:w="1387" w:type="dxa"/>
            <w:noWrap/>
            <w:vAlign w:val="center"/>
            <w:hideMark/>
          </w:tcPr>
          <w:p w14:paraId="5D4758E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56.2%</w:t>
            </w:r>
          </w:p>
        </w:tc>
        <w:tc>
          <w:tcPr>
            <w:tcW w:w="1418" w:type="dxa"/>
            <w:noWrap/>
            <w:vAlign w:val="center"/>
            <w:hideMark/>
          </w:tcPr>
          <w:p w14:paraId="152A13A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2,309</w:t>
            </w:r>
          </w:p>
        </w:tc>
        <w:tc>
          <w:tcPr>
            <w:tcW w:w="1414" w:type="dxa"/>
            <w:noWrap/>
            <w:vAlign w:val="center"/>
            <w:hideMark/>
          </w:tcPr>
          <w:p w14:paraId="0A41761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14.5%</w:t>
            </w:r>
          </w:p>
        </w:tc>
      </w:tr>
      <w:tr w:rsidR="00407705" w:rsidRPr="00105FFC" w14:paraId="5D5C7786"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6D9F130"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206A996"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44A4AF9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13,279</w:t>
            </w:r>
          </w:p>
        </w:tc>
        <w:tc>
          <w:tcPr>
            <w:tcW w:w="1440" w:type="dxa"/>
            <w:noWrap/>
            <w:vAlign w:val="center"/>
            <w:hideMark/>
          </w:tcPr>
          <w:p w14:paraId="7CF1145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6,658</w:t>
            </w:r>
          </w:p>
        </w:tc>
        <w:tc>
          <w:tcPr>
            <w:tcW w:w="1436" w:type="dxa"/>
            <w:noWrap/>
            <w:vAlign w:val="center"/>
            <w:hideMark/>
          </w:tcPr>
          <w:p w14:paraId="47A70BD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50.1%</w:t>
            </w:r>
          </w:p>
        </w:tc>
        <w:tc>
          <w:tcPr>
            <w:tcW w:w="1390" w:type="dxa"/>
            <w:noWrap/>
            <w:vAlign w:val="center"/>
            <w:hideMark/>
          </w:tcPr>
          <w:p w14:paraId="6E7D87F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6,980</w:t>
            </w:r>
          </w:p>
        </w:tc>
        <w:tc>
          <w:tcPr>
            <w:tcW w:w="1387" w:type="dxa"/>
            <w:noWrap/>
            <w:vAlign w:val="center"/>
            <w:hideMark/>
          </w:tcPr>
          <w:p w14:paraId="60D651F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52.6%</w:t>
            </w:r>
          </w:p>
        </w:tc>
        <w:tc>
          <w:tcPr>
            <w:tcW w:w="1418" w:type="dxa"/>
            <w:noWrap/>
            <w:vAlign w:val="center"/>
            <w:hideMark/>
          </w:tcPr>
          <w:p w14:paraId="191464E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1,600</w:t>
            </w:r>
          </w:p>
        </w:tc>
        <w:tc>
          <w:tcPr>
            <w:tcW w:w="1414" w:type="dxa"/>
            <w:noWrap/>
            <w:vAlign w:val="center"/>
            <w:hideMark/>
          </w:tcPr>
          <w:p w14:paraId="3E6FAD6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12.0%</w:t>
            </w:r>
          </w:p>
        </w:tc>
      </w:tr>
      <w:tr w:rsidR="00407705" w:rsidRPr="00105FFC" w14:paraId="6363A6E5"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F623C7A"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6B6E445" w14:textId="77777777" w:rsidR="00407705" w:rsidRPr="00105FFC" w:rsidRDefault="00407705" w:rsidP="0040770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215FFDA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15,046</w:t>
            </w:r>
          </w:p>
        </w:tc>
        <w:tc>
          <w:tcPr>
            <w:tcW w:w="1440" w:type="dxa"/>
            <w:noWrap/>
            <w:vAlign w:val="center"/>
            <w:hideMark/>
          </w:tcPr>
          <w:p w14:paraId="7A92367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6,378</w:t>
            </w:r>
          </w:p>
        </w:tc>
        <w:tc>
          <w:tcPr>
            <w:tcW w:w="1436" w:type="dxa"/>
            <w:noWrap/>
            <w:vAlign w:val="center"/>
            <w:hideMark/>
          </w:tcPr>
          <w:p w14:paraId="56418FA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42.4%</w:t>
            </w:r>
          </w:p>
        </w:tc>
        <w:tc>
          <w:tcPr>
            <w:tcW w:w="1390" w:type="dxa"/>
            <w:noWrap/>
            <w:vAlign w:val="center"/>
            <w:hideMark/>
          </w:tcPr>
          <w:p w14:paraId="2C30307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6,926</w:t>
            </w:r>
          </w:p>
        </w:tc>
        <w:tc>
          <w:tcPr>
            <w:tcW w:w="1387" w:type="dxa"/>
            <w:noWrap/>
            <w:vAlign w:val="center"/>
            <w:hideMark/>
          </w:tcPr>
          <w:p w14:paraId="4FC00D5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46.0%</w:t>
            </w:r>
          </w:p>
        </w:tc>
        <w:tc>
          <w:tcPr>
            <w:tcW w:w="1418" w:type="dxa"/>
            <w:noWrap/>
            <w:vAlign w:val="center"/>
            <w:hideMark/>
          </w:tcPr>
          <w:p w14:paraId="15CB85D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1,416</w:t>
            </w:r>
          </w:p>
        </w:tc>
        <w:tc>
          <w:tcPr>
            <w:tcW w:w="1414" w:type="dxa"/>
            <w:noWrap/>
            <w:vAlign w:val="center"/>
            <w:hideMark/>
          </w:tcPr>
          <w:p w14:paraId="3BDB33E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9.4%</w:t>
            </w:r>
          </w:p>
        </w:tc>
      </w:tr>
      <w:tr w:rsidR="00407705" w:rsidRPr="00105FFC" w14:paraId="0E636BA1"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10687F2"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299FFD7"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18F8CC6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5,025</w:t>
            </w:r>
          </w:p>
        </w:tc>
        <w:tc>
          <w:tcPr>
            <w:tcW w:w="1440" w:type="dxa"/>
            <w:noWrap/>
            <w:vAlign w:val="center"/>
            <w:hideMark/>
          </w:tcPr>
          <w:p w14:paraId="1BC63CA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1,218</w:t>
            </w:r>
          </w:p>
        </w:tc>
        <w:tc>
          <w:tcPr>
            <w:tcW w:w="1436" w:type="dxa"/>
            <w:noWrap/>
            <w:vAlign w:val="center"/>
            <w:hideMark/>
          </w:tcPr>
          <w:p w14:paraId="1F116CB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24.2%</w:t>
            </w:r>
          </w:p>
        </w:tc>
        <w:tc>
          <w:tcPr>
            <w:tcW w:w="1390" w:type="dxa"/>
            <w:noWrap/>
            <w:vAlign w:val="center"/>
            <w:hideMark/>
          </w:tcPr>
          <w:p w14:paraId="7A8596F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1,415</w:t>
            </w:r>
          </w:p>
        </w:tc>
        <w:tc>
          <w:tcPr>
            <w:tcW w:w="1387" w:type="dxa"/>
            <w:noWrap/>
            <w:vAlign w:val="center"/>
            <w:hideMark/>
          </w:tcPr>
          <w:p w14:paraId="71FCF7F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28.2%</w:t>
            </w:r>
          </w:p>
        </w:tc>
        <w:tc>
          <w:tcPr>
            <w:tcW w:w="1418" w:type="dxa"/>
            <w:noWrap/>
            <w:vAlign w:val="center"/>
            <w:hideMark/>
          </w:tcPr>
          <w:p w14:paraId="10C28DB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346</w:t>
            </w:r>
          </w:p>
        </w:tc>
        <w:tc>
          <w:tcPr>
            <w:tcW w:w="1414" w:type="dxa"/>
            <w:noWrap/>
            <w:vAlign w:val="center"/>
            <w:hideMark/>
          </w:tcPr>
          <w:p w14:paraId="12C443A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w:t>
            </w:r>
          </w:p>
        </w:tc>
      </w:tr>
      <w:tr w:rsidR="00407705" w:rsidRPr="00105FFC" w14:paraId="1D3A7BC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724C7CC"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9119B72" w14:textId="77777777" w:rsidR="00407705" w:rsidRPr="00105FFC" w:rsidRDefault="00407705" w:rsidP="00407705">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3385696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99,588</w:t>
            </w:r>
          </w:p>
        </w:tc>
        <w:tc>
          <w:tcPr>
            <w:tcW w:w="1440" w:type="dxa"/>
            <w:noWrap/>
            <w:vAlign w:val="center"/>
            <w:hideMark/>
          </w:tcPr>
          <w:p w14:paraId="2029CAD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46,595</w:t>
            </w:r>
          </w:p>
        </w:tc>
        <w:tc>
          <w:tcPr>
            <w:tcW w:w="1436" w:type="dxa"/>
            <w:noWrap/>
            <w:vAlign w:val="center"/>
            <w:hideMark/>
          </w:tcPr>
          <w:p w14:paraId="7E588BC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46.8%</w:t>
            </w:r>
          </w:p>
        </w:tc>
        <w:tc>
          <w:tcPr>
            <w:tcW w:w="1390" w:type="dxa"/>
            <w:noWrap/>
            <w:vAlign w:val="center"/>
            <w:hideMark/>
          </w:tcPr>
          <w:p w14:paraId="25F8198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49,172</w:t>
            </w:r>
          </w:p>
        </w:tc>
        <w:tc>
          <w:tcPr>
            <w:tcW w:w="1387" w:type="dxa"/>
            <w:noWrap/>
            <w:vAlign w:val="center"/>
            <w:hideMark/>
          </w:tcPr>
          <w:p w14:paraId="39F92D9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49.4%</w:t>
            </w:r>
          </w:p>
        </w:tc>
        <w:tc>
          <w:tcPr>
            <w:tcW w:w="1418" w:type="dxa"/>
            <w:noWrap/>
            <w:vAlign w:val="center"/>
            <w:hideMark/>
          </w:tcPr>
          <w:p w14:paraId="275694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13,308</w:t>
            </w:r>
          </w:p>
        </w:tc>
        <w:tc>
          <w:tcPr>
            <w:tcW w:w="1414" w:type="dxa"/>
            <w:noWrap/>
            <w:vAlign w:val="center"/>
            <w:hideMark/>
          </w:tcPr>
          <w:p w14:paraId="3F8CF25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13.4%</w:t>
            </w:r>
          </w:p>
        </w:tc>
      </w:tr>
      <w:tr w:rsidR="00407705" w:rsidRPr="00105FFC" w14:paraId="04C9D1E4"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67AC5324"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Central Valley</w:t>
            </w:r>
          </w:p>
        </w:tc>
        <w:tc>
          <w:tcPr>
            <w:tcW w:w="1260" w:type="dxa"/>
            <w:noWrap/>
            <w:vAlign w:val="center"/>
            <w:hideMark/>
          </w:tcPr>
          <w:p w14:paraId="58FE8CF4"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387256A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62,117</w:t>
            </w:r>
          </w:p>
        </w:tc>
        <w:tc>
          <w:tcPr>
            <w:tcW w:w="1440" w:type="dxa"/>
            <w:noWrap/>
            <w:vAlign w:val="center"/>
            <w:hideMark/>
          </w:tcPr>
          <w:p w14:paraId="1573926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9,739</w:t>
            </w:r>
          </w:p>
        </w:tc>
        <w:tc>
          <w:tcPr>
            <w:tcW w:w="1436" w:type="dxa"/>
            <w:noWrap/>
            <w:vAlign w:val="center"/>
            <w:hideMark/>
          </w:tcPr>
          <w:p w14:paraId="0DC50AD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15.7%</w:t>
            </w:r>
          </w:p>
        </w:tc>
        <w:tc>
          <w:tcPr>
            <w:tcW w:w="1390" w:type="dxa"/>
            <w:noWrap/>
            <w:vAlign w:val="center"/>
            <w:hideMark/>
          </w:tcPr>
          <w:p w14:paraId="5B3D5FC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11,225</w:t>
            </w:r>
          </w:p>
        </w:tc>
        <w:tc>
          <w:tcPr>
            <w:tcW w:w="1387" w:type="dxa"/>
            <w:noWrap/>
            <w:vAlign w:val="center"/>
            <w:hideMark/>
          </w:tcPr>
          <w:p w14:paraId="5C910DD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18.1%</w:t>
            </w:r>
          </w:p>
        </w:tc>
        <w:tc>
          <w:tcPr>
            <w:tcW w:w="1418" w:type="dxa"/>
            <w:noWrap/>
            <w:vAlign w:val="center"/>
            <w:hideMark/>
          </w:tcPr>
          <w:p w14:paraId="43CBFCA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2,640</w:t>
            </w:r>
          </w:p>
        </w:tc>
        <w:tc>
          <w:tcPr>
            <w:tcW w:w="1414" w:type="dxa"/>
            <w:noWrap/>
            <w:vAlign w:val="center"/>
            <w:hideMark/>
          </w:tcPr>
          <w:p w14:paraId="03A8FBA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w:t>
            </w:r>
          </w:p>
        </w:tc>
      </w:tr>
      <w:tr w:rsidR="00407705" w:rsidRPr="00105FFC" w14:paraId="1B963C33"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D85C41C"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FC14D6D" w14:textId="77777777" w:rsidR="00407705" w:rsidRPr="00105FFC" w:rsidRDefault="00407705" w:rsidP="0040770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55C40D9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39,926</w:t>
            </w:r>
          </w:p>
        </w:tc>
        <w:tc>
          <w:tcPr>
            <w:tcW w:w="1440" w:type="dxa"/>
            <w:noWrap/>
            <w:vAlign w:val="center"/>
            <w:hideMark/>
          </w:tcPr>
          <w:p w14:paraId="5D4B10A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18,406</w:t>
            </w:r>
          </w:p>
        </w:tc>
        <w:tc>
          <w:tcPr>
            <w:tcW w:w="1436" w:type="dxa"/>
            <w:noWrap/>
            <w:vAlign w:val="center"/>
            <w:hideMark/>
          </w:tcPr>
          <w:p w14:paraId="23CAE7F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46.1%</w:t>
            </w:r>
          </w:p>
        </w:tc>
        <w:tc>
          <w:tcPr>
            <w:tcW w:w="1390" w:type="dxa"/>
            <w:noWrap/>
            <w:vAlign w:val="center"/>
            <w:hideMark/>
          </w:tcPr>
          <w:p w14:paraId="3A315D3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19,815</w:t>
            </w:r>
          </w:p>
        </w:tc>
        <w:tc>
          <w:tcPr>
            <w:tcW w:w="1387" w:type="dxa"/>
            <w:noWrap/>
            <w:vAlign w:val="center"/>
            <w:hideMark/>
          </w:tcPr>
          <w:p w14:paraId="12D1340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49.6%</w:t>
            </w:r>
          </w:p>
        </w:tc>
        <w:tc>
          <w:tcPr>
            <w:tcW w:w="1418" w:type="dxa"/>
            <w:noWrap/>
            <w:vAlign w:val="center"/>
            <w:hideMark/>
          </w:tcPr>
          <w:p w14:paraId="7EC6142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2,882</w:t>
            </w:r>
          </w:p>
        </w:tc>
        <w:tc>
          <w:tcPr>
            <w:tcW w:w="1414" w:type="dxa"/>
            <w:noWrap/>
            <w:vAlign w:val="center"/>
            <w:hideMark/>
          </w:tcPr>
          <w:p w14:paraId="100143E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w:t>
            </w:r>
          </w:p>
        </w:tc>
      </w:tr>
      <w:tr w:rsidR="00407705" w:rsidRPr="00105FFC" w14:paraId="06D63A9C"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D90371B"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09F0B0E"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007808D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61,723</w:t>
            </w:r>
          </w:p>
        </w:tc>
        <w:tc>
          <w:tcPr>
            <w:tcW w:w="1440" w:type="dxa"/>
            <w:noWrap/>
            <w:vAlign w:val="center"/>
            <w:hideMark/>
          </w:tcPr>
          <w:p w14:paraId="17F87B3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31,223</w:t>
            </w:r>
          </w:p>
        </w:tc>
        <w:tc>
          <w:tcPr>
            <w:tcW w:w="1436" w:type="dxa"/>
            <w:noWrap/>
            <w:vAlign w:val="center"/>
            <w:hideMark/>
          </w:tcPr>
          <w:p w14:paraId="329B0B8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50.6%</w:t>
            </w:r>
          </w:p>
        </w:tc>
        <w:tc>
          <w:tcPr>
            <w:tcW w:w="1390" w:type="dxa"/>
            <w:noWrap/>
            <w:vAlign w:val="center"/>
            <w:hideMark/>
          </w:tcPr>
          <w:p w14:paraId="011506C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32,950</w:t>
            </w:r>
          </w:p>
        </w:tc>
        <w:tc>
          <w:tcPr>
            <w:tcW w:w="1387" w:type="dxa"/>
            <w:noWrap/>
            <w:vAlign w:val="center"/>
            <w:hideMark/>
          </w:tcPr>
          <w:p w14:paraId="1EB1D74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53.4%</w:t>
            </w:r>
          </w:p>
        </w:tc>
        <w:tc>
          <w:tcPr>
            <w:tcW w:w="1418" w:type="dxa"/>
            <w:noWrap/>
            <w:vAlign w:val="center"/>
            <w:hideMark/>
          </w:tcPr>
          <w:p w14:paraId="279B710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4,310</w:t>
            </w:r>
          </w:p>
        </w:tc>
        <w:tc>
          <w:tcPr>
            <w:tcW w:w="1414" w:type="dxa"/>
            <w:noWrap/>
            <w:vAlign w:val="center"/>
            <w:hideMark/>
          </w:tcPr>
          <w:p w14:paraId="114B0A4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w:t>
            </w:r>
          </w:p>
        </w:tc>
      </w:tr>
      <w:tr w:rsidR="00407705" w:rsidRPr="00105FFC" w14:paraId="20E2347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3932CF7"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030E5B6" w14:textId="77777777" w:rsidR="00407705" w:rsidRPr="00105FFC" w:rsidRDefault="00407705" w:rsidP="0040770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0EE932C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55,303</w:t>
            </w:r>
          </w:p>
        </w:tc>
        <w:tc>
          <w:tcPr>
            <w:tcW w:w="1440" w:type="dxa"/>
            <w:noWrap/>
            <w:vAlign w:val="center"/>
            <w:hideMark/>
          </w:tcPr>
          <w:p w14:paraId="234D2CC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26,029</w:t>
            </w:r>
          </w:p>
        </w:tc>
        <w:tc>
          <w:tcPr>
            <w:tcW w:w="1436" w:type="dxa"/>
            <w:noWrap/>
            <w:vAlign w:val="center"/>
            <w:hideMark/>
          </w:tcPr>
          <w:p w14:paraId="62BC4C4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47.1%</w:t>
            </w:r>
          </w:p>
        </w:tc>
        <w:tc>
          <w:tcPr>
            <w:tcW w:w="1390" w:type="dxa"/>
            <w:noWrap/>
            <w:vAlign w:val="center"/>
            <w:hideMark/>
          </w:tcPr>
          <w:p w14:paraId="6CC7F6A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27,623</w:t>
            </w:r>
          </w:p>
        </w:tc>
        <w:tc>
          <w:tcPr>
            <w:tcW w:w="1387" w:type="dxa"/>
            <w:noWrap/>
            <w:vAlign w:val="center"/>
            <w:hideMark/>
          </w:tcPr>
          <w:p w14:paraId="4E4EF00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49.9%</w:t>
            </w:r>
          </w:p>
        </w:tc>
        <w:tc>
          <w:tcPr>
            <w:tcW w:w="1418" w:type="dxa"/>
            <w:noWrap/>
            <w:vAlign w:val="center"/>
            <w:hideMark/>
          </w:tcPr>
          <w:p w14:paraId="455A808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3,791</w:t>
            </w:r>
          </w:p>
        </w:tc>
        <w:tc>
          <w:tcPr>
            <w:tcW w:w="1414" w:type="dxa"/>
            <w:noWrap/>
            <w:vAlign w:val="center"/>
            <w:hideMark/>
          </w:tcPr>
          <w:p w14:paraId="3C0181E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w:t>
            </w:r>
          </w:p>
        </w:tc>
      </w:tr>
      <w:tr w:rsidR="00407705" w:rsidRPr="00105FFC" w14:paraId="430B636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2104A5FC"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4A6070B7" w14:textId="77777777" w:rsidR="00407705" w:rsidRPr="00105FFC" w:rsidRDefault="00407705" w:rsidP="0040770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70D0F0D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50,404</w:t>
            </w:r>
          </w:p>
        </w:tc>
        <w:tc>
          <w:tcPr>
            <w:tcW w:w="1440" w:type="dxa"/>
            <w:noWrap/>
            <w:vAlign w:val="center"/>
            <w:hideMark/>
          </w:tcPr>
          <w:p w14:paraId="1AB4A2E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20,287</w:t>
            </w:r>
          </w:p>
        </w:tc>
        <w:tc>
          <w:tcPr>
            <w:tcW w:w="1436" w:type="dxa"/>
            <w:noWrap/>
            <w:vAlign w:val="center"/>
            <w:hideMark/>
          </w:tcPr>
          <w:p w14:paraId="1EDA4B5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40.2%</w:t>
            </w:r>
          </w:p>
        </w:tc>
        <w:tc>
          <w:tcPr>
            <w:tcW w:w="1390" w:type="dxa"/>
            <w:noWrap/>
            <w:vAlign w:val="center"/>
            <w:hideMark/>
          </w:tcPr>
          <w:p w14:paraId="37881C4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22,342</w:t>
            </w:r>
          </w:p>
        </w:tc>
        <w:tc>
          <w:tcPr>
            <w:tcW w:w="1387" w:type="dxa"/>
            <w:noWrap/>
            <w:vAlign w:val="center"/>
            <w:hideMark/>
          </w:tcPr>
          <w:p w14:paraId="7BB1659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44.3%</w:t>
            </w:r>
          </w:p>
        </w:tc>
        <w:tc>
          <w:tcPr>
            <w:tcW w:w="1418" w:type="dxa"/>
            <w:noWrap/>
            <w:vAlign w:val="center"/>
            <w:hideMark/>
          </w:tcPr>
          <w:p w14:paraId="5F9372F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3,446</w:t>
            </w:r>
          </w:p>
        </w:tc>
        <w:tc>
          <w:tcPr>
            <w:tcW w:w="1414" w:type="dxa"/>
            <w:noWrap/>
            <w:vAlign w:val="center"/>
            <w:hideMark/>
          </w:tcPr>
          <w:p w14:paraId="36ADC27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6.8%</w:t>
            </w:r>
          </w:p>
        </w:tc>
      </w:tr>
      <w:tr w:rsidR="00407705" w:rsidRPr="00105FFC" w14:paraId="2686955B"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26F0EAB1"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368495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52D25B8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59,151</w:t>
            </w:r>
          </w:p>
        </w:tc>
        <w:tc>
          <w:tcPr>
            <w:tcW w:w="1440" w:type="dxa"/>
            <w:noWrap/>
            <w:vAlign w:val="center"/>
            <w:hideMark/>
          </w:tcPr>
          <w:p w14:paraId="6B0F455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19,583</w:t>
            </w:r>
          </w:p>
        </w:tc>
        <w:tc>
          <w:tcPr>
            <w:tcW w:w="1436" w:type="dxa"/>
            <w:noWrap/>
            <w:vAlign w:val="center"/>
            <w:hideMark/>
          </w:tcPr>
          <w:p w14:paraId="43E3933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33.1%</w:t>
            </w:r>
          </w:p>
        </w:tc>
        <w:tc>
          <w:tcPr>
            <w:tcW w:w="1390" w:type="dxa"/>
            <w:noWrap/>
            <w:vAlign w:val="center"/>
            <w:hideMark/>
          </w:tcPr>
          <w:p w14:paraId="0C92730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23,120</w:t>
            </w:r>
          </w:p>
        </w:tc>
        <w:tc>
          <w:tcPr>
            <w:tcW w:w="1387" w:type="dxa"/>
            <w:noWrap/>
            <w:vAlign w:val="center"/>
            <w:hideMark/>
          </w:tcPr>
          <w:p w14:paraId="69539E2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39.1%</w:t>
            </w:r>
          </w:p>
        </w:tc>
        <w:tc>
          <w:tcPr>
            <w:tcW w:w="1418" w:type="dxa"/>
            <w:noWrap/>
            <w:vAlign w:val="center"/>
            <w:hideMark/>
          </w:tcPr>
          <w:p w14:paraId="47E7D48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3,287</w:t>
            </w:r>
          </w:p>
        </w:tc>
        <w:tc>
          <w:tcPr>
            <w:tcW w:w="1414" w:type="dxa"/>
            <w:noWrap/>
            <w:vAlign w:val="center"/>
            <w:hideMark/>
          </w:tcPr>
          <w:p w14:paraId="23D1110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w:t>
            </w:r>
          </w:p>
        </w:tc>
      </w:tr>
      <w:tr w:rsidR="00407705" w:rsidRPr="00105FFC" w14:paraId="624177B3"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41C81CD"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4AC62B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0454377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21,089</w:t>
            </w:r>
          </w:p>
        </w:tc>
        <w:tc>
          <w:tcPr>
            <w:tcW w:w="1440" w:type="dxa"/>
            <w:noWrap/>
            <w:vAlign w:val="center"/>
            <w:hideMark/>
          </w:tcPr>
          <w:p w14:paraId="2DE0850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4,647</w:t>
            </w:r>
          </w:p>
        </w:tc>
        <w:tc>
          <w:tcPr>
            <w:tcW w:w="1436" w:type="dxa"/>
            <w:noWrap/>
            <w:vAlign w:val="center"/>
            <w:hideMark/>
          </w:tcPr>
          <w:p w14:paraId="195D461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22.0%</w:t>
            </w:r>
          </w:p>
        </w:tc>
        <w:tc>
          <w:tcPr>
            <w:tcW w:w="1390" w:type="dxa"/>
            <w:noWrap/>
            <w:vAlign w:val="center"/>
            <w:hideMark/>
          </w:tcPr>
          <w:p w14:paraId="2A57090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5,927</w:t>
            </w:r>
          </w:p>
        </w:tc>
        <w:tc>
          <w:tcPr>
            <w:tcW w:w="1387" w:type="dxa"/>
            <w:noWrap/>
            <w:vAlign w:val="center"/>
            <w:hideMark/>
          </w:tcPr>
          <w:p w14:paraId="6801D9C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28.1%</w:t>
            </w:r>
          </w:p>
        </w:tc>
        <w:tc>
          <w:tcPr>
            <w:tcW w:w="1418" w:type="dxa"/>
            <w:noWrap/>
            <w:vAlign w:val="center"/>
            <w:hideMark/>
          </w:tcPr>
          <w:p w14:paraId="2A0CCD1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767</w:t>
            </w:r>
          </w:p>
        </w:tc>
        <w:tc>
          <w:tcPr>
            <w:tcW w:w="1414" w:type="dxa"/>
            <w:noWrap/>
            <w:vAlign w:val="center"/>
            <w:hideMark/>
          </w:tcPr>
          <w:p w14:paraId="482583E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w:t>
            </w:r>
          </w:p>
        </w:tc>
      </w:tr>
      <w:tr w:rsidR="00407705" w:rsidRPr="00105FFC" w14:paraId="0C234C1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499FEE0"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2D3799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25ED7C9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349,713</w:t>
            </w:r>
          </w:p>
        </w:tc>
        <w:tc>
          <w:tcPr>
            <w:tcW w:w="1440" w:type="dxa"/>
            <w:noWrap/>
            <w:vAlign w:val="center"/>
            <w:hideMark/>
          </w:tcPr>
          <w:p w14:paraId="22D2613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129,914</w:t>
            </w:r>
          </w:p>
        </w:tc>
        <w:tc>
          <w:tcPr>
            <w:tcW w:w="1436" w:type="dxa"/>
            <w:noWrap/>
            <w:vAlign w:val="center"/>
            <w:hideMark/>
          </w:tcPr>
          <w:p w14:paraId="7BE7333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37.1%</w:t>
            </w:r>
          </w:p>
        </w:tc>
        <w:tc>
          <w:tcPr>
            <w:tcW w:w="1390" w:type="dxa"/>
            <w:noWrap/>
            <w:vAlign w:val="center"/>
            <w:hideMark/>
          </w:tcPr>
          <w:p w14:paraId="6FA4E1C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143,002</w:t>
            </w:r>
          </w:p>
        </w:tc>
        <w:tc>
          <w:tcPr>
            <w:tcW w:w="1387" w:type="dxa"/>
            <w:noWrap/>
            <w:vAlign w:val="center"/>
            <w:hideMark/>
          </w:tcPr>
          <w:p w14:paraId="23777C6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40.9%</w:t>
            </w:r>
          </w:p>
        </w:tc>
        <w:tc>
          <w:tcPr>
            <w:tcW w:w="1418" w:type="dxa"/>
            <w:noWrap/>
            <w:vAlign w:val="center"/>
            <w:hideMark/>
          </w:tcPr>
          <w:p w14:paraId="39ECF3F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21,123</w:t>
            </w:r>
          </w:p>
        </w:tc>
        <w:tc>
          <w:tcPr>
            <w:tcW w:w="1414" w:type="dxa"/>
            <w:noWrap/>
            <w:vAlign w:val="center"/>
            <w:hideMark/>
          </w:tcPr>
          <w:p w14:paraId="5257C4B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6.0%</w:t>
            </w:r>
          </w:p>
        </w:tc>
      </w:tr>
      <w:tr w:rsidR="00407705" w:rsidRPr="00105FFC" w14:paraId="1130CDAB"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412C0359"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Contra Costa</w:t>
            </w:r>
          </w:p>
        </w:tc>
        <w:tc>
          <w:tcPr>
            <w:tcW w:w="1260" w:type="dxa"/>
            <w:noWrap/>
            <w:vAlign w:val="center"/>
            <w:hideMark/>
          </w:tcPr>
          <w:p w14:paraId="50894F1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3EACE6F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15,171</w:t>
            </w:r>
          </w:p>
        </w:tc>
        <w:tc>
          <w:tcPr>
            <w:tcW w:w="1440" w:type="dxa"/>
            <w:noWrap/>
            <w:vAlign w:val="center"/>
            <w:hideMark/>
          </w:tcPr>
          <w:p w14:paraId="0A24C2D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1,518</w:t>
            </w:r>
          </w:p>
        </w:tc>
        <w:tc>
          <w:tcPr>
            <w:tcW w:w="1436" w:type="dxa"/>
            <w:noWrap/>
            <w:vAlign w:val="center"/>
            <w:hideMark/>
          </w:tcPr>
          <w:p w14:paraId="3F5334F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10.0%</w:t>
            </w:r>
          </w:p>
        </w:tc>
        <w:tc>
          <w:tcPr>
            <w:tcW w:w="1390" w:type="dxa"/>
            <w:noWrap/>
            <w:vAlign w:val="center"/>
            <w:hideMark/>
          </w:tcPr>
          <w:p w14:paraId="76234AB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2,090</w:t>
            </w:r>
          </w:p>
        </w:tc>
        <w:tc>
          <w:tcPr>
            <w:tcW w:w="1387" w:type="dxa"/>
            <w:noWrap/>
            <w:vAlign w:val="center"/>
            <w:hideMark/>
          </w:tcPr>
          <w:p w14:paraId="42F6DCD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13.8%</w:t>
            </w:r>
          </w:p>
        </w:tc>
        <w:tc>
          <w:tcPr>
            <w:tcW w:w="1418" w:type="dxa"/>
            <w:noWrap/>
            <w:vAlign w:val="center"/>
            <w:hideMark/>
          </w:tcPr>
          <w:p w14:paraId="13824BE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1,447</w:t>
            </w:r>
          </w:p>
        </w:tc>
        <w:tc>
          <w:tcPr>
            <w:tcW w:w="1414" w:type="dxa"/>
            <w:noWrap/>
            <w:vAlign w:val="center"/>
            <w:hideMark/>
          </w:tcPr>
          <w:p w14:paraId="08A731D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9.5%</w:t>
            </w:r>
          </w:p>
        </w:tc>
      </w:tr>
      <w:tr w:rsidR="00407705" w:rsidRPr="00105FFC" w14:paraId="17F1379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84EDF8E"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4E31A8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377DCC5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9,720</w:t>
            </w:r>
          </w:p>
        </w:tc>
        <w:tc>
          <w:tcPr>
            <w:tcW w:w="1440" w:type="dxa"/>
            <w:noWrap/>
            <w:vAlign w:val="center"/>
            <w:hideMark/>
          </w:tcPr>
          <w:p w14:paraId="701505E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3,115</w:t>
            </w:r>
          </w:p>
        </w:tc>
        <w:tc>
          <w:tcPr>
            <w:tcW w:w="1436" w:type="dxa"/>
            <w:noWrap/>
            <w:vAlign w:val="center"/>
            <w:hideMark/>
          </w:tcPr>
          <w:p w14:paraId="718FBEF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32.0%</w:t>
            </w:r>
          </w:p>
        </w:tc>
        <w:tc>
          <w:tcPr>
            <w:tcW w:w="1390" w:type="dxa"/>
            <w:noWrap/>
            <w:vAlign w:val="center"/>
            <w:hideMark/>
          </w:tcPr>
          <w:p w14:paraId="329DD9F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3,563</w:t>
            </w:r>
          </w:p>
        </w:tc>
        <w:tc>
          <w:tcPr>
            <w:tcW w:w="1387" w:type="dxa"/>
            <w:noWrap/>
            <w:vAlign w:val="center"/>
            <w:hideMark/>
          </w:tcPr>
          <w:p w14:paraId="6CC03A5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36.7%</w:t>
            </w:r>
          </w:p>
        </w:tc>
        <w:tc>
          <w:tcPr>
            <w:tcW w:w="1418" w:type="dxa"/>
            <w:noWrap/>
            <w:vAlign w:val="center"/>
            <w:hideMark/>
          </w:tcPr>
          <w:p w14:paraId="258AF26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1,577</w:t>
            </w:r>
          </w:p>
        </w:tc>
        <w:tc>
          <w:tcPr>
            <w:tcW w:w="1414" w:type="dxa"/>
            <w:noWrap/>
            <w:vAlign w:val="center"/>
            <w:hideMark/>
          </w:tcPr>
          <w:p w14:paraId="5E810D8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16.2%</w:t>
            </w:r>
          </w:p>
        </w:tc>
      </w:tr>
      <w:tr w:rsidR="00407705" w:rsidRPr="00105FFC" w14:paraId="24AC8D7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BEF124C"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D9DB10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659DDF1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15,230</w:t>
            </w:r>
          </w:p>
        </w:tc>
        <w:tc>
          <w:tcPr>
            <w:tcW w:w="1440" w:type="dxa"/>
            <w:noWrap/>
            <w:vAlign w:val="center"/>
            <w:hideMark/>
          </w:tcPr>
          <w:p w14:paraId="74855FD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5,840</w:t>
            </w:r>
          </w:p>
        </w:tc>
        <w:tc>
          <w:tcPr>
            <w:tcW w:w="1436" w:type="dxa"/>
            <w:noWrap/>
            <w:vAlign w:val="center"/>
            <w:hideMark/>
          </w:tcPr>
          <w:p w14:paraId="3BBB4C3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38.3%</w:t>
            </w:r>
          </w:p>
        </w:tc>
        <w:tc>
          <w:tcPr>
            <w:tcW w:w="1390" w:type="dxa"/>
            <w:noWrap/>
            <w:vAlign w:val="center"/>
            <w:hideMark/>
          </w:tcPr>
          <w:p w14:paraId="1B67DD5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6,383</w:t>
            </w:r>
          </w:p>
        </w:tc>
        <w:tc>
          <w:tcPr>
            <w:tcW w:w="1387" w:type="dxa"/>
            <w:noWrap/>
            <w:vAlign w:val="center"/>
            <w:hideMark/>
          </w:tcPr>
          <w:p w14:paraId="7AA2C95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41.9%</w:t>
            </w:r>
          </w:p>
        </w:tc>
        <w:tc>
          <w:tcPr>
            <w:tcW w:w="1418" w:type="dxa"/>
            <w:noWrap/>
            <w:vAlign w:val="center"/>
            <w:hideMark/>
          </w:tcPr>
          <w:p w14:paraId="5211EE2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2,326</w:t>
            </w:r>
          </w:p>
        </w:tc>
        <w:tc>
          <w:tcPr>
            <w:tcW w:w="1414" w:type="dxa"/>
            <w:noWrap/>
            <w:vAlign w:val="center"/>
            <w:hideMark/>
          </w:tcPr>
          <w:p w14:paraId="14EB5F1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15.3%</w:t>
            </w:r>
          </w:p>
        </w:tc>
      </w:tr>
      <w:tr w:rsidR="00407705" w:rsidRPr="00105FFC" w14:paraId="0AC13EA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ABADA7B"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D5C5D8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1B7CCA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13,650</w:t>
            </w:r>
          </w:p>
        </w:tc>
        <w:tc>
          <w:tcPr>
            <w:tcW w:w="1440" w:type="dxa"/>
            <w:noWrap/>
            <w:vAlign w:val="center"/>
            <w:hideMark/>
          </w:tcPr>
          <w:p w14:paraId="1D6D9A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5,237</w:t>
            </w:r>
          </w:p>
        </w:tc>
        <w:tc>
          <w:tcPr>
            <w:tcW w:w="1436" w:type="dxa"/>
            <w:noWrap/>
            <w:vAlign w:val="center"/>
            <w:hideMark/>
          </w:tcPr>
          <w:p w14:paraId="10C911C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38.4%</w:t>
            </w:r>
          </w:p>
        </w:tc>
        <w:tc>
          <w:tcPr>
            <w:tcW w:w="1390" w:type="dxa"/>
            <w:noWrap/>
            <w:vAlign w:val="center"/>
            <w:hideMark/>
          </w:tcPr>
          <w:p w14:paraId="0CBAAC4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5,623</w:t>
            </w:r>
          </w:p>
        </w:tc>
        <w:tc>
          <w:tcPr>
            <w:tcW w:w="1387" w:type="dxa"/>
            <w:noWrap/>
            <w:vAlign w:val="center"/>
            <w:hideMark/>
          </w:tcPr>
          <w:p w14:paraId="7070A64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41.2%</w:t>
            </w:r>
          </w:p>
        </w:tc>
        <w:tc>
          <w:tcPr>
            <w:tcW w:w="1418" w:type="dxa"/>
            <w:noWrap/>
            <w:vAlign w:val="center"/>
            <w:hideMark/>
          </w:tcPr>
          <w:p w14:paraId="2CA7638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1,776</w:t>
            </w:r>
          </w:p>
        </w:tc>
        <w:tc>
          <w:tcPr>
            <w:tcW w:w="1414" w:type="dxa"/>
            <w:noWrap/>
            <w:vAlign w:val="center"/>
            <w:hideMark/>
          </w:tcPr>
          <w:p w14:paraId="2CA32B4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13.0%</w:t>
            </w:r>
          </w:p>
        </w:tc>
      </w:tr>
      <w:tr w:rsidR="00407705" w:rsidRPr="00105FFC" w14:paraId="24BFDC4F"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28E6FE7"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D67D0D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32C31BA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12,701</w:t>
            </w:r>
          </w:p>
        </w:tc>
        <w:tc>
          <w:tcPr>
            <w:tcW w:w="1440" w:type="dxa"/>
            <w:noWrap/>
            <w:vAlign w:val="center"/>
            <w:hideMark/>
          </w:tcPr>
          <w:p w14:paraId="02097A5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4,543</w:t>
            </w:r>
          </w:p>
        </w:tc>
        <w:tc>
          <w:tcPr>
            <w:tcW w:w="1436" w:type="dxa"/>
            <w:noWrap/>
            <w:vAlign w:val="center"/>
            <w:hideMark/>
          </w:tcPr>
          <w:p w14:paraId="40A721D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35.8%</w:t>
            </w:r>
          </w:p>
        </w:tc>
        <w:tc>
          <w:tcPr>
            <w:tcW w:w="1390" w:type="dxa"/>
            <w:noWrap/>
            <w:vAlign w:val="center"/>
            <w:hideMark/>
          </w:tcPr>
          <w:p w14:paraId="66C909F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4,963</w:t>
            </w:r>
          </w:p>
        </w:tc>
        <w:tc>
          <w:tcPr>
            <w:tcW w:w="1387" w:type="dxa"/>
            <w:noWrap/>
            <w:vAlign w:val="center"/>
            <w:hideMark/>
          </w:tcPr>
          <w:p w14:paraId="4990650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39.1%</w:t>
            </w:r>
          </w:p>
        </w:tc>
        <w:tc>
          <w:tcPr>
            <w:tcW w:w="1418" w:type="dxa"/>
            <w:noWrap/>
            <w:vAlign w:val="center"/>
            <w:hideMark/>
          </w:tcPr>
          <w:p w14:paraId="4380BA0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1,254</w:t>
            </w:r>
          </w:p>
        </w:tc>
        <w:tc>
          <w:tcPr>
            <w:tcW w:w="1414" w:type="dxa"/>
            <w:noWrap/>
            <w:vAlign w:val="center"/>
            <w:hideMark/>
          </w:tcPr>
          <w:p w14:paraId="3C6C608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9.9%</w:t>
            </w:r>
          </w:p>
        </w:tc>
      </w:tr>
      <w:tr w:rsidR="00407705" w:rsidRPr="00105FFC" w14:paraId="2A46E471"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F737E31"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CBD002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39BCD19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15,201</w:t>
            </w:r>
          </w:p>
        </w:tc>
        <w:tc>
          <w:tcPr>
            <w:tcW w:w="1440" w:type="dxa"/>
            <w:noWrap/>
            <w:vAlign w:val="center"/>
            <w:hideMark/>
          </w:tcPr>
          <w:p w14:paraId="1BC1180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4,724</w:t>
            </w:r>
          </w:p>
        </w:tc>
        <w:tc>
          <w:tcPr>
            <w:tcW w:w="1436" w:type="dxa"/>
            <w:noWrap/>
            <w:vAlign w:val="center"/>
            <w:hideMark/>
          </w:tcPr>
          <w:p w14:paraId="59C452C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31.1%</w:t>
            </w:r>
          </w:p>
        </w:tc>
        <w:tc>
          <w:tcPr>
            <w:tcW w:w="1390" w:type="dxa"/>
            <w:noWrap/>
            <w:vAlign w:val="center"/>
            <w:hideMark/>
          </w:tcPr>
          <w:p w14:paraId="5BA9AFD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5,451</w:t>
            </w:r>
          </w:p>
        </w:tc>
        <w:tc>
          <w:tcPr>
            <w:tcW w:w="1387" w:type="dxa"/>
            <w:noWrap/>
            <w:vAlign w:val="center"/>
            <w:hideMark/>
          </w:tcPr>
          <w:p w14:paraId="17CC4A8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35.9%</w:t>
            </w:r>
          </w:p>
        </w:tc>
        <w:tc>
          <w:tcPr>
            <w:tcW w:w="1418" w:type="dxa"/>
            <w:noWrap/>
            <w:vAlign w:val="center"/>
            <w:hideMark/>
          </w:tcPr>
          <w:p w14:paraId="13544BC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995</w:t>
            </w:r>
          </w:p>
        </w:tc>
        <w:tc>
          <w:tcPr>
            <w:tcW w:w="1414" w:type="dxa"/>
            <w:noWrap/>
            <w:vAlign w:val="center"/>
            <w:hideMark/>
          </w:tcPr>
          <w:p w14:paraId="23EBDB4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w:t>
            </w:r>
          </w:p>
        </w:tc>
      </w:tr>
      <w:tr w:rsidR="00407705" w:rsidRPr="00105FFC" w14:paraId="7A25B4CE"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CB693BF"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34EF84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0797993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5,158</w:t>
            </w:r>
          </w:p>
        </w:tc>
        <w:tc>
          <w:tcPr>
            <w:tcW w:w="1440" w:type="dxa"/>
            <w:noWrap/>
            <w:vAlign w:val="center"/>
            <w:hideMark/>
          </w:tcPr>
          <w:p w14:paraId="5DDE335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1,064</w:t>
            </w:r>
          </w:p>
        </w:tc>
        <w:tc>
          <w:tcPr>
            <w:tcW w:w="1436" w:type="dxa"/>
            <w:noWrap/>
            <w:vAlign w:val="center"/>
            <w:hideMark/>
          </w:tcPr>
          <w:p w14:paraId="306394D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20.6%</w:t>
            </w:r>
          </w:p>
        </w:tc>
        <w:tc>
          <w:tcPr>
            <w:tcW w:w="1390" w:type="dxa"/>
            <w:noWrap/>
            <w:vAlign w:val="center"/>
            <w:hideMark/>
          </w:tcPr>
          <w:p w14:paraId="7750DDC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1,306</w:t>
            </w:r>
          </w:p>
        </w:tc>
        <w:tc>
          <w:tcPr>
            <w:tcW w:w="1387" w:type="dxa"/>
            <w:noWrap/>
            <w:vAlign w:val="center"/>
            <w:hideMark/>
          </w:tcPr>
          <w:p w14:paraId="745922E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25.3%</w:t>
            </w:r>
          </w:p>
        </w:tc>
        <w:tc>
          <w:tcPr>
            <w:tcW w:w="1418" w:type="dxa"/>
            <w:noWrap/>
            <w:vAlign w:val="center"/>
            <w:hideMark/>
          </w:tcPr>
          <w:p w14:paraId="1A9D3C2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182</w:t>
            </w:r>
          </w:p>
        </w:tc>
        <w:tc>
          <w:tcPr>
            <w:tcW w:w="1414" w:type="dxa"/>
            <w:noWrap/>
            <w:vAlign w:val="center"/>
            <w:hideMark/>
          </w:tcPr>
          <w:p w14:paraId="1D19999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w:t>
            </w:r>
          </w:p>
        </w:tc>
      </w:tr>
      <w:tr w:rsidR="00407705" w:rsidRPr="00105FFC" w14:paraId="00E5DA59"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3962E36"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3778C5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1C4F73F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86,831</w:t>
            </w:r>
          </w:p>
        </w:tc>
        <w:tc>
          <w:tcPr>
            <w:tcW w:w="1440" w:type="dxa"/>
            <w:noWrap/>
            <w:vAlign w:val="center"/>
            <w:hideMark/>
          </w:tcPr>
          <w:p w14:paraId="2F21AC5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26,041</w:t>
            </w:r>
          </w:p>
        </w:tc>
        <w:tc>
          <w:tcPr>
            <w:tcW w:w="1436" w:type="dxa"/>
            <w:noWrap/>
            <w:vAlign w:val="center"/>
            <w:hideMark/>
          </w:tcPr>
          <w:p w14:paraId="39DC7F7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30.0%</w:t>
            </w:r>
          </w:p>
        </w:tc>
        <w:tc>
          <w:tcPr>
            <w:tcW w:w="1390" w:type="dxa"/>
            <w:noWrap/>
            <w:vAlign w:val="center"/>
            <w:hideMark/>
          </w:tcPr>
          <w:p w14:paraId="5B138CA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29,379</w:t>
            </w:r>
          </w:p>
        </w:tc>
        <w:tc>
          <w:tcPr>
            <w:tcW w:w="1387" w:type="dxa"/>
            <w:noWrap/>
            <w:vAlign w:val="center"/>
            <w:hideMark/>
          </w:tcPr>
          <w:p w14:paraId="18074C3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33.8%</w:t>
            </w:r>
          </w:p>
        </w:tc>
        <w:tc>
          <w:tcPr>
            <w:tcW w:w="1418" w:type="dxa"/>
            <w:noWrap/>
            <w:vAlign w:val="center"/>
            <w:hideMark/>
          </w:tcPr>
          <w:p w14:paraId="6B02BAC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9,557</w:t>
            </w:r>
          </w:p>
        </w:tc>
        <w:tc>
          <w:tcPr>
            <w:tcW w:w="1414" w:type="dxa"/>
            <w:noWrap/>
            <w:vAlign w:val="center"/>
            <w:hideMark/>
          </w:tcPr>
          <w:p w14:paraId="62C37ED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11.0%</w:t>
            </w:r>
          </w:p>
        </w:tc>
      </w:tr>
      <w:tr w:rsidR="00407705" w:rsidRPr="00105FFC" w14:paraId="75A0ECCC"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0CF62C73"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Greater Fresno</w:t>
            </w:r>
          </w:p>
        </w:tc>
        <w:tc>
          <w:tcPr>
            <w:tcW w:w="1260" w:type="dxa"/>
            <w:noWrap/>
            <w:vAlign w:val="center"/>
            <w:hideMark/>
          </w:tcPr>
          <w:p w14:paraId="5B14006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295F955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44,102</w:t>
            </w:r>
          </w:p>
        </w:tc>
        <w:tc>
          <w:tcPr>
            <w:tcW w:w="1440" w:type="dxa"/>
            <w:noWrap/>
            <w:vAlign w:val="center"/>
            <w:hideMark/>
          </w:tcPr>
          <w:p w14:paraId="52F0213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7,470</w:t>
            </w:r>
          </w:p>
        </w:tc>
        <w:tc>
          <w:tcPr>
            <w:tcW w:w="1436" w:type="dxa"/>
            <w:noWrap/>
            <w:vAlign w:val="center"/>
            <w:hideMark/>
          </w:tcPr>
          <w:p w14:paraId="6136035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16.9%</w:t>
            </w:r>
          </w:p>
        </w:tc>
        <w:tc>
          <w:tcPr>
            <w:tcW w:w="1390" w:type="dxa"/>
            <w:noWrap/>
            <w:vAlign w:val="center"/>
            <w:hideMark/>
          </w:tcPr>
          <w:p w14:paraId="702AA5F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8,978</w:t>
            </w:r>
          </w:p>
        </w:tc>
        <w:tc>
          <w:tcPr>
            <w:tcW w:w="1387" w:type="dxa"/>
            <w:noWrap/>
            <w:vAlign w:val="center"/>
            <w:hideMark/>
          </w:tcPr>
          <w:p w14:paraId="2F2F2AD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20.4%</w:t>
            </w:r>
          </w:p>
        </w:tc>
        <w:tc>
          <w:tcPr>
            <w:tcW w:w="1418" w:type="dxa"/>
            <w:noWrap/>
            <w:vAlign w:val="center"/>
            <w:hideMark/>
          </w:tcPr>
          <w:p w14:paraId="3F8B2FA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2,099</w:t>
            </w:r>
          </w:p>
        </w:tc>
        <w:tc>
          <w:tcPr>
            <w:tcW w:w="1414" w:type="dxa"/>
            <w:noWrap/>
            <w:vAlign w:val="center"/>
            <w:hideMark/>
          </w:tcPr>
          <w:p w14:paraId="59B0FB2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w:t>
            </w:r>
          </w:p>
        </w:tc>
      </w:tr>
      <w:tr w:rsidR="00407705" w:rsidRPr="00105FFC" w14:paraId="2BD8169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9A94D30"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F0306A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2223E55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27,618</w:t>
            </w:r>
          </w:p>
        </w:tc>
        <w:tc>
          <w:tcPr>
            <w:tcW w:w="1440" w:type="dxa"/>
            <w:noWrap/>
            <w:vAlign w:val="center"/>
            <w:hideMark/>
          </w:tcPr>
          <w:p w14:paraId="5621901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13,134</w:t>
            </w:r>
          </w:p>
        </w:tc>
        <w:tc>
          <w:tcPr>
            <w:tcW w:w="1436" w:type="dxa"/>
            <w:noWrap/>
            <w:vAlign w:val="center"/>
            <w:hideMark/>
          </w:tcPr>
          <w:p w14:paraId="60A2CF7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47.6%</w:t>
            </w:r>
          </w:p>
        </w:tc>
        <w:tc>
          <w:tcPr>
            <w:tcW w:w="1390" w:type="dxa"/>
            <w:noWrap/>
            <w:vAlign w:val="center"/>
            <w:hideMark/>
          </w:tcPr>
          <w:p w14:paraId="60FE497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14,265</w:t>
            </w:r>
          </w:p>
        </w:tc>
        <w:tc>
          <w:tcPr>
            <w:tcW w:w="1387" w:type="dxa"/>
            <w:noWrap/>
            <w:vAlign w:val="center"/>
            <w:hideMark/>
          </w:tcPr>
          <w:p w14:paraId="16556BB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51.7%</w:t>
            </w:r>
          </w:p>
        </w:tc>
        <w:tc>
          <w:tcPr>
            <w:tcW w:w="1418" w:type="dxa"/>
            <w:noWrap/>
            <w:vAlign w:val="center"/>
            <w:hideMark/>
          </w:tcPr>
          <w:p w14:paraId="6613281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2,326</w:t>
            </w:r>
          </w:p>
        </w:tc>
        <w:tc>
          <w:tcPr>
            <w:tcW w:w="1414" w:type="dxa"/>
            <w:noWrap/>
            <w:vAlign w:val="center"/>
            <w:hideMark/>
          </w:tcPr>
          <w:p w14:paraId="07F70DC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8.4%</w:t>
            </w:r>
          </w:p>
        </w:tc>
      </w:tr>
      <w:tr w:rsidR="00407705" w:rsidRPr="00105FFC" w14:paraId="20628D38"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BE8228F"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382912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330770C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42,337</w:t>
            </w:r>
          </w:p>
        </w:tc>
        <w:tc>
          <w:tcPr>
            <w:tcW w:w="1440" w:type="dxa"/>
            <w:noWrap/>
            <w:vAlign w:val="center"/>
            <w:hideMark/>
          </w:tcPr>
          <w:p w14:paraId="3F7DE2C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22,024</w:t>
            </w:r>
          </w:p>
        </w:tc>
        <w:tc>
          <w:tcPr>
            <w:tcW w:w="1436" w:type="dxa"/>
            <w:noWrap/>
            <w:vAlign w:val="center"/>
            <w:hideMark/>
          </w:tcPr>
          <w:p w14:paraId="5B70A78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52.0%</w:t>
            </w:r>
          </w:p>
        </w:tc>
        <w:tc>
          <w:tcPr>
            <w:tcW w:w="1390" w:type="dxa"/>
            <w:noWrap/>
            <w:vAlign w:val="center"/>
            <w:hideMark/>
          </w:tcPr>
          <w:p w14:paraId="0BD7E6B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23,149</w:t>
            </w:r>
          </w:p>
        </w:tc>
        <w:tc>
          <w:tcPr>
            <w:tcW w:w="1387" w:type="dxa"/>
            <w:noWrap/>
            <w:vAlign w:val="center"/>
            <w:hideMark/>
          </w:tcPr>
          <w:p w14:paraId="74BA0FC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54.7%</w:t>
            </w:r>
          </w:p>
        </w:tc>
        <w:tc>
          <w:tcPr>
            <w:tcW w:w="1418" w:type="dxa"/>
            <w:noWrap/>
            <w:vAlign w:val="center"/>
            <w:hideMark/>
          </w:tcPr>
          <w:p w14:paraId="20FC52A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3,686</w:t>
            </w:r>
          </w:p>
        </w:tc>
        <w:tc>
          <w:tcPr>
            <w:tcW w:w="1414" w:type="dxa"/>
            <w:noWrap/>
            <w:vAlign w:val="center"/>
            <w:hideMark/>
          </w:tcPr>
          <w:p w14:paraId="0AFCD42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8.7%</w:t>
            </w:r>
          </w:p>
        </w:tc>
      </w:tr>
      <w:tr w:rsidR="00407705" w:rsidRPr="00105FFC" w14:paraId="047BB165"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FD05CA8"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77F858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7232667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36,964</w:t>
            </w:r>
          </w:p>
        </w:tc>
        <w:tc>
          <w:tcPr>
            <w:tcW w:w="1440" w:type="dxa"/>
            <w:noWrap/>
            <w:vAlign w:val="center"/>
            <w:hideMark/>
          </w:tcPr>
          <w:p w14:paraId="12925FD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18,216</w:t>
            </w:r>
          </w:p>
        </w:tc>
        <w:tc>
          <w:tcPr>
            <w:tcW w:w="1436" w:type="dxa"/>
            <w:noWrap/>
            <w:vAlign w:val="center"/>
            <w:hideMark/>
          </w:tcPr>
          <w:p w14:paraId="1472946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49.3%</w:t>
            </w:r>
          </w:p>
        </w:tc>
        <w:tc>
          <w:tcPr>
            <w:tcW w:w="1390" w:type="dxa"/>
            <w:noWrap/>
            <w:vAlign w:val="center"/>
            <w:hideMark/>
          </w:tcPr>
          <w:p w14:paraId="0AB394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19,367</w:t>
            </w:r>
          </w:p>
        </w:tc>
        <w:tc>
          <w:tcPr>
            <w:tcW w:w="1387" w:type="dxa"/>
            <w:noWrap/>
            <w:vAlign w:val="center"/>
            <w:hideMark/>
          </w:tcPr>
          <w:p w14:paraId="2650DF4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52.4%</w:t>
            </w:r>
          </w:p>
        </w:tc>
        <w:tc>
          <w:tcPr>
            <w:tcW w:w="1418" w:type="dxa"/>
            <w:noWrap/>
            <w:vAlign w:val="center"/>
            <w:hideMark/>
          </w:tcPr>
          <w:p w14:paraId="07917E0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3,067</w:t>
            </w:r>
          </w:p>
        </w:tc>
        <w:tc>
          <w:tcPr>
            <w:tcW w:w="1414" w:type="dxa"/>
            <w:noWrap/>
            <w:vAlign w:val="center"/>
            <w:hideMark/>
          </w:tcPr>
          <w:p w14:paraId="739DB6D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8.3%</w:t>
            </w:r>
          </w:p>
        </w:tc>
      </w:tr>
      <w:tr w:rsidR="00407705" w:rsidRPr="00105FFC" w14:paraId="2BCBC8D4"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851232B"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BBEFA4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6894E8A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33,140</w:t>
            </w:r>
          </w:p>
        </w:tc>
        <w:tc>
          <w:tcPr>
            <w:tcW w:w="1440" w:type="dxa"/>
            <w:noWrap/>
            <w:vAlign w:val="center"/>
            <w:hideMark/>
          </w:tcPr>
          <w:p w14:paraId="33AD838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14,055</w:t>
            </w:r>
          </w:p>
        </w:tc>
        <w:tc>
          <w:tcPr>
            <w:tcW w:w="1436" w:type="dxa"/>
            <w:noWrap/>
            <w:vAlign w:val="center"/>
            <w:hideMark/>
          </w:tcPr>
          <w:p w14:paraId="229B31A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42.4%</w:t>
            </w:r>
          </w:p>
        </w:tc>
        <w:tc>
          <w:tcPr>
            <w:tcW w:w="1390" w:type="dxa"/>
            <w:noWrap/>
            <w:vAlign w:val="center"/>
            <w:hideMark/>
          </w:tcPr>
          <w:p w14:paraId="36CD81B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15,424</w:t>
            </w:r>
          </w:p>
        </w:tc>
        <w:tc>
          <w:tcPr>
            <w:tcW w:w="1387" w:type="dxa"/>
            <w:noWrap/>
            <w:vAlign w:val="center"/>
            <w:hideMark/>
          </w:tcPr>
          <w:p w14:paraId="04F5B7A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46.5%</w:t>
            </w:r>
          </w:p>
        </w:tc>
        <w:tc>
          <w:tcPr>
            <w:tcW w:w="1418" w:type="dxa"/>
            <w:noWrap/>
            <w:vAlign w:val="center"/>
            <w:hideMark/>
          </w:tcPr>
          <w:p w14:paraId="61932C4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2,351</w:t>
            </w:r>
          </w:p>
        </w:tc>
        <w:tc>
          <w:tcPr>
            <w:tcW w:w="1414" w:type="dxa"/>
            <w:noWrap/>
            <w:vAlign w:val="center"/>
            <w:hideMark/>
          </w:tcPr>
          <w:p w14:paraId="66176D5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7.1%</w:t>
            </w:r>
          </w:p>
        </w:tc>
      </w:tr>
      <w:tr w:rsidR="00407705" w:rsidRPr="00105FFC" w14:paraId="76A934B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3E43565"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4E14F5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72AE7D4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39,975</w:t>
            </w:r>
          </w:p>
        </w:tc>
        <w:tc>
          <w:tcPr>
            <w:tcW w:w="1440" w:type="dxa"/>
            <w:noWrap/>
            <w:vAlign w:val="center"/>
            <w:hideMark/>
          </w:tcPr>
          <w:p w14:paraId="2B09B6A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14,288</w:t>
            </w:r>
          </w:p>
        </w:tc>
        <w:tc>
          <w:tcPr>
            <w:tcW w:w="1436" w:type="dxa"/>
            <w:noWrap/>
            <w:vAlign w:val="center"/>
            <w:hideMark/>
          </w:tcPr>
          <w:p w14:paraId="2EB03F9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35.7%</w:t>
            </w:r>
          </w:p>
        </w:tc>
        <w:tc>
          <w:tcPr>
            <w:tcW w:w="1390" w:type="dxa"/>
            <w:noWrap/>
            <w:vAlign w:val="center"/>
            <w:hideMark/>
          </w:tcPr>
          <w:p w14:paraId="3A845C6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16,643</w:t>
            </w:r>
          </w:p>
        </w:tc>
        <w:tc>
          <w:tcPr>
            <w:tcW w:w="1387" w:type="dxa"/>
            <w:noWrap/>
            <w:vAlign w:val="center"/>
            <w:hideMark/>
          </w:tcPr>
          <w:p w14:paraId="02DA698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41.6%</w:t>
            </w:r>
          </w:p>
        </w:tc>
        <w:tc>
          <w:tcPr>
            <w:tcW w:w="1418" w:type="dxa"/>
            <w:noWrap/>
            <w:vAlign w:val="center"/>
            <w:hideMark/>
          </w:tcPr>
          <w:p w14:paraId="100F7F7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2,261</w:t>
            </w:r>
          </w:p>
        </w:tc>
        <w:tc>
          <w:tcPr>
            <w:tcW w:w="1414" w:type="dxa"/>
            <w:noWrap/>
            <w:vAlign w:val="center"/>
            <w:hideMark/>
          </w:tcPr>
          <w:p w14:paraId="3D9ACCA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w:t>
            </w:r>
          </w:p>
        </w:tc>
      </w:tr>
      <w:tr w:rsidR="00407705" w:rsidRPr="00105FFC" w14:paraId="018137A8"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45971AE"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66B087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532F7D9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13,127</w:t>
            </w:r>
          </w:p>
        </w:tc>
        <w:tc>
          <w:tcPr>
            <w:tcW w:w="1440" w:type="dxa"/>
            <w:noWrap/>
            <w:vAlign w:val="center"/>
            <w:hideMark/>
          </w:tcPr>
          <w:p w14:paraId="5FF0E51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3,059</w:t>
            </w:r>
          </w:p>
        </w:tc>
        <w:tc>
          <w:tcPr>
            <w:tcW w:w="1436" w:type="dxa"/>
            <w:noWrap/>
            <w:vAlign w:val="center"/>
            <w:hideMark/>
          </w:tcPr>
          <w:p w14:paraId="37916CC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23.3%</w:t>
            </w:r>
          </w:p>
        </w:tc>
        <w:tc>
          <w:tcPr>
            <w:tcW w:w="1390" w:type="dxa"/>
            <w:noWrap/>
            <w:vAlign w:val="center"/>
            <w:hideMark/>
          </w:tcPr>
          <w:p w14:paraId="6107352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3,817</w:t>
            </w:r>
          </w:p>
        </w:tc>
        <w:tc>
          <w:tcPr>
            <w:tcW w:w="1387" w:type="dxa"/>
            <w:noWrap/>
            <w:vAlign w:val="center"/>
            <w:hideMark/>
          </w:tcPr>
          <w:p w14:paraId="6C8F2D1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29.1%</w:t>
            </w:r>
          </w:p>
        </w:tc>
        <w:tc>
          <w:tcPr>
            <w:tcW w:w="1418" w:type="dxa"/>
            <w:noWrap/>
            <w:vAlign w:val="center"/>
            <w:hideMark/>
          </w:tcPr>
          <w:p w14:paraId="4BC1212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524</w:t>
            </w:r>
          </w:p>
        </w:tc>
        <w:tc>
          <w:tcPr>
            <w:tcW w:w="1414" w:type="dxa"/>
            <w:noWrap/>
            <w:vAlign w:val="center"/>
            <w:hideMark/>
          </w:tcPr>
          <w:p w14:paraId="4B2264C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w:t>
            </w:r>
          </w:p>
        </w:tc>
      </w:tr>
      <w:tr w:rsidR="00407705" w:rsidRPr="00105FFC" w14:paraId="23DB9992"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540EA31"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665428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65B6FDF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237,263</w:t>
            </w:r>
          </w:p>
        </w:tc>
        <w:tc>
          <w:tcPr>
            <w:tcW w:w="1440" w:type="dxa"/>
            <w:noWrap/>
            <w:vAlign w:val="center"/>
            <w:hideMark/>
          </w:tcPr>
          <w:p w14:paraId="383A491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92,246</w:t>
            </w:r>
          </w:p>
        </w:tc>
        <w:tc>
          <w:tcPr>
            <w:tcW w:w="1436" w:type="dxa"/>
            <w:noWrap/>
            <w:vAlign w:val="center"/>
            <w:hideMark/>
          </w:tcPr>
          <w:p w14:paraId="2F12FF6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38.9%</w:t>
            </w:r>
          </w:p>
        </w:tc>
        <w:tc>
          <w:tcPr>
            <w:tcW w:w="1390" w:type="dxa"/>
            <w:noWrap/>
            <w:vAlign w:val="center"/>
            <w:hideMark/>
          </w:tcPr>
          <w:p w14:paraId="06DDCD0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101,643</w:t>
            </w:r>
          </w:p>
        </w:tc>
        <w:tc>
          <w:tcPr>
            <w:tcW w:w="1387" w:type="dxa"/>
            <w:noWrap/>
            <w:vAlign w:val="center"/>
            <w:hideMark/>
          </w:tcPr>
          <w:p w14:paraId="060FEDA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42.8%</w:t>
            </w:r>
          </w:p>
        </w:tc>
        <w:tc>
          <w:tcPr>
            <w:tcW w:w="1418" w:type="dxa"/>
            <w:noWrap/>
            <w:vAlign w:val="center"/>
            <w:hideMark/>
          </w:tcPr>
          <w:p w14:paraId="2C1DAEA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16,314</w:t>
            </w:r>
          </w:p>
        </w:tc>
        <w:tc>
          <w:tcPr>
            <w:tcW w:w="1414" w:type="dxa"/>
            <w:noWrap/>
            <w:vAlign w:val="center"/>
            <w:hideMark/>
          </w:tcPr>
          <w:p w14:paraId="09C3493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6.9%</w:t>
            </w:r>
          </w:p>
        </w:tc>
      </w:tr>
      <w:tr w:rsidR="00407705" w:rsidRPr="00105FFC" w14:paraId="66F849EB"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3A9F356E"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Greater Sacramento</w:t>
            </w:r>
          </w:p>
        </w:tc>
        <w:tc>
          <w:tcPr>
            <w:tcW w:w="1260" w:type="dxa"/>
            <w:noWrap/>
            <w:vAlign w:val="center"/>
            <w:hideMark/>
          </w:tcPr>
          <w:p w14:paraId="08D18A1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69AA5E2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11,266</w:t>
            </w:r>
          </w:p>
        </w:tc>
        <w:tc>
          <w:tcPr>
            <w:tcW w:w="1440" w:type="dxa"/>
            <w:noWrap/>
            <w:vAlign w:val="center"/>
            <w:hideMark/>
          </w:tcPr>
          <w:p w14:paraId="47E9FB6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1,305</w:t>
            </w:r>
          </w:p>
        </w:tc>
        <w:tc>
          <w:tcPr>
            <w:tcW w:w="1436" w:type="dxa"/>
            <w:noWrap/>
            <w:vAlign w:val="center"/>
            <w:hideMark/>
          </w:tcPr>
          <w:p w14:paraId="765F132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11.6%</w:t>
            </w:r>
          </w:p>
        </w:tc>
        <w:tc>
          <w:tcPr>
            <w:tcW w:w="1390" w:type="dxa"/>
            <w:noWrap/>
            <w:vAlign w:val="center"/>
            <w:hideMark/>
          </w:tcPr>
          <w:p w14:paraId="386DE25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1,739</w:t>
            </w:r>
          </w:p>
        </w:tc>
        <w:tc>
          <w:tcPr>
            <w:tcW w:w="1387" w:type="dxa"/>
            <w:noWrap/>
            <w:vAlign w:val="center"/>
            <w:hideMark/>
          </w:tcPr>
          <w:p w14:paraId="6A90AEC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15.4%</w:t>
            </w:r>
          </w:p>
        </w:tc>
        <w:tc>
          <w:tcPr>
            <w:tcW w:w="1418" w:type="dxa"/>
            <w:noWrap/>
            <w:vAlign w:val="center"/>
            <w:hideMark/>
          </w:tcPr>
          <w:p w14:paraId="4B8D97E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778</w:t>
            </w:r>
          </w:p>
        </w:tc>
        <w:tc>
          <w:tcPr>
            <w:tcW w:w="1414" w:type="dxa"/>
            <w:noWrap/>
            <w:vAlign w:val="center"/>
            <w:hideMark/>
          </w:tcPr>
          <w:p w14:paraId="1208643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w:t>
            </w:r>
          </w:p>
        </w:tc>
      </w:tr>
      <w:tr w:rsidR="00407705" w:rsidRPr="00105FFC" w14:paraId="10918494"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E38BD52"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41C3E3C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1306463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6,457</w:t>
            </w:r>
          </w:p>
        </w:tc>
        <w:tc>
          <w:tcPr>
            <w:tcW w:w="1440" w:type="dxa"/>
            <w:noWrap/>
            <w:vAlign w:val="center"/>
            <w:hideMark/>
          </w:tcPr>
          <w:p w14:paraId="72BFE47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2,175</w:t>
            </w:r>
          </w:p>
        </w:tc>
        <w:tc>
          <w:tcPr>
            <w:tcW w:w="1436" w:type="dxa"/>
            <w:noWrap/>
            <w:vAlign w:val="center"/>
            <w:hideMark/>
          </w:tcPr>
          <w:p w14:paraId="46ADD16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33.7%</w:t>
            </w:r>
          </w:p>
        </w:tc>
        <w:tc>
          <w:tcPr>
            <w:tcW w:w="1390" w:type="dxa"/>
            <w:noWrap/>
            <w:vAlign w:val="center"/>
            <w:hideMark/>
          </w:tcPr>
          <w:p w14:paraId="15471A3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2,413</w:t>
            </w:r>
          </w:p>
        </w:tc>
        <w:tc>
          <w:tcPr>
            <w:tcW w:w="1387" w:type="dxa"/>
            <w:noWrap/>
            <w:vAlign w:val="center"/>
            <w:hideMark/>
          </w:tcPr>
          <w:p w14:paraId="63C6440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37.4%</w:t>
            </w:r>
          </w:p>
        </w:tc>
        <w:tc>
          <w:tcPr>
            <w:tcW w:w="1418" w:type="dxa"/>
            <w:noWrap/>
            <w:vAlign w:val="center"/>
            <w:hideMark/>
          </w:tcPr>
          <w:p w14:paraId="482C2D9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721</w:t>
            </w:r>
          </w:p>
        </w:tc>
        <w:tc>
          <w:tcPr>
            <w:tcW w:w="1414" w:type="dxa"/>
            <w:noWrap/>
            <w:vAlign w:val="center"/>
            <w:hideMark/>
          </w:tcPr>
          <w:p w14:paraId="61DDAF0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11.2%</w:t>
            </w:r>
          </w:p>
        </w:tc>
      </w:tr>
      <w:tr w:rsidR="00407705" w:rsidRPr="00105FFC" w14:paraId="788EEDEE"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997E919"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3D63AE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1C9F5D9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10,727</w:t>
            </w:r>
          </w:p>
        </w:tc>
        <w:tc>
          <w:tcPr>
            <w:tcW w:w="1440" w:type="dxa"/>
            <w:noWrap/>
            <w:vAlign w:val="center"/>
            <w:hideMark/>
          </w:tcPr>
          <w:p w14:paraId="28D5DB8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4,090</w:t>
            </w:r>
          </w:p>
        </w:tc>
        <w:tc>
          <w:tcPr>
            <w:tcW w:w="1436" w:type="dxa"/>
            <w:noWrap/>
            <w:vAlign w:val="center"/>
            <w:hideMark/>
          </w:tcPr>
          <w:p w14:paraId="2F54491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38.1%</w:t>
            </w:r>
          </w:p>
        </w:tc>
        <w:tc>
          <w:tcPr>
            <w:tcW w:w="1390" w:type="dxa"/>
            <w:noWrap/>
            <w:vAlign w:val="center"/>
            <w:hideMark/>
          </w:tcPr>
          <w:p w14:paraId="4F85299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4,347</w:t>
            </w:r>
          </w:p>
        </w:tc>
        <w:tc>
          <w:tcPr>
            <w:tcW w:w="1387" w:type="dxa"/>
            <w:noWrap/>
            <w:vAlign w:val="center"/>
            <w:hideMark/>
          </w:tcPr>
          <w:p w14:paraId="429A243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40.5%</w:t>
            </w:r>
          </w:p>
        </w:tc>
        <w:tc>
          <w:tcPr>
            <w:tcW w:w="1418" w:type="dxa"/>
            <w:noWrap/>
            <w:vAlign w:val="center"/>
            <w:hideMark/>
          </w:tcPr>
          <w:p w14:paraId="2E6CCE1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1,176</w:t>
            </w:r>
          </w:p>
        </w:tc>
        <w:tc>
          <w:tcPr>
            <w:tcW w:w="1414" w:type="dxa"/>
            <w:noWrap/>
            <w:vAlign w:val="center"/>
            <w:hideMark/>
          </w:tcPr>
          <w:p w14:paraId="1F2C10D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11.0%</w:t>
            </w:r>
          </w:p>
        </w:tc>
      </w:tr>
      <w:tr w:rsidR="00407705" w:rsidRPr="00105FFC" w14:paraId="154213D2"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E4ABDE5"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463CC8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73AA958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10,104</w:t>
            </w:r>
          </w:p>
        </w:tc>
        <w:tc>
          <w:tcPr>
            <w:tcW w:w="1440" w:type="dxa"/>
            <w:noWrap/>
            <w:vAlign w:val="center"/>
            <w:hideMark/>
          </w:tcPr>
          <w:p w14:paraId="7236921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3,544</w:t>
            </w:r>
          </w:p>
        </w:tc>
        <w:tc>
          <w:tcPr>
            <w:tcW w:w="1436" w:type="dxa"/>
            <w:noWrap/>
            <w:vAlign w:val="center"/>
            <w:hideMark/>
          </w:tcPr>
          <w:p w14:paraId="328F4B8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35.1%</w:t>
            </w:r>
          </w:p>
        </w:tc>
        <w:tc>
          <w:tcPr>
            <w:tcW w:w="1390" w:type="dxa"/>
            <w:noWrap/>
            <w:vAlign w:val="center"/>
            <w:hideMark/>
          </w:tcPr>
          <w:p w14:paraId="3E52604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3,787</w:t>
            </w:r>
          </w:p>
        </w:tc>
        <w:tc>
          <w:tcPr>
            <w:tcW w:w="1387" w:type="dxa"/>
            <w:noWrap/>
            <w:vAlign w:val="center"/>
            <w:hideMark/>
          </w:tcPr>
          <w:p w14:paraId="7944478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37.5%</w:t>
            </w:r>
          </w:p>
        </w:tc>
        <w:tc>
          <w:tcPr>
            <w:tcW w:w="1418" w:type="dxa"/>
            <w:noWrap/>
            <w:vAlign w:val="center"/>
            <w:hideMark/>
          </w:tcPr>
          <w:p w14:paraId="4B78E7A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1,034</w:t>
            </w:r>
          </w:p>
        </w:tc>
        <w:tc>
          <w:tcPr>
            <w:tcW w:w="1414" w:type="dxa"/>
            <w:noWrap/>
            <w:vAlign w:val="center"/>
            <w:hideMark/>
          </w:tcPr>
          <w:p w14:paraId="785CA56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w:t>
            </w:r>
          </w:p>
        </w:tc>
      </w:tr>
      <w:tr w:rsidR="00407705" w:rsidRPr="00105FFC" w14:paraId="5FD23359"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22FF2A25"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200928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5B020AA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9,494</w:t>
            </w:r>
          </w:p>
        </w:tc>
        <w:tc>
          <w:tcPr>
            <w:tcW w:w="1440" w:type="dxa"/>
            <w:noWrap/>
            <w:vAlign w:val="center"/>
            <w:hideMark/>
          </w:tcPr>
          <w:p w14:paraId="785F78B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2,950</w:t>
            </w:r>
          </w:p>
        </w:tc>
        <w:tc>
          <w:tcPr>
            <w:tcW w:w="1436" w:type="dxa"/>
            <w:noWrap/>
            <w:vAlign w:val="center"/>
            <w:hideMark/>
          </w:tcPr>
          <w:p w14:paraId="01A5F7D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31.1%</w:t>
            </w:r>
          </w:p>
        </w:tc>
        <w:tc>
          <w:tcPr>
            <w:tcW w:w="1390" w:type="dxa"/>
            <w:noWrap/>
            <w:vAlign w:val="center"/>
            <w:hideMark/>
          </w:tcPr>
          <w:p w14:paraId="5721CF5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3,220</w:t>
            </w:r>
          </w:p>
        </w:tc>
        <w:tc>
          <w:tcPr>
            <w:tcW w:w="1387" w:type="dxa"/>
            <w:noWrap/>
            <w:vAlign w:val="center"/>
            <w:hideMark/>
          </w:tcPr>
          <w:p w14:paraId="471C2D7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33.9%</w:t>
            </w:r>
          </w:p>
        </w:tc>
        <w:tc>
          <w:tcPr>
            <w:tcW w:w="1418" w:type="dxa"/>
            <w:noWrap/>
            <w:vAlign w:val="center"/>
            <w:hideMark/>
          </w:tcPr>
          <w:p w14:paraId="1F0868D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782</w:t>
            </w:r>
          </w:p>
        </w:tc>
        <w:tc>
          <w:tcPr>
            <w:tcW w:w="1414" w:type="dxa"/>
            <w:noWrap/>
            <w:vAlign w:val="center"/>
            <w:hideMark/>
          </w:tcPr>
          <w:p w14:paraId="20AB1F0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8.2%</w:t>
            </w:r>
          </w:p>
        </w:tc>
      </w:tr>
      <w:tr w:rsidR="00407705" w:rsidRPr="00105FFC" w14:paraId="24FB87ED"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E08B513"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4F17684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5008457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12,089</w:t>
            </w:r>
          </w:p>
        </w:tc>
        <w:tc>
          <w:tcPr>
            <w:tcW w:w="1440" w:type="dxa"/>
            <w:noWrap/>
            <w:vAlign w:val="center"/>
            <w:hideMark/>
          </w:tcPr>
          <w:p w14:paraId="685E69C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3,315</w:t>
            </w:r>
          </w:p>
        </w:tc>
        <w:tc>
          <w:tcPr>
            <w:tcW w:w="1436" w:type="dxa"/>
            <w:noWrap/>
            <w:vAlign w:val="center"/>
            <w:hideMark/>
          </w:tcPr>
          <w:p w14:paraId="090CFF4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27.4%</w:t>
            </w:r>
          </w:p>
        </w:tc>
        <w:tc>
          <w:tcPr>
            <w:tcW w:w="1390" w:type="dxa"/>
            <w:noWrap/>
            <w:vAlign w:val="center"/>
            <w:hideMark/>
          </w:tcPr>
          <w:p w14:paraId="52AA875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3,873</w:t>
            </w:r>
          </w:p>
        </w:tc>
        <w:tc>
          <w:tcPr>
            <w:tcW w:w="1387" w:type="dxa"/>
            <w:noWrap/>
            <w:vAlign w:val="center"/>
            <w:hideMark/>
          </w:tcPr>
          <w:p w14:paraId="7317A73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32.0%</w:t>
            </w:r>
          </w:p>
        </w:tc>
        <w:tc>
          <w:tcPr>
            <w:tcW w:w="1418" w:type="dxa"/>
            <w:noWrap/>
            <w:vAlign w:val="center"/>
            <w:hideMark/>
          </w:tcPr>
          <w:p w14:paraId="6D76DE2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766</w:t>
            </w:r>
          </w:p>
        </w:tc>
        <w:tc>
          <w:tcPr>
            <w:tcW w:w="1414" w:type="dxa"/>
            <w:noWrap/>
            <w:vAlign w:val="center"/>
            <w:hideMark/>
          </w:tcPr>
          <w:p w14:paraId="0435F4C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w:t>
            </w:r>
          </w:p>
        </w:tc>
      </w:tr>
      <w:tr w:rsidR="00407705" w:rsidRPr="00105FFC" w14:paraId="4FB11D1C"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09A5395"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B8555B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65363E7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4,295</w:t>
            </w:r>
          </w:p>
        </w:tc>
        <w:tc>
          <w:tcPr>
            <w:tcW w:w="1440" w:type="dxa"/>
            <w:noWrap/>
            <w:vAlign w:val="center"/>
            <w:hideMark/>
          </w:tcPr>
          <w:p w14:paraId="6D077E7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674</w:t>
            </w:r>
          </w:p>
        </w:tc>
        <w:tc>
          <w:tcPr>
            <w:tcW w:w="1436" w:type="dxa"/>
            <w:noWrap/>
            <w:vAlign w:val="center"/>
            <w:hideMark/>
          </w:tcPr>
          <w:p w14:paraId="538CC67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15.7%</w:t>
            </w:r>
          </w:p>
        </w:tc>
        <w:tc>
          <w:tcPr>
            <w:tcW w:w="1390" w:type="dxa"/>
            <w:noWrap/>
            <w:vAlign w:val="center"/>
            <w:hideMark/>
          </w:tcPr>
          <w:p w14:paraId="5AA6DF0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920</w:t>
            </w:r>
          </w:p>
        </w:tc>
        <w:tc>
          <w:tcPr>
            <w:tcW w:w="1387" w:type="dxa"/>
            <w:noWrap/>
            <w:vAlign w:val="center"/>
            <w:hideMark/>
          </w:tcPr>
          <w:p w14:paraId="4EC61B6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21.4%</w:t>
            </w:r>
          </w:p>
        </w:tc>
        <w:tc>
          <w:tcPr>
            <w:tcW w:w="1418" w:type="dxa"/>
            <w:noWrap/>
            <w:vAlign w:val="center"/>
            <w:hideMark/>
          </w:tcPr>
          <w:p w14:paraId="211629C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w:t>
            </w:r>
          </w:p>
        </w:tc>
        <w:tc>
          <w:tcPr>
            <w:tcW w:w="1414" w:type="dxa"/>
            <w:noWrap/>
            <w:vAlign w:val="center"/>
            <w:hideMark/>
          </w:tcPr>
          <w:p w14:paraId="6A4E0F6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w:t>
            </w:r>
          </w:p>
        </w:tc>
      </w:tr>
      <w:tr w:rsidR="00407705" w:rsidRPr="00105FFC" w14:paraId="7965AED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8B69456"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6F6586E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24F60A3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64,432</w:t>
            </w:r>
          </w:p>
        </w:tc>
        <w:tc>
          <w:tcPr>
            <w:tcW w:w="1440" w:type="dxa"/>
            <w:noWrap/>
            <w:vAlign w:val="center"/>
            <w:hideMark/>
          </w:tcPr>
          <w:p w14:paraId="0DF2AAD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18,053</w:t>
            </w:r>
          </w:p>
        </w:tc>
        <w:tc>
          <w:tcPr>
            <w:tcW w:w="1436" w:type="dxa"/>
            <w:noWrap/>
            <w:vAlign w:val="center"/>
            <w:hideMark/>
          </w:tcPr>
          <w:p w14:paraId="319098D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28.0%</w:t>
            </w:r>
          </w:p>
        </w:tc>
        <w:tc>
          <w:tcPr>
            <w:tcW w:w="1390" w:type="dxa"/>
            <w:noWrap/>
            <w:vAlign w:val="center"/>
            <w:hideMark/>
          </w:tcPr>
          <w:p w14:paraId="1343C2A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20,299</w:t>
            </w:r>
          </w:p>
        </w:tc>
        <w:tc>
          <w:tcPr>
            <w:tcW w:w="1387" w:type="dxa"/>
            <w:noWrap/>
            <w:vAlign w:val="center"/>
            <w:hideMark/>
          </w:tcPr>
          <w:p w14:paraId="298E442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31.5%</w:t>
            </w:r>
          </w:p>
        </w:tc>
        <w:tc>
          <w:tcPr>
            <w:tcW w:w="1418" w:type="dxa"/>
            <w:noWrap/>
            <w:vAlign w:val="center"/>
            <w:hideMark/>
          </w:tcPr>
          <w:p w14:paraId="51D93F5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5,450</w:t>
            </w:r>
          </w:p>
        </w:tc>
        <w:tc>
          <w:tcPr>
            <w:tcW w:w="1414" w:type="dxa"/>
            <w:noWrap/>
            <w:vAlign w:val="center"/>
            <w:hideMark/>
          </w:tcPr>
          <w:p w14:paraId="165FEF2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8.5%</w:t>
            </w:r>
          </w:p>
        </w:tc>
      </w:tr>
      <w:tr w:rsidR="00407705" w:rsidRPr="00105FFC" w14:paraId="320A936A"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4CF22103"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Inland Desert</w:t>
            </w:r>
          </w:p>
        </w:tc>
        <w:tc>
          <w:tcPr>
            <w:tcW w:w="1260" w:type="dxa"/>
            <w:noWrap/>
            <w:vAlign w:val="center"/>
            <w:hideMark/>
          </w:tcPr>
          <w:p w14:paraId="7FE949E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33C6012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1,699</w:t>
            </w:r>
          </w:p>
        </w:tc>
        <w:tc>
          <w:tcPr>
            <w:tcW w:w="1440" w:type="dxa"/>
            <w:noWrap/>
            <w:vAlign w:val="center"/>
            <w:hideMark/>
          </w:tcPr>
          <w:p w14:paraId="4E264EE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154</w:t>
            </w:r>
          </w:p>
        </w:tc>
        <w:tc>
          <w:tcPr>
            <w:tcW w:w="1436" w:type="dxa"/>
            <w:noWrap/>
            <w:vAlign w:val="center"/>
            <w:hideMark/>
          </w:tcPr>
          <w:p w14:paraId="2EAD5CF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9.1%</w:t>
            </w:r>
          </w:p>
        </w:tc>
        <w:tc>
          <w:tcPr>
            <w:tcW w:w="1390" w:type="dxa"/>
            <w:noWrap/>
            <w:vAlign w:val="center"/>
            <w:hideMark/>
          </w:tcPr>
          <w:p w14:paraId="4BD53FC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171</w:t>
            </w:r>
          </w:p>
        </w:tc>
        <w:tc>
          <w:tcPr>
            <w:tcW w:w="1387" w:type="dxa"/>
            <w:noWrap/>
            <w:vAlign w:val="center"/>
            <w:hideMark/>
          </w:tcPr>
          <w:p w14:paraId="4EFCCEB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10.1%</w:t>
            </w:r>
          </w:p>
        </w:tc>
        <w:tc>
          <w:tcPr>
            <w:tcW w:w="1418" w:type="dxa"/>
            <w:noWrap/>
            <w:vAlign w:val="center"/>
            <w:hideMark/>
          </w:tcPr>
          <w:p w14:paraId="53944F3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236</w:t>
            </w:r>
          </w:p>
        </w:tc>
        <w:tc>
          <w:tcPr>
            <w:tcW w:w="1414" w:type="dxa"/>
            <w:noWrap/>
            <w:vAlign w:val="center"/>
            <w:hideMark/>
          </w:tcPr>
          <w:p w14:paraId="7BB035B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13.9%</w:t>
            </w:r>
          </w:p>
        </w:tc>
      </w:tr>
      <w:tr w:rsidR="00407705" w:rsidRPr="00105FFC" w14:paraId="67492E12"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AC617CE"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C8C32E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298A4F9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1,070</w:t>
            </w:r>
          </w:p>
        </w:tc>
        <w:tc>
          <w:tcPr>
            <w:tcW w:w="1440" w:type="dxa"/>
            <w:noWrap/>
            <w:vAlign w:val="center"/>
            <w:hideMark/>
          </w:tcPr>
          <w:p w14:paraId="3A1C353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270</w:t>
            </w:r>
          </w:p>
        </w:tc>
        <w:tc>
          <w:tcPr>
            <w:tcW w:w="1436" w:type="dxa"/>
            <w:noWrap/>
            <w:vAlign w:val="center"/>
            <w:hideMark/>
          </w:tcPr>
          <w:p w14:paraId="67314A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25.2%</w:t>
            </w:r>
          </w:p>
        </w:tc>
        <w:tc>
          <w:tcPr>
            <w:tcW w:w="1390" w:type="dxa"/>
            <w:noWrap/>
            <w:vAlign w:val="center"/>
            <w:hideMark/>
          </w:tcPr>
          <w:p w14:paraId="690034B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289</w:t>
            </w:r>
          </w:p>
        </w:tc>
        <w:tc>
          <w:tcPr>
            <w:tcW w:w="1387" w:type="dxa"/>
            <w:noWrap/>
            <w:vAlign w:val="center"/>
            <w:hideMark/>
          </w:tcPr>
          <w:p w14:paraId="47F2845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27.0%</w:t>
            </w:r>
          </w:p>
        </w:tc>
        <w:tc>
          <w:tcPr>
            <w:tcW w:w="1418" w:type="dxa"/>
            <w:noWrap/>
            <w:vAlign w:val="center"/>
            <w:hideMark/>
          </w:tcPr>
          <w:p w14:paraId="3DCC5BE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290</w:t>
            </w:r>
          </w:p>
        </w:tc>
        <w:tc>
          <w:tcPr>
            <w:tcW w:w="1414" w:type="dxa"/>
            <w:noWrap/>
            <w:vAlign w:val="center"/>
            <w:hideMark/>
          </w:tcPr>
          <w:p w14:paraId="63EF1D7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27.1%</w:t>
            </w:r>
          </w:p>
        </w:tc>
      </w:tr>
      <w:tr w:rsidR="00407705" w:rsidRPr="00105FFC" w14:paraId="0700C958"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D796750"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57D752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2904343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1,622</w:t>
            </w:r>
          </w:p>
        </w:tc>
        <w:tc>
          <w:tcPr>
            <w:tcW w:w="1440" w:type="dxa"/>
            <w:noWrap/>
            <w:vAlign w:val="center"/>
            <w:hideMark/>
          </w:tcPr>
          <w:p w14:paraId="2153A35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429</w:t>
            </w:r>
          </w:p>
        </w:tc>
        <w:tc>
          <w:tcPr>
            <w:tcW w:w="1436" w:type="dxa"/>
            <w:noWrap/>
            <w:vAlign w:val="center"/>
            <w:hideMark/>
          </w:tcPr>
          <w:p w14:paraId="20ADB1B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26.4%</w:t>
            </w:r>
          </w:p>
        </w:tc>
        <w:tc>
          <w:tcPr>
            <w:tcW w:w="1390" w:type="dxa"/>
            <w:noWrap/>
            <w:vAlign w:val="center"/>
            <w:hideMark/>
          </w:tcPr>
          <w:p w14:paraId="4286CDE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452</w:t>
            </w:r>
          </w:p>
        </w:tc>
        <w:tc>
          <w:tcPr>
            <w:tcW w:w="1387" w:type="dxa"/>
            <w:noWrap/>
            <w:vAlign w:val="center"/>
            <w:hideMark/>
          </w:tcPr>
          <w:p w14:paraId="4895373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27.9%</w:t>
            </w:r>
          </w:p>
        </w:tc>
        <w:tc>
          <w:tcPr>
            <w:tcW w:w="1418" w:type="dxa"/>
            <w:noWrap/>
            <w:vAlign w:val="center"/>
            <w:hideMark/>
          </w:tcPr>
          <w:p w14:paraId="1F74D45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465</w:t>
            </w:r>
          </w:p>
        </w:tc>
        <w:tc>
          <w:tcPr>
            <w:tcW w:w="1414" w:type="dxa"/>
            <w:noWrap/>
            <w:vAlign w:val="center"/>
            <w:hideMark/>
          </w:tcPr>
          <w:p w14:paraId="6003A5E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28.7%</w:t>
            </w:r>
          </w:p>
        </w:tc>
      </w:tr>
      <w:tr w:rsidR="00407705" w:rsidRPr="00105FFC" w14:paraId="5042DB16"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438E573"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5C7344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562CACC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1,514</w:t>
            </w:r>
          </w:p>
        </w:tc>
        <w:tc>
          <w:tcPr>
            <w:tcW w:w="1440" w:type="dxa"/>
            <w:noWrap/>
            <w:vAlign w:val="center"/>
            <w:hideMark/>
          </w:tcPr>
          <w:p w14:paraId="0AEC4DB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375</w:t>
            </w:r>
          </w:p>
        </w:tc>
        <w:tc>
          <w:tcPr>
            <w:tcW w:w="1436" w:type="dxa"/>
            <w:noWrap/>
            <w:vAlign w:val="center"/>
            <w:hideMark/>
          </w:tcPr>
          <w:p w14:paraId="266E4B0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24.8%</w:t>
            </w:r>
          </w:p>
        </w:tc>
        <w:tc>
          <w:tcPr>
            <w:tcW w:w="1390" w:type="dxa"/>
            <w:noWrap/>
            <w:vAlign w:val="center"/>
            <w:hideMark/>
          </w:tcPr>
          <w:p w14:paraId="70406A4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399</w:t>
            </w:r>
          </w:p>
        </w:tc>
        <w:tc>
          <w:tcPr>
            <w:tcW w:w="1387" w:type="dxa"/>
            <w:noWrap/>
            <w:vAlign w:val="center"/>
            <w:hideMark/>
          </w:tcPr>
          <w:p w14:paraId="723A553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26.4%</w:t>
            </w:r>
          </w:p>
        </w:tc>
        <w:tc>
          <w:tcPr>
            <w:tcW w:w="1418" w:type="dxa"/>
            <w:noWrap/>
            <w:vAlign w:val="center"/>
            <w:hideMark/>
          </w:tcPr>
          <w:p w14:paraId="42E367E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378</w:t>
            </w:r>
          </w:p>
        </w:tc>
        <w:tc>
          <w:tcPr>
            <w:tcW w:w="1414" w:type="dxa"/>
            <w:noWrap/>
            <w:vAlign w:val="center"/>
            <w:hideMark/>
          </w:tcPr>
          <w:p w14:paraId="29161C2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25.0%</w:t>
            </w:r>
          </w:p>
        </w:tc>
      </w:tr>
      <w:tr w:rsidR="00407705" w:rsidRPr="00105FFC" w14:paraId="0DCD67BC"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2FDBA972"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90034B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37F2E9B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1,355</w:t>
            </w:r>
          </w:p>
        </w:tc>
        <w:tc>
          <w:tcPr>
            <w:tcW w:w="1440" w:type="dxa"/>
            <w:noWrap/>
            <w:vAlign w:val="center"/>
            <w:hideMark/>
          </w:tcPr>
          <w:p w14:paraId="7CFD8CF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263</w:t>
            </w:r>
          </w:p>
        </w:tc>
        <w:tc>
          <w:tcPr>
            <w:tcW w:w="1436" w:type="dxa"/>
            <w:noWrap/>
            <w:vAlign w:val="center"/>
            <w:hideMark/>
          </w:tcPr>
          <w:p w14:paraId="2614C38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19.4%</w:t>
            </w:r>
          </w:p>
        </w:tc>
        <w:tc>
          <w:tcPr>
            <w:tcW w:w="1390" w:type="dxa"/>
            <w:noWrap/>
            <w:vAlign w:val="center"/>
            <w:hideMark/>
          </w:tcPr>
          <w:p w14:paraId="059D107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308</w:t>
            </w:r>
          </w:p>
        </w:tc>
        <w:tc>
          <w:tcPr>
            <w:tcW w:w="1387" w:type="dxa"/>
            <w:noWrap/>
            <w:vAlign w:val="center"/>
            <w:hideMark/>
          </w:tcPr>
          <w:p w14:paraId="758E897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22.7%</w:t>
            </w:r>
          </w:p>
        </w:tc>
        <w:tc>
          <w:tcPr>
            <w:tcW w:w="1418" w:type="dxa"/>
            <w:noWrap/>
            <w:vAlign w:val="center"/>
            <w:hideMark/>
          </w:tcPr>
          <w:p w14:paraId="783B7B7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282</w:t>
            </w:r>
          </w:p>
        </w:tc>
        <w:tc>
          <w:tcPr>
            <w:tcW w:w="1414" w:type="dxa"/>
            <w:noWrap/>
            <w:vAlign w:val="center"/>
            <w:hideMark/>
          </w:tcPr>
          <w:p w14:paraId="1CFC156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20.8%</w:t>
            </w:r>
          </w:p>
        </w:tc>
      </w:tr>
      <w:tr w:rsidR="00407705" w:rsidRPr="00105FFC" w14:paraId="01403D16"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C1158F0"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608DA72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35529DA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1,733</w:t>
            </w:r>
          </w:p>
        </w:tc>
        <w:tc>
          <w:tcPr>
            <w:tcW w:w="1440" w:type="dxa"/>
            <w:noWrap/>
            <w:vAlign w:val="center"/>
            <w:hideMark/>
          </w:tcPr>
          <w:p w14:paraId="3D7797C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316</w:t>
            </w:r>
          </w:p>
        </w:tc>
        <w:tc>
          <w:tcPr>
            <w:tcW w:w="1436" w:type="dxa"/>
            <w:noWrap/>
            <w:vAlign w:val="center"/>
            <w:hideMark/>
          </w:tcPr>
          <w:p w14:paraId="3007051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18.2%</w:t>
            </w:r>
          </w:p>
        </w:tc>
        <w:tc>
          <w:tcPr>
            <w:tcW w:w="1390" w:type="dxa"/>
            <w:noWrap/>
            <w:vAlign w:val="center"/>
            <w:hideMark/>
          </w:tcPr>
          <w:p w14:paraId="185AFBA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375</w:t>
            </w:r>
          </w:p>
        </w:tc>
        <w:tc>
          <w:tcPr>
            <w:tcW w:w="1387" w:type="dxa"/>
            <w:noWrap/>
            <w:vAlign w:val="center"/>
            <w:hideMark/>
          </w:tcPr>
          <w:p w14:paraId="757412C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21.6%</w:t>
            </w:r>
          </w:p>
        </w:tc>
        <w:tc>
          <w:tcPr>
            <w:tcW w:w="1418" w:type="dxa"/>
            <w:noWrap/>
            <w:vAlign w:val="center"/>
            <w:hideMark/>
          </w:tcPr>
          <w:p w14:paraId="0101141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278</w:t>
            </w:r>
          </w:p>
        </w:tc>
        <w:tc>
          <w:tcPr>
            <w:tcW w:w="1414" w:type="dxa"/>
            <w:noWrap/>
            <w:vAlign w:val="center"/>
            <w:hideMark/>
          </w:tcPr>
          <w:p w14:paraId="216D82D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16.0%</w:t>
            </w:r>
          </w:p>
        </w:tc>
      </w:tr>
      <w:tr w:rsidR="00407705" w:rsidRPr="00105FFC" w14:paraId="654D949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874139A"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820C94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5CD6C40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682</w:t>
            </w:r>
          </w:p>
        </w:tc>
        <w:tc>
          <w:tcPr>
            <w:tcW w:w="1440" w:type="dxa"/>
            <w:noWrap/>
            <w:vAlign w:val="center"/>
            <w:hideMark/>
          </w:tcPr>
          <w:p w14:paraId="362BC19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w:t>
            </w:r>
          </w:p>
        </w:tc>
        <w:tc>
          <w:tcPr>
            <w:tcW w:w="1436" w:type="dxa"/>
            <w:noWrap/>
            <w:vAlign w:val="center"/>
            <w:hideMark/>
          </w:tcPr>
          <w:p w14:paraId="47AFD29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10.1%</w:t>
            </w:r>
          </w:p>
        </w:tc>
        <w:tc>
          <w:tcPr>
            <w:tcW w:w="1390" w:type="dxa"/>
            <w:noWrap/>
            <w:vAlign w:val="center"/>
            <w:hideMark/>
          </w:tcPr>
          <w:p w14:paraId="3F2FD9C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w:t>
            </w:r>
          </w:p>
        </w:tc>
        <w:tc>
          <w:tcPr>
            <w:tcW w:w="1387" w:type="dxa"/>
            <w:noWrap/>
            <w:vAlign w:val="center"/>
            <w:hideMark/>
          </w:tcPr>
          <w:p w14:paraId="29C2941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15.0%</w:t>
            </w:r>
          </w:p>
        </w:tc>
        <w:tc>
          <w:tcPr>
            <w:tcW w:w="1418" w:type="dxa"/>
            <w:noWrap/>
            <w:vAlign w:val="center"/>
            <w:hideMark/>
          </w:tcPr>
          <w:p w14:paraId="28B8064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74</w:t>
            </w:r>
          </w:p>
        </w:tc>
        <w:tc>
          <w:tcPr>
            <w:tcW w:w="1414" w:type="dxa"/>
            <w:noWrap/>
            <w:vAlign w:val="center"/>
            <w:hideMark/>
          </w:tcPr>
          <w:p w14:paraId="36D6B0E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10.9%</w:t>
            </w:r>
          </w:p>
        </w:tc>
      </w:tr>
      <w:tr w:rsidR="00407705" w:rsidRPr="00105FFC" w14:paraId="0FB26D60"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C4941CF"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16E98C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1AE92BB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9,675</w:t>
            </w:r>
          </w:p>
        </w:tc>
        <w:tc>
          <w:tcPr>
            <w:tcW w:w="1440" w:type="dxa"/>
            <w:noWrap/>
            <w:vAlign w:val="center"/>
            <w:hideMark/>
          </w:tcPr>
          <w:p w14:paraId="7E3F089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1,876</w:t>
            </w:r>
          </w:p>
        </w:tc>
        <w:tc>
          <w:tcPr>
            <w:tcW w:w="1436" w:type="dxa"/>
            <w:noWrap/>
            <w:vAlign w:val="center"/>
            <w:hideMark/>
          </w:tcPr>
          <w:p w14:paraId="533A2F8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19.4%</w:t>
            </w:r>
          </w:p>
        </w:tc>
        <w:tc>
          <w:tcPr>
            <w:tcW w:w="1390" w:type="dxa"/>
            <w:noWrap/>
            <w:vAlign w:val="center"/>
            <w:hideMark/>
          </w:tcPr>
          <w:p w14:paraId="7A3EF6D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2,096</w:t>
            </w:r>
          </w:p>
        </w:tc>
        <w:tc>
          <w:tcPr>
            <w:tcW w:w="1387" w:type="dxa"/>
            <w:noWrap/>
            <w:vAlign w:val="center"/>
            <w:hideMark/>
          </w:tcPr>
          <w:p w14:paraId="5C90359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21.7%</w:t>
            </w:r>
          </w:p>
        </w:tc>
        <w:tc>
          <w:tcPr>
            <w:tcW w:w="1418" w:type="dxa"/>
            <w:noWrap/>
            <w:vAlign w:val="center"/>
            <w:hideMark/>
          </w:tcPr>
          <w:p w14:paraId="23642D5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2,003</w:t>
            </w:r>
          </w:p>
        </w:tc>
        <w:tc>
          <w:tcPr>
            <w:tcW w:w="1414" w:type="dxa"/>
            <w:noWrap/>
            <w:vAlign w:val="center"/>
            <w:hideMark/>
          </w:tcPr>
          <w:p w14:paraId="552BE30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20.7%</w:t>
            </w:r>
          </w:p>
        </w:tc>
      </w:tr>
      <w:tr w:rsidR="00407705" w:rsidRPr="00105FFC" w14:paraId="024EB25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4B1AB4D2"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Inland Empire</w:t>
            </w:r>
          </w:p>
        </w:tc>
        <w:tc>
          <w:tcPr>
            <w:tcW w:w="1260" w:type="dxa"/>
            <w:noWrap/>
            <w:vAlign w:val="center"/>
            <w:hideMark/>
          </w:tcPr>
          <w:p w14:paraId="5A97B7E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0977DE8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108,281</w:t>
            </w:r>
          </w:p>
        </w:tc>
        <w:tc>
          <w:tcPr>
            <w:tcW w:w="1440" w:type="dxa"/>
            <w:noWrap/>
            <w:vAlign w:val="center"/>
            <w:hideMark/>
          </w:tcPr>
          <w:p w14:paraId="56A1D72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20,875</w:t>
            </w:r>
          </w:p>
        </w:tc>
        <w:tc>
          <w:tcPr>
            <w:tcW w:w="1436" w:type="dxa"/>
            <w:noWrap/>
            <w:vAlign w:val="center"/>
            <w:hideMark/>
          </w:tcPr>
          <w:p w14:paraId="19C8171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w:t>
            </w:r>
          </w:p>
        </w:tc>
        <w:tc>
          <w:tcPr>
            <w:tcW w:w="1390" w:type="dxa"/>
            <w:noWrap/>
            <w:vAlign w:val="center"/>
            <w:hideMark/>
          </w:tcPr>
          <w:p w14:paraId="2C2B777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23,773</w:t>
            </w:r>
          </w:p>
        </w:tc>
        <w:tc>
          <w:tcPr>
            <w:tcW w:w="1387" w:type="dxa"/>
            <w:noWrap/>
            <w:vAlign w:val="center"/>
            <w:hideMark/>
          </w:tcPr>
          <w:p w14:paraId="1A94135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22.0%</w:t>
            </w:r>
          </w:p>
        </w:tc>
        <w:tc>
          <w:tcPr>
            <w:tcW w:w="1418" w:type="dxa"/>
            <w:noWrap/>
            <w:vAlign w:val="center"/>
            <w:hideMark/>
          </w:tcPr>
          <w:p w14:paraId="3DB5A52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1,440</w:t>
            </w:r>
          </w:p>
        </w:tc>
        <w:tc>
          <w:tcPr>
            <w:tcW w:w="1414" w:type="dxa"/>
            <w:noWrap/>
            <w:vAlign w:val="center"/>
            <w:hideMark/>
          </w:tcPr>
          <w:p w14:paraId="7C8E834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w:t>
            </w:r>
          </w:p>
        </w:tc>
      </w:tr>
      <w:tr w:rsidR="00407705" w:rsidRPr="00105FFC" w14:paraId="3EEC49C6"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201C0647"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6E29896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4A88A9A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68,448</w:t>
            </w:r>
          </w:p>
        </w:tc>
        <w:tc>
          <w:tcPr>
            <w:tcW w:w="1440" w:type="dxa"/>
            <w:noWrap/>
            <w:vAlign w:val="center"/>
            <w:hideMark/>
          </w:tcPr>
          <w:p w14:paraId="77E0595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35,902</w:t>
            </w:r>
          </w:p>
        </w:tc>
        <w:tc>
          <w:tcPr>
            <w:tcW w:w="1436" w:type="dxa"/>
            <w:noWrap/>
            <w:vAlign w:val="center"/>
            <w:hideMark/>
          </w:tcPr>
          <w:p w14:paraId="74CFF5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52.5%</w:t>
            </w:r>
          </w:p>
        </w:tc>
        <w:tc>
          <w:tcPr>
            <w:tcW w:w="1390" w:type="dxa"/>
            <w:noWrap/>
            <w:vAlign w:val="center"/>
            <w:hideMark/>
          </w:tcPr>
          <w:p w14:paraId="690B52B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37,936</w:t>
            </w:r>
          </w:p>
        </w:tc>
        <w:tc>
          <w:tcPr>
            <w:tcW w:w="1387" w:type="dxa"/>
            <w:noWrap/>
            <w:vAlign w:val="center"/>
            <w:hideMark/>
          </w:tcPr>
          <w:p w14:paraId="727167D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55.4%</w:t>
            </w:r>
          </w:p>
        </w:tc>
        <w:tc>
          <w:tcPr>
            <w:tcW w:w="1418" w:type="dxa"/>
            <w:noWrap/>
            <w:vAlign w:val="center"/>
            <w:hideMark/>
          </w:tcPr>
          <w:p w14:paraId="03A9546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1,687</w:t>
            </w:r>
          </w:p>
        </w:tc>
        <w:tc>
          <w:tcPr>
            <w:tcW w:w="1414" w:type="dxa"/>
            <w:noWrap/>
            <w:vAlign w:val="center"/>
            <w:hideMark/>
          </w:tcPr>
          <w:p w14:paraId="121807B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w:t>
            </w:r>
          </w:p>
        </w:tc>
      </w:tr>
      <w:tr w:rsidR="00407705" w:rsidRPr="00105FFC" w14:paraId="61F1BE99"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9D7126A"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AEA2C0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24A8A36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108,278</w:t>
            </w:r>
          </w:p>
        </w:tc>
        <w:tc>
          <w:tcPr>
            <w:tcW w:w="1440" w:type="dxa"/>
            <w:noWrap/>
            <w:vAlign w:val="center"/>
            <w:hideMark/>
          </w:tcPr>
          <w:p w14:paraId="74914E2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62,556</w:t>
            </w:r>
          </w:p>
        </w:tc>
        <w:tc>
          <w:tcPr>
            <w:tcW w:w="1436" w:type="dxa"/>
            <w:noWrap/>
            <w:vAlign w:val="center"/>
            <w:hideMark/>
          </w:tcPr>
          <w:p w14:paraId="056F2C2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57.8%</w:t>
            </w:r>
          </w:p>
        </w:tc>
        <w:tc>
          <w:tcPr>
            <w:tcW w:w="1390" w:type="dxa"/>
            <w:noWrap/>
            <w:vAlign w:val="center"/>
            <w:hideMark/>
          </w:tcPr>
          <w:p w14:paraId="14FE41E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65,320</w:t>
            </w:r>
          </w:p>
        </w:tc>
        <w:tc>
          <w:tcPr>
            <w:tcW w:w="1387" w:type="dxa"/>
            <w:noWrap/>
            <w:vAlign w:val="center"/>
            <w:hideMark/>
          </w:tcPr>
          <w:p w14:paraId="7933951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60.3%</w:t>
            </w:r>
          </w:p>
        </w:tc>
        <w:tc>
          <w:tcPr>
            <w:tcW w:w="1418" w:type="dxa"/>
            <w:noWrap/>
            <w:vAlign w:val="center"/>
            <w:hideMark/>
          </w:tcPr>
          <w:p w14:paraId="4AEC2A9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2,953</w:t>
            </w:r>
          </w:p>
        </w:tc>
        <w:tc>
          <w:tcPr>
            <w:tcW w:w="1414" w:type="dxa"/>
            <w:noWrap/>
            <w:vAlign w:val="center"/>
            <w:hideMark/>
          </w:tcPr>
          <w:p w14:paraId="612BA1F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w:t>
            </w:r>
          </w:p>
        </w:tc>
      </w:tr>
      <w:tr w:rsidR="00407705" w:rsidRPr="00105FFC" w14:paraId="4A745423"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229D810"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6A52A78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7FF24F2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98,307</w:t>
            </w:r>
          </w:p>
        </w:tc>
        <w:tc>
          <w:tcPr>
            <w:tcW w:w="1440" w:type="dxa"/>
            <w:noWrap/>
            <w:vAlign w:val="center"/>
            <w:hideMark/>
          </w:tcPr>
          <w:p w14:paraId="0DD31B8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54,213</w:t>
            </w:r>
          </w:p>
        </w:tc>
        <w:tc>
          <w:tcPr>
            <w:tcW w:w="1436" w:type="dxa"/>
            <w:noWrap/>
            <w:vAlign w:val="center"/>
            <w:hideMark/>
          </w:tcPr>
          <w:p w14:paraId="76D2EE6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55.1%</w:t>
            </w:r>
          </w:p>
        </w:tc>
        <w:tc>
          <w:tcPr>
            <w:tcW w:w="1390" w:type="dxa"/>
            <w:noWrap/>
            <w:vAlign w:val="center"/>
            <w:hideMark/>
          </w:tcPr>
          <w:p w14:paraId="15114E7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56,663</w:t>
            </w:r>
          </w:p>
        </w:tc>
        <w:tc>
          <w:tcPr>
            <w:tcW w:w="1387" w:type="dxa"/>
            <w:noWrap/>
            <w:vAlign w:val="center"/>
            <w:hideMark/>
          </w:tcPr>
          <w:p w14:paraId="53FB41A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57.6%</w:t>
            </w:r>
          </w:p>
        </w:tc>
        <w:tc>
          <w:tcPr>
            <w:tcW w:w="1418" w:type="dxa"/>
            <w:noWrap/>
            <w:vAlign w:val="center"/>
            <w:hideMark/>
          </w:tcPr>
          <w:p w14:paraId="6912A67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2,404</w:t>
            </w:r>
          </w:p>
        </w:tc>
        <w:tc>
          <w:tcPr>
            <w:tcW w:w="1414" w:type="dxa"/>
            <w:noWrap/>
            <w:vAlign w:val="center"/>
            <w:hideMark/>
          </w:tcPr>
          <w:p w14:paraId="0B8A0F2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w:t>
            </w:r>
          </w:p>
        </w:tc>
      </w:tr>
      <w:tr w:rsidR="00407705" w:rsidRPr="00105FFC" w14:paraId="73E0695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BCC9E0D"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3D842A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3A82945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91,652</w:t>
            </w:r>
          </w:p>
        </w:tc>
        <w:tc>
          <w:tcPr>
            <w:tcW w:w="1440" w:type="dxa"/>
            <w:noWrap/>
            <w:vAlign w:val="center"/>
            <w:hideMark/>
          </w:tcPr>
          <w:p w14:paraId="3E813E2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45,772</w:t>
            </w:r>
          </w:p>
        </w:tc>
        <w:tc>
          <w:tcPr>
            <w:tcW w:w="1436" w:type="dxa"/>
            <w:noWrap/>
            <w:vAlign w:val="center"/>
            <w:hideMark/>
          </w:tcPr>
          <w:p w14:paraId="7F3AE7C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49.9%</w:t>
            </w:r>
          </w:p>
        </w:tc>
        <w:tc>
          <w:tcPr>
            <w:tcW w:w="1390" w:type="dxa"/>
            <w:noWrap/>
            <w:vAlign w:val="center"/>
            <w:hideMark/>
          </w:tcPr>
          <w:p w14:paraId="11DB070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48,477</w:t>
            </w:r>
          </w:p>
        </w:tc>
        <w:tc>
          <w:tcPr>
            <w:tcW w:w="1387" w:type="dxa"/>
            <w:noWrap/>
            <w:vAlign w:val="center"/>
            <w:hideMark/>
          </w:tcPr>
          <w:p w14:paraId="1AA863F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52.9%</w:t>
            </w:r>
          </w:p>
        </w:tc>
        <w:tc>
          <w:tcPr>
            <w:tcW w:w="1418" w:type="dxa"/>
            <w:noWrap/>
            <w:vAlign w:val="center"/>
            <w:hideMark/>
          </w:tcPr>
          <w:p w14:paraId="490EDF5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1,551</w:t>
            </w:r>
          </w:p>
        </w:tc>
        <w:tc>
          <w:tcPr>
            <w:tcW w:w="1414" w:type="dxa"/>
            <w:noWrap/>
            <w:vAlign w:val="center"/>
            <w:hideMark/>
          </w:tcPr>
          <w:p w14:paraId="5A9A7DF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w:t>
            </w:r>
          </w:p>
        </w:tc>
      </w:tr>
      <w:tr w:rsidR="00407705" w:rsidRPr="00105FFC" w14:paraId="0EA840E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3370ACD"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1A6113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0AF06F4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112,905</w:t>
            </w:r>
          </w:p>
        </w:tc>
        <w:tc>
          <w:tcPr>
            <w:tcW w:w="1440" w:type="dxa"/>
            <w:noWrap/>
            <w:vAlign w:val="center"/>
            <w:hideMark/>
          </w:tcPr>
          <w:p w14:paraId="44E931E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47,725</w:t>
            </w:r>
          </w:p>
        </w:tc>
        <w:tc>
          <w:tcPr>
            <w:tcW w:w="1436" w:type="dxa"/>
            <w:noWrap/>
            <w:vAlign w:val="center"/>
            <w:hideMark/>
          </w:tcPr>
          <w:p w14:paraId="412D7A7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42.3%</w:t>
            </w:r>
          </w:p>
        </w:tc>
        <w:tc>
          <w:tcPr>
            <w:tcW w:w="1390" w:type="dxa"/>
            <w:noWrap/>
            <w:vAlign w:val="center"/>
            <w:hideMark/>
          </w:tcPr>
          <w:p w14:paraId="08BEE1A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53,125</w:t>
            </w:r>
          </w:p>
        </w:tc>
        <w:tc>
          <w:tcPr>
            <w:tcW w:w="1387" w:type="dxa"/>
            <w:noWrap/>
            <w:vAlign w:val="center"/>
            <w:hideMark/>
          </w:tcPr>
          <w:p w14:paraId="1DE3514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47.1%</w:t>
            </w:r>
          </w:p>
        </w:tc>
        <w:tc>
          <w:tcPr>
            <w:tcW w:w="1418" w:type="dxa"/>
            <w:noWrap/>
            <w:vAlign w:val="center"/>
            <w:hideMark/>
          </w:tcPr>
          <w:p w14:paraId="34B2F96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1,343</w:t>
            </w:r>
          </w:p>
        </w:tc>
        <w:tc>
          <w:tcPr>
            <w:tcW w:w="1414" w:type="dxa"/>
            <w:noWrap/>
            <w:vAlign w:val="center"/>
            <w:hideMark/>
          </w:tcPr>
          <w:p w14:paraId="5117872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w:t>
            </w:r>
          </w:p>
        </w:tc>
      </w:tr>
      <w:tr w:rsidR="00407705" w:rsidRPr="00105FFC" w14:paraId="709D5EF6"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7CF9D8F"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2DC728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7E21ACD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39,216</w:t>
            </w:r>
          </w:p>
        </w:tc>
        <w:tc>
          <w:tcPr>
            <w:tcW w:w="1440" w:type="dxa"/>
            <w:noWrap/>
            <w:vAlign w:val="center"/>
            <w:hideMark/>
          </w:tcPr>
          <w:p w14:paraId="6CF1404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11,109</w:t>
            </w:r>
          </w:p>
        </w:tc>
        <w:tc>
          <w:tcPr>
            <w:tcW w:w="1436" w:type="dxa"/>
            <w:noWrap/>
            <w:vAlign w:val="center"/>
            <w:hideMark/>
          </w:tcPr>
          <w:p w14:paraId="7E3B9AD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28.3%</w:t>
            </w:r>
          </w:p>
        </w:tc>
        <w:tc>
          <w:tcPr>
            <w:tcW w:w="1390" w:type="dxa"/>
            <w:noWrap/>
            <w:vAlign w:val="center"/>
            <w:hideMark/>
          </w:tcPr>
          <w:p w14:paraId="4FB0FD9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13,386</w:t>
            </w:r>
          </w:p>
        </w:tc>
        <w:tc>
          <w:tcPr>
            <w:tcW w:w="1387" w:type="dxa"/>
            <w:noWrap/>
            <w:vAlign w:val="center"/>
            <w:hideMark/>
          </w:tcPr>
          <w:p w14:paraId="53FDFDB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34.1%</w:t>
            </w:r>
          </w:p>
        </w:tc>
        <w:tc>
          <w:tcPr>
            <w:tcW w:w="1418" w:type="dxa"/>
            <w:noWrap/>
            <w:vAlign w:val="center"/>
            <w:hideMark/>
          </w:tcPr>
          <w:p w14:paraId="51FC6B7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283</w:t>
            </w:r>
          </w:p>
        </w:tc>
        <w:tc>
          <w:tcPr>
            <w:tcW w:w="1414" w:type="dxa"/>
            <w:noWrap/>
            <w:vAlign w:val="center"/>
            <w:hideMark/>
          </w:tcPr>
          <w:p w14:paraId="5BB2ACD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0.7%</w:t>
            </w:r>
          </w:p>
        </w:tc>
      </w:tr>
      <w:tr w:rsidR="00407705" w:rsidRPr="00105FFC" w14:paraId="7995703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050FFAC"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E6D508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62B6821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627,087</w:t>
            </w:r>
          </w:p>
        </w:tc>
        <w:tc>
          <w:tcPr>
            <w:tcW w:w="1440" w:type="dxa"/>
            <w:noWrap/>
            <w:vAlign w:val="center"/>
            <w:hideMark/>
          </w:tcPr>
          <w:p w14:paraId="0EA87CC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278,152</w:t>
            </w:r>
          </w:p>
        </w:tc>
        <w:tc>
          <w:tcPr>
            <w:tcW w:w="1436" w:type="dxa"/>
            <w:noWrap/>
            <w:vAlign w:val="center"/>
            <w:hideMark/>
          </w:tcPr>
          <w:p w14:paraId="70C887E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44.4%</w:t>
            </w:r>
          </w:p>
        </w:tc>
        <w:tc>
          <w:tcPr>
            <w:tcW w:w="1390" w:type="dxa"/>
            <w:noWrap/>
            <w:vAlign w:val="center"/>
            <w:hideMark/>
          </w:tcPr>
          <w:p w14:paraId="5812BB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298,680</w:t>
            </w:r>
          </w:p>
        </w:tc>
        <w:tc>
          <w:tcPr>
            <w:tcW w:w="1387" w:type="dxa"/>
            <w:noWrap/>
            <w:vAlign w:val="center"/>
            <w:hideMark/>
          </w:tcPr>
          <w:p w14:paraId="61AC3C7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47.6%</w:t>
            </w:r>
          </w:p>
        </w:tc>
        <w:tc>
          <w:tcPr>
            <w:tcW w:w="1418" w:type="dxa"/>
            <w:noWrap/>
            <w:vAlign w:val="center"/>
            <w:hideMark/>
          </w:tcPr>
          <w:p w14:paraId="2798066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11,661</w:t>
            </w:r>
          </w:p>
        </w:tc>
        <w:tc>
          <w:tcPr>
            <w:tcW w:w="1414" w:type="dxa"/>
            <w:noWrap/>
            <w:vAlign w:val="center"/>
            <w:hideMark/>
          </w:tcPr>
          <w:p w14:paraId="0E3A9C9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1.9%</w:t>
            </w:r>
          </w:p>
        </w:tc>
      </w:tr>
      <w:tr w:rsidR="00407705" w:rsidRPr="00105FFC" w14:paraId="7FA9189B"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74FFE73E"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Kern</w:t>
            </w:r>
          </w:p>
        </w:tc>
        <w:tc>
          <w:tcPr>
            <w:tcW w:w="1260" w:type="dxa"/>
            <w:noWrap/>
            <w:vAlign w:val="center"/>
            <w:hideMark/>
          </w:tcPr>
          <w:p w14:paraId="185724F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62310F4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27,621</w:t>
            </w:r>
          </w:p>
        </w:tc>
        <w:tc>
          <w:tcPr>
            <w:tcW w:w="1440" w:type="dxa"/>
            <w:noWrap/>
            <w:vAlign w:val="center"/>
            <w:hideMark/>
          </w:tcPr>
          <w:p w14:paraId="0F24464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7,284</w:t>
            </w:r>
          </w:p>
        </w:tc>
        <w:tc>
          <w:tcPr>
            <w:tcW w:w="1436" w:type="dxa"/>
            <w:noWrap/>
            <w:vAlign w:val="center"/>
            <w:hideMark/>
          </w:tcPr>
          <w:p w14:paraId="7DA8D4B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26.4%</w:t>
            </w:r>
          </w:p>
        </w:tc>
        <w:tc>
          <w:tcPr>
            <w:tcW w:w="1390" w:type="dxa"/>
            <w:noWrap/>
            <w:vAlign w:val="center"/>
            <w:hideMark/>
          </w:tcPr>
          <w:p w14:paraId="50F4DF1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8,217</w:t>
            </w:r>
          </w:p>
        </w:tc>
        <w:tc>
          <w:tcPr>
            <w:tcW w:w="1387" w:type="dxa"/>
            <w:noWrap/>
            <w:vAlign w:val="center"/>
            <w:hideMark/>
          </w:tcPr>
          <w:p w14:paraId="5D1F968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29.7%</w:t>
            </w:r>
          </w:p>
        </w:tc>
        <w:tc>
          <w:tcPr>
            <w:tcW w:w="1418" w:type="dxa"/>
            <w:noWrap/>
            <w:vAlign w:val="center"/>
            <w:hideMark/>
          </w:tcPr>
          <w:p w14:paraId="1FDE87B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635</w:t>
            </w:r>
          </w:p>
        </w:tc>
        <w:tc>
          <w:tcPr>
            <w:tcW w:w="1414" w:type="dxa"/>
            <w:noWrap/>
            <w:vAlign w:val="center"/>
            <w:hideMark/>
          </w:tcPr>
          <w:p w14:paraId="37096D0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w:t>
            </w:r>
          </w:p>
        </w:tc>
      </w:tr>
      <w:tr w:rsidR="00407705" w:rsidRPr="00105FFC" w14:paraId="17647764"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521FBCE"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3C5CD4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6661D70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17,299</w:t>
            </w:r>
          </w:p>
        </w:tc>
        <w:tc>
          <w:tcPr>
            <w:tcW w:w="1440" w:type="dxa"/>
            <w:noWrap/>
            <w:vAlign w:val="center"/>
            <w:hideMark/>
          </w:tcPr>
          <w:p w14:paraId="5283933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10,473</w:t>
            </w:r>
          </w:p>
        </w:tc>
        <w:tc>
          <w:tcPr>
            <w:tcW w:w="1436" w:type="dxa"/>
            <w:noWrap/>
            <w:vAlign w:val="center"/>
            <w:hideMark/>
          </w:tcPr>
          <w:p w14:paraId="1CB2A29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60.5%</w:t>
            </w:r>
          </w:p>
        </w:tc>
        <w:tc>
          <w:tcPr>
            <w:tcW w:w="1390" w:type="dxa"/>
            <w:noWrap/>
            <w:vAlign w:val="center"/>
            <w:hideMark/>
          </w:tcPr>
          <w:p w14:paraId="0C14EC0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11,115</w:t>
            </w:r>
          </w:p>
        </w:tc>
        <w:tc>
          <w:tcPr>
            <w:tcW w:w="1387" w:type="dxa"/>
            <w:noWrap/>
            <w:vAlign w:val="center"/>
            <w:hideMark/>
          </w:tcPr>
          <w:p w14:paraId="19B07D1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64.3%</w:t>
            </w:r>
          </w:p>
        </w:tc>
        <w:tc>
          <w:tcPr>
            <w:tcW w:w="1418" w:type="dxa"/>
            <w:noWrap/>
            <w:vAlign w:val="center"/>
            <w:hideMark/>
          </w:tcPr>
          <w:p w14:paraId="22BC01C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740</w:t>
            </w:r>
          </w:p>
        </w:tc>
        <w:tc>
          <w:tcPr>
            <w:tcW w:w="1414" w:type="dxa"/>
            <w:noWrap/>
            <w:vAlign w:val="center"/>
            <w:hideMark/>
          </w:tcPr>
          <w:p w14:paraId="219CCCA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w:t>
            </w:r>
          </w:p>
        </w:tc>
      </w:tr>
      <w:tr w:rsidR="00407705" w:rsidRPr="00105FFC" w14:paraId="4345F6E6"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44504CF"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66D625A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406E86A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26,382</w:t>
            </w:r>
          </w:p>
        </w:tc>
        <w:tc>
          <w:tcPr>
            <w:tcW w:w="1440" w:type="dxa"/>
            <w:noWrap/>
            <w:vAlign w:val="center"/>
            <w:hideMark/>
          </w:tcPr>
          <w:p w14:paraId="6B3177F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15,991</w:t>
            </w:r>
          </w:p>
        </w:tc>
        <w:tc>
          <w:tcPr>
            <w:tcW w:w="1436" w:type="dxa"/>
            <w:noWrap/>
            <w:vAlign w:val="center"/>
            <w:hideMark/>
          </w:tcPr>
          <w:p w14:paraId="63D4CFE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60.6%</w:t>
            </w:r>
          </w:p>
        </w:tc>
        <w:tc>
          <w:tcPr>
            <w:tcW w:w="1390" w:type="dxa"/>
            <w:noWrap/>
            <w:vAlign w:val="center"/>
            <w:hideMark/>
          </w:tcPr>
          <w:p w14:paraId="76394E6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16,755</w:t>
            </w:r>
          </w:p>
        </w:tc>
        <w:tc>
          <w:tcPr>
            <w:tcW w:w="1387" w:type="dxa"/>
            <w:noWrap/>
            <w:vAlign w:val="center"/>
            <w:hideMark/>
          </w:tcPr>
          <w:p w14:paraId="0F818BB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63.5%</w:t>
            </w:r>
          </w:p>
        </w:tc>
        <w:tc>
          <w:tcPr>
            <w:tcW w:w="1418" w:type="dxa"/>
            <w:noWrap/>
            <w:vAlign w:val="center"/>
            <w:hideMark/>
          </w:tcPr>
          <w:p w14:paraId="77D93A8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1,066</w:t>
            </w:r>
          </w:p>
        </w:tc>
        <w:tc>
          <w:tcPr>
            <w:tcW w:w="1414" w:type="dxa"/>
            <w:noWrap/>
            <w:vAlign w:val="center"/>
            <w:hideMark/>
          </w:tcPr>
          <w:p w14:paraId="63A81BF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w:t>
            </w:r>
          </w:p>
        </w:tc>
      </w:tr>
      <w:tr w:rsidR="00407705" w:rsidRPr="00105FFC" w14:paraId="1DBE3BBD"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E1DAE6B"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3B9290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716873A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23,247</w:t>
            </w:r>
          </w:p>
        </w:tc>
        <w:tc>
          <w:tcPr>
            <w:tcW w:w="1440" w:type="dxa"/>
            <w:noWrap/>
            <w:vAlign w:val="center"/>
            <w:hideMark/>
          </w:tcPr>
          <w:p w14:paraId="4F2A5DC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13,231</w:t>
            </w:r>
          </w:p>
        </w:tc>
        <w:tc>
          <w:tcPr>
            <w:tcW w:w="1436" w:type="dxa"/>
            <w:noWrap/>
            <w:vAlign w:val="center"/>
            <w:hideMark/>
          </w:tcPr>
          <w:p w14:paraId="275D9D4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56.9%</w:t>
            </w:r>
          </w:p>
        </w:tc>
        <w:tc>
          <w:tcPr>
            <w:tcW w:w="1390" w:type="dxa"/>
            <w:noWrap/>
            <w:vAlign w:val="center"/>
            <w:hideMark/>
          </w:tcPr>
          <w:p w14:paraId="4D666BE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13,927</w:t>
            </w:r>
          </w:p>
        </w:tc>
        <w:tc>
          <w:tcPr>
            <w:tcW w:w="1387" w:type="dxa"/>
            <w:noWrap/>
            <w:vAlign w:val="center"/>
            <w:hideMark/>
          </w:tcPr>
          <w:p w14:paraId="6D474E7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59.9%</w:t>
            </w:r>
          </w:p>
        </w:tc>
        <w:tc>
          <w:tcPr>
            <w:tcW w:w="1418" w:type="dxa"/>
            <w:noWrap/>
            <w:vAlign w:val="center"/>
            <w:hideMark/>
          </w:tcPr>
          <w:p w14:paraId="639A369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891</w:t>
            </w:r>
          </w:p>
        </w:tc>
        <w:tc>
          <w:tcPr>
            <w:tcW w:w="1414" w:type="dxa"/>
            <w:noWrap/>
            <w:vAlign w:val="center"/>
            <w:hideMark/>
          </w:tcPr>
          <w:p w14:paraId="2E2D5FB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w:t>
            </w:r>
          </w:p>
        </w:tc>
      </w:tr>
      <w:tr w:rsidR="00407705" w:rsidRPr="00105FFC" w14:paraId="2F8B9BDA"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26067AFB"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61A8C74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22F29FD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20,881</w:t>
            </w:r>
          </w:p>
        </w:tc>
        <w:tc>
          <w:tcPr>
            <w:tcW w:w="1440" w:type="dxa"/>
            <w:noWrap/>
            <w:vAlign w:val="center"/>
            <w:hideMark/>
          </w:tcPr>
          <w:p w14:paraId="50EA4D1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10,254</w:t>
            </w:r>
          </w:p>
        </w:tc>
        <w:tc>
          <w:tcPr>
            <w:tcW w:w="1436" w:type="dxa"/>
            <w:noWrap/>
            <w:vAlign w:val="center"/>
            <w:hideMark/>
          </w:tcPr>
          <w:p w14:paraId="479CA40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49.1%</w:t>
            </w:r>
          </w:p>
        </w:tc>
        <w:tc>
          <w:tcPr>
            <w:tcW w:w="1390" w:type="dxa"/>
            <w:noWrap/>
            <w:vAlign w:val="center"/>
            <w:hideMark/>
          </w:tcPr>
          <w:p w14:paraId="5F4E7D1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11,077</w:t>
            </w:r>
          </w:p>
        </w:tc>
        <w:tc>
          <w:tcPr>
            <w:tcW w:w="1387" w:type="dxa"/>
            <w:noWrap/>
            <w:vAlign w:val="center"/>
            <w:hideMark/>
          </w:tcPr>
          <w:p w14:paraId="612274B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53.0%</w:t>
            </w:r>
          </w:p>
        </w:tc>
        <w:tc>
          <w:tcPr>
            <w:tcW w:w="1418" w:type="dxa"/>
            <w:noWrap/>
            <w:vAlign w:val="center"/>
            <w:hideMark/>
          </w:tcPr>
          <w:p w14:paraId="01E4464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764</w:t>
            </w:r>
          </w:p>
        </w:tc>
        <w:tc>
          <w:tcPr>
            <w:tcW w:w="1414" w:type="dxa"/>
            <w:noWrap/>
            <w:vAlign w:val="center"/>
            <w:hideMark/>
          </w:tcPr>
          <w:p w14:paraId="2D68FBA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w:t>
            </w:r>
          </w:p>
        </w:tc>
      </w:tr>
      <w:tr w:rsidR="00407705" w:rsidRPr="00105FFC" w14:paraId="4ED9779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9E6C4AD"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4513E97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27EFE15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24,637</w:t>
            </w:r>
          </w:p>
        </w:tc>
        <w:tc>
          <w:tcPr>
            <w:tcW w:w="1440" w:type="dxa"/>
            <w:noWrap/>
            <w:vAlign w:val="center"/>
            <w:hideMark/>
          </w:tcPr>
          <w:p w14:paraId="38A52E3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9,897</w:t>
            </w:r>
          </w:p>
        </w:tc>
        <w:tc>
          <w:tcPr>
            <w:tcW w:w="1436" w:type="dxa"/>
            <w:noWrap/>
            <w:vAlign w:val="center"/>
            <w:hideMark/>
          </w:tcPr>
          <w:p w14:paraId="33EA92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40.2%</w:t>
            </w:r>
          </w:p>
        </w:tc>
        <w:tc>
          <w:tcPr>
            <w:tcW w:w="1390" w:type="dxa"/>
            <w:noWrap/>
            <w:vAlign w:val="center"/>
            <w:hideMark/>
          </w:tcPr>
          <w:p w14:paraId="48FF498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11,421</w:t>
            </w:r>
          </w:p>
        </w:tc>
        <w:tc>
          <w:tcPr>
            <w:tcW w:w="1387" w:type="dxa"/>
            <w:noWrap/>
            <w:vAlign w:val="center"/>
            <w:hideMark/>
          </w:tcPr>
          <w:p w14:paraId="04B42D7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46.4%</w:t>
            </w:r>
          </w:p>
        </w:tc>
        <w:tc>
          <w:tcPr>
            <w:tcW w:w="1418" w:type="dxa"/>
            <w:noWrap/>
            <w:vAlign w:val="center"/>
            <w:hideMark/>
          </w:tcPr>
          <w:p w14:paraId="0F40DFE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865</w:t>
            </w:r>
          </w:p>
        </w:tc>
        <w:tc>
          <w:tcPr>
            <w:tcW w:w="1414" w:type="dxa"/>
            <w:noWrap/>
            <w:vAlign w:val="center"/>
            <w:hideMark/>
          </w:tcPr>
          <w:p w14:paraId="46DAB1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w:t>
            </w:r>
          </w:p>
        </w:tc>
      </w:tr>
      <w:tr w:rsidR="00407705" w:rsidRPr="00105FFC" w14:paraId="235D1A98"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7CE8746"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928359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369D8FD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8,789</w:t>
            </w:r>
          </w:p>
        </w:tc>
        <w:tc>
          <w:tcPr>
            <w:tcW w:w="1440" w:type="dxa"/>
            <w:noWrap/>
            <w:vAlign w:val="center"/>
            <w:hideMark/>
          </w:tcPr>
          <w:p w14:paraId="55A31F3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2,062</w:t>
            </w:r>
          </w:p>
        </w:tc>
        <w:tc>
          <w:tcPr>
            <w:tcW w:w="1436" w:type="dxa"/>
            <w:noWrap/>
            <w:vAlign w:val="center"/>
            <w:hideMark/>
          </w:tcPr>
          <w:p w14:paraId="6DF1561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23.5%</w:t>
            </w:r>
          </w:p>
        </w:tc>
        <w:tc>
          <w:tcPr>
            <w:tcW w:w="1390" w:type="dxa"/>
            <w:noWrap/>
            <w:vAlign w:val="center"/>
            <w:hideMark/>
          </w:tcPr>
          <w:p w14:paraId="5E80E41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2,680</w:t>
            </w:r>
          </w:p>
        </w:tc>
        <w:tc>
          <w:tcPr>
            <w:tcW w:w="1387" w:type="dxa"/>
            <w:noWrap/>
            <w:vAlign w:val="center"/>
            <w:hideMark/>
          </w:tcPr>
          <w:p w14:paraId="11BBD6B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30.5%</w:t>
            </w:r>
          </w:p>
        </w:tc>
        <w:tc>
          <w:tcPr>
            <w:tcW w:w="1418" w:type="dxa"/>
            <w:noWrap/>
            <w:vAlign w:val="center"/>
            <w:hideMark/>
          </w:tcPr>
          <w:p w14:paraId="6E2934C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271</w:t>
            </w:r>
          </w:p>
        </w:tc>
        <w:tc>
          <w:tcPr>
            <w:tcW w:w="1414" w:type="dxa"/>
            <w:noWrap/>
            <w:vAlign w:val="center"/>
            <w:hideMark/>
          </w:tcPr>
          <w:p w14:paraId="3DDB5BC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w:t>
            </w:r>
          </w:p>
        </w:tc>
      </w:tr>
      <w:tr w:rsidR="00407705" w:rsidRPr="00105FFC" w14:paraId="6309237A"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5D1F443"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2948D4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37FC959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148,856</w:t>
            </w:r>
          </w:p>
        </w:tc>
        <w:tc>
          <w:tcPr>
            <w:tcW w:w="1440" w:type="dxa"/>
            <w:noWrap/>
            <w:vAlign w:val="center"/>
            <w:hideMark/>
          </w:tcPr>
          <w:p w14:paraId="70038F8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69,192</w:t>
            </w:r>
          </w:p>
        </w:tc>
        <w:tc>
          <w:tcPr>
            <w:tcW w:w="1436" w:type="dxa"/>
            <w:noWrap/>
            <w:vAlign w:val="center"/>
            <w:hideMark/>
          </w:tcPr>
          <w:p w14:paraId="53A7224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46.5%</w:t>
            </w:r>
          </w:p>
        </w:tc>
        <w:tc>
          <w:tcPr>
            <w:tcW w:w="1390" w:type="dxa"/>
            <w:noWrap/>
            <w:vAlign w:val="center"/>
            <w:hideMark/>
          </w:tcPr>
          <w:p w14:paraId="4DDB335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75,192</w:t>
            </w:r>
          </w:p>
        </w:tc>
        <w:tc>
          <w:tcPr>
            <w:tcW w:w="1387" w:type="dxa"/>
            <w:noWrap/>
            <w:vAlign w:val="center"/>
            <w:hideMark/>
          </w:tcPr>
          <w:p w14:paraId="6D4D953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50.5%</w:t>
            </w:r>
          </w:p>
        </w:tc>
        <w:tc>
          <w:tcPr>
            <w:tcW w:w="1418" w:type="dxa"/>
            <w:noWrap/>
            <w:vAlign w:val="center"/>
            <w:hideMark/>
          </w:tcPr>
          <w:p w14:paraId="5462BF3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5,232</w:t>
            </w:r>
          </w:p>
        </w:tc>
        <w:tc>
          <w:tcPr>
            <w:tcW w:w="1414" w:type="dxa"/>
            <w:noWrap/>
            <w:vAlign w:val="center"/>
            <w:hideMark/>
          </w:tcPr>
          <w:p w14:paraId="6B4F7A0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3.5%</w:t>
            </w:r>
          </w:p>
        </w:tc>
      </w:tr>
      <w:tr w:rsidR="00407705" w:rsidRPr="00105FFC" w14:paraId="38AEF063"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70A2DD5A"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Los Angeles</w:t>
            </w:r>
          </w:p>
        </w:tc>
        <w:tc>
          <w:tcPr>
            <w:tcW w:w="1260" w:type="dxa"/>
            <w:noWrap/>
            <w:vAlign w:val="center"/>
            <w:hideMark/>
          </w:tcPr>
          <w:p w14:paraId="3312C45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72027D1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165,013</w:t>
            </w:r>
          </w:p>
        </w:tc>
        <w:tc>
          <w:tcPr>
            <w:tcW w:w="1440" w:type="dxa"/>
            <w:noWrap/>
            <w:vAlign w:val="center"/>
            <w:hideMark/>
          </w:tcPr>
          <w:p w14:paraId="6485CC7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47,001</w:t>
            </w:r>
          </w:p>
        </w:tc>
        <w:tc>
          <w:tcPr>
            <w:tcW w:w="1436" w:type="dxa"/>
            <w:noWrap/>
            <w:vAlign w:val="center"/>
            <w:hideMark/>
          </w:tcPr>
          <w:p w14:paraId="7C0308C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28.5%</w:t>
            </w:r>
          </w:p>
        </w:tc>
        <w:tc>
          <w:tcPr>
            <w:tcW w:w="1390" w:type="dxa"/>
            <w:noWrap/>
            <w:vAlign w:val="center"/>
            <w:hideMark/>
          </w:tcPr>
          <w:p w14:paraId="1B741ED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50,633</w:t>
            </w:r>
          </w:p>
        </w:tc>
        <w:tc>
          <w:tcPr>
            <w:tcW w:w="1387" w:type="dxa"/>
            <w:noWrap/>
            <w:vAlign w:val="center"/>
            <w:hideMark/>
          </w:tcPr>
          <w:p w14:paraId="50D1189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30.7%</w:t>
            </w:r>
          </w:p>
        </w:tc>
        <w:tc>
          <w:tcPr>
            <w:tcW w:w="1418" w:type="dxa"/>
            <w:noWrap/>
            <w:vAlign w:val="center"/>
            <w:hideMark/>
          </w:tcPr>
          <w:p w14:paraId="00A85E6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5,090</w:t>
            </w:r>
          </w:p>
        </w:tc>
        <w:tc>
          <w:tcPr>
            <w:tcW w:w="1414" w:type="dxa"/>
            <w:noWrap/>
            <w:vAlign w:val="center"/>
            <w:hideMark/>
          </w:tcPr>
          <w:p w14:paraId="563B36B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w:t>
            </w:r>
          </w:p>
        </w:tc>
      </w:tr>
      <w:tr w:rsidR="00407705" w:rsidRPr="00105FFC" w14:paraId="3FFDC8FA"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2A48C61B"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44E4BFD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16A17B1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105,140</w:t>
            </w:r>
          </w:p>
        </w:tc>
        <w:tc>
          <w:tcPr>
            <w:tcW w:w="1440" w:type="dxa"/>
            <w:noWrap/>
            <w:vAlign w:val="center"/>
            <w:hideMark/>
          </w:tcPr>
          <w:p w14:paraId="4BFD151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67,198</w:t>
            </w:r>
          </w:p>
        </w:tc>
        <w:tc>
          <w:tcPr>
            <w:tcW w:w="1436" w:type="dxa"/>
            <w:noWrap/>
            <w:vAlign w:val="center"/>
            <w:hideMark/>
          </w:tcPr>
          <w:p w14:paraId="471E585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63.9%</w:t>
            </w:r>
          </w:p>
        </w:tc>
        <w:tc>
          <w:tcPr>
            <w:tcW w:w="1390" w:type="dxa"/>
            <w:noWrap/>
            <w:vAlign w:val="center"/>
            <w:hideMark/>
          </w:tcPr>
          <w:p w14:paraId="722EC9C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69,620</w:t>
            </w:r>
          </w:p>
        </w:tc>
        <w:tc>
          <w:tcPr>
            <w:tcW w:w="1387" w:type="dxa"/>
            <w:noWrap/>
            <w:vAlign w:val="center"/>
            <w:hideMark/>
          </w:tcPr>
          <w:p w14:paraId="0800CE6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66.2%</w:t>
            </w:r>
          </w:p>
        </w:tc>
        <w:tc>
          <w:tcPr>
            <w:tcW w:w="1418" w:type="dxa"/>
            <w:noWrap/>
            <w:vAlign w:val="center"/>
            <w:hideMark/>
          </w:tcPr>
          <w:p w14:paraId="21FA6AD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2,759</w:t>
            </w:r>
          </w:p>
        </w:tc>
        <w:tc>
          <w:tcPr>
            <w:tcW w:w="1414" w:type="dxa"/>
            <w:noWrap/>
            <w:vAlign w:val="center"/>
            <w:hideMark/>
          </w:tcPr>
          <w:p w14:paraId="1EE1301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w:t>
            </w:r>
          </w:p>
        </w:tc>
      </w:tr>
      <w:tr w:rsidR="00407705" w:rsidRPr="00105FFC" w14:paraId="575F5F68"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613FFA2"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4842910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3CC3066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166,903</w:t>
            </w:r>
          </w:p>
        </w:tc>
        <w:tc>
          <w:tcPr>
            <w:tcW w:w="1440" w:type="dxa"/>
            <w:noWrap/>
            <w:vAlign w:val="center"/>
            <w:hideMark/>
          </w:tcPr>
          <w:p w14:paraId="20D941C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112,114</w:t>
            </w:r>
          </w:p>
        </w:tc>
        <w:tc>
          <w:tcPr>
            <w:tcW w:w="1436" w:type="dxa"/>
            <w:noWrap/>
            <w:vAlign w:val="center"/>
            <w:hideMark/>
          </w:tcPr>
          <w:p w14:paraId="49BC8CF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67.2%</w:t>
            </w:r>
          </w:p>
        </w:tc>
        <w:tc>
          <w:tcPr>
            <w:tcW w:w="1390" w:type="dxa"/>
            <w:noWrap/>
            <w:vAlign w:val="center"/>
            <w:hideMark/>
          </w:tcPr>
          <w:p w14:paraId="617993C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115,422</w:t>
            </w:r>
          </w:p>
        </w:tc>
        <w:tc>
          <w:tcPr>
            <w:tcW w:w="1387" w:type="dxa"/>
            <w:noWrap/>
            <w:vAlign w:val="center"/>
            <w:hideMark/>
          </w:tcPr>
          <w:p w14:paraId="10266F1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69.2%</w:t>
            </w:r>
          </w:p>
        </w:tc>
        <w:tc>
          <w:tcPr>
            <w:tcW w:w="1418" w:type="dxa"/>
            <w:noWrap/>
            <w:vAlign w:val="center"/>
            <w:hideMark/>
          </w:tcPr>
          <w:p w14:paraId="2D818C1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2,882</w:t>
            </w:r>
          </w:p>
        </w:tc>
        <w:tc>
          <w:tcPr>
            <w:tcW w:w="1414" w:type="dxa"/>
            <w:noWrap/>
            <w:vAlign w:val="center"/>
            <w:hideMark/>
          </w:tcPr>
          <w:p w14:paraId="5DE939E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w:t>
            </w:r>
          </w:p>
        </w:tc>
      </w:tr>
      <w:tr w:rsidR="00407705" w:rsidRPr="00105FFC" w14:paraId="501CAC6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0DC08BA"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447894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176A747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149,106</w:t>
            </w:r>
          </w:p>
        </w:tc>
        <w:tc>
          <w:tcPr>
            <w:tcW w:w="1440" w:type="dxa"/>
            <w:noWrap/>
            <w:vAlign w:val="center"/>
            <w:hideMark/>
          </w:tcPr>
          <w:p w14:paraId="6A02A80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95,002</w:t>
            </w:r>
          </w:p>
        </w:tc>
        <w:tc>
          <w:tcPr>
            <w:tcW w:w="1436" w:type="dxa"/>
            <w:noWrap/>
            <w:vAlign w:val="center"/>
            <w:hideMark/>
          </w:tcPr>
          <w:p w14:paraId="02F4C58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63.7%</w:t>
            </w:r>
          </w:p>
        </w:tc>
        <w:tc>
          <w:tcPr>
            <w:tcW w:w="1390" w:type="dxa"/>
            <w:noWrap/>
            <w:vAlign w:val="center"/>
            <w:hideMark/>
          </w:tcPr>
          <w:p w14:paraId="0349EDC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97,878</w:t>
            </w:r>
          </w:p>
        </w:tc>
        <w:tc>
          <w:tcPr>
            <w:tcW w:w="1387" w:type="dxa"/>
            <w:noWrap/>
            <w:vAlign w:val="center"/>
            <w:hideMark/>
          </w:tcPr>
          <w:p w14:paraId="4633FE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65.6%</w:t>
            </w:r>
          </w:p>
        </w:tc>
        <w:tc>
          <w:tcPr>
            <w:tcW w:w="1418" w:type="dxa"/>
            <w:noWrap/>
            <w:vAlign w:val="center"/>
            <w:hideMark/>
          </w:tcPr>
          <w:p w14:paraId="53B86EF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2,158</w:t>
            </w:r>
          </w:p>
        </w:tc>
        <w:tc>
          <w:tcPr>
            <w:tcW w:w="1414" w:type="dxa"/>
            <w:noWrap/>
            <w:vAlign w:val="center"/>
            <w:hideMark/>
          </w:tcPr>
          <w:p w14:paraId="6585911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w:t>
            </w:r>
          </w:p>
        </w:tc>
      </w:tr>
      <w:tr w:rsidR="00407705" w:rsidRPr="00105FFC" w14:paraId="0C2E49F6"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70F8F7C"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B00899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4EAB8EA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138,670</w:t>
            </w:r>
          </w:p>
        </w:tc>
        <w:tc>
          <w:tcPr>
            <w:tcW w:w="1440" w:type="dxa"/>
            <w:noWrap/>
            <w:vAlign w:val="center"/>
            <w:hideMark/>
          </w:tcPr>
          <w:p w14:paraId="268D190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78,499</w:t>
            </w:r>
          </w:p>
        </w:tc>
        <w:tc>
          <w:tcPr>
            <w:tcW w:w="1436" w:type="dxa"/>
            <w:noWrap/>
            <w:vAlign w:val="center"/>
            <w:hideMark/>
          </w:tcPr>
          <w:p w14:paraId="0E05F26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56.6%</w:t>
            </w:r>
          </w:p>
        </w:tc>
        <w:tc>
          <w:tcPr>
            <w:tcW w:w="1390" w:type="dxa"/>
            <w:noWrap/>
            <w:vAlign w:val="center"/>
            <w:hideMark/>
          </w:tcPr>
          <w:p w14:paraId="1530BFC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82,030</w:t>
            </w:r>
          </w:p>
        </w:tc>
        <w:tc>
          <w:tcPr>
            <w:tcW w:w="1387" w:type="dxa"/>
            <w:noWrap/>
            <w:vAlign w:val="center"/>
            <w:hideMark/>
          </w:tcPr>
          <w:p w14:paraId="0A3AA3F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59.2%</w:t>
            </w:r>
          </w:p>
        </w:tc>
        <w:tc>
          <w:tcPr>
            <w:tcW w:w="1418" w:type="dxa"/>
            <w:noWrap/>
            <w:vAlign w:val="center"/>
            <w:hideMark/>
          </w:tcPr>
          <w:p w14:paraId="06B01C3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1,909</w:t>
            </w:r>
          </w:p>
        </w:tc>
        <w:tc>
          <w:tcPr>
            <w:tcW w:w="1414" w:type="dxa"/>
            <w:noWrap/>
            <w:vAlign w:val="center"/>
            <w:hideMark/>
          </w:tcPr>
          <w:p w14:paraId="2D36036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w:t>
            </w:r>
          </w:p>
        </w:tc>
      </w:tr>
      <w:tr w:rsidR="00407705" w:rsidRPr="00105FFC" w14:paraId="6408AD6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6D82247"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CA7FBA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236ED55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176,330</w:t>
            </w:r>
          </w:p>
        </w:tc>
        <w:tc>
          <w:tcPr>
            <w:tcW w:w="1440" w:type="dxa"/>
            <w:noWrap/>
            <w:vAlign w:val="center"/>
            <w:hideMark/>
          </w:tcPr>
          <w:p w14:paraId="6DFA6A7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81,697</w:t>
            </w:r>
          </w:p>
        </w:tc>
        <w:tc>
          <w:tcPr>
            <w:tcW w:w="1436" w:type="dxa"/>
            <w:noWrap/>
            <w:vAlign w:val="center"/>
            <w:hideMark/>
          </w:tcPr>
          <w:p w14:paraId="3AD3B34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46.3%</w:t>
            </w:r>
          </w:p>
        </w:tc>
        <w:tc>
          <w:tcPr>
            <w:tcW w:w="1390" w:type="dxa"/>
            <w:noWrap/>
            <w:vAlign w:val="center"/>
            <w:hideMark/>
          </w:tcPr>
          <w:p w14:paraId="6692308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89,141</w:t>
            </w:r>
          </w:p>
        </w:tc>
        <w:tc>
          <w:tcPr>
            <w:tcW w:w="1387" w:type="dxa"/>
            <w:noWrap/>
            <w:vAlign w:val="center"/>
            <w:hideMark/>
          </w:tcPr>
          <w:p w14:paraId="115C23D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50.6%</w:t>
            </w:r>
          </w:p>
        </w:tc>
        <w:tc>
          <w:tcPr>
            <w:tcW w:w="1418" w:type="dxa"/>
            <w:noWrap/>
            <w:vAlign w:val="center"/>
            <w:hideMark/>
          </w:tcPr>
          <w:p w14:paraId="16D82B4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2,338</w:t>
            </w:r>
          </w:p>
        </w:tc>
        <w:tc>
          <w:tcPr>
            <w:tcW w:w="1414" w:type="dxa"/>
            <w:noWrap/>
            <w:vAlign w:val="center"/>
            <w:hideMark/>
          </w:tcPr>
          <w:p w14:paraId="7E0013E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w:t>
            </w:r>
          </w:p>
        </w:tc>
      </w:tr>
      <w:tr w:rsidR="00407705" w:rsidRPr="00105FFC" w14:paraId="4477B12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BF2426F"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7EB5E4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7B8C042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67,235</w:t>
            </w:r>
          </w:p>
        </w:tc>
        <w:tc>
          <w:tcPr>
            <w:tcW w:w="1440" w:type="dxa"/>
            <w:noWrap/>
            <w:vAlign w:val="center"/>
            <w:hideMark/>
          </w:tcPr>
          <w:p w14:paraId="458962B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20,703</w:t>
            </w:r>
          </w:p>
        </w:tc>
        <w:tc>
          <w:tcPr>
            <w:tcW w:w="1436" w:type="dxa"/>
            <w:noWrap/>
            <w:vAlign w:val="center"/>
            <w:hideMark/>
          </w:tcPr>
          <w:p w14:paraId="429D69E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30.8%</w:t>
            </w:r>
          </w:p>
        </w:tc>
        <w:tc>
          <w:tcPr>
            <w:tcW w:w="1390" w:type="dxa"/>
            <w:noWrap/>
            <w:vAlign w:val="center"/>
            <w:hideMark/>
          </w:tcPr>
          <w:p w14:paraId="2BF40E0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24,087</w:t>
            </w:r>
          </w:p>
        </w:tc>
        <w:tc>
          <w:tcPr>
            <w:tcW w:w="1387" w:type="dxa"/>
            <w:noWrap/>
            <w:vAlign w:val="center"/>
            <w:hideMark/>
          </w:tcPr>
          <w:p w14:paraId="4CCAA68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35.8%</w:t>
            </w:r>
          </w:p>
        </w:tc>
        <w:tc>
          <w:tcPr>
            <w:tcW w:w="1418" w:type="dxa"/>
            <w:noWrap/>
            <w:vAlign w:val="center"/>
            <w:hideMark/>
          </w:tcPr>
          <w:p w14:paraId="1562E17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731</w:t>
            </w:r>
          </w:p>
        </w:tc>
        <w:tc>
          <w:tcPr>
            <w:tcW w:w="1414" w:type="dxa"/>
            <w:noWrap/>
            <w:vAlign w:val="center"/>
            <w:hideMark/>
          </w:tcPr>
          <w:p w14:paraId="0D71091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w:t>
            </w:r>
          </w:p>
        </w:tc>
      </w:tr>
      <w:tr w:rsidR="00407705" w:rsidRPr="00105FFC" w14:paraId="689E30B0"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ED3ABD6"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97410F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54BB1CC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968,397</w:t>
            </w:r>
          </w:p>
        </w:tc>
        <w:tc>
          <w:tcPr>
            <w:tcW w:w="1440" w:type="dxa"/>
            <w:noWrap/>
            <w:vAlign w:val="center"/>
            <w:hideMark/>
          </w:tcPr>
          <w:p w14:paraId="294D059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502,214</w:t>
            </w:r>
          </w:p>
        </w:tc>
        <w:tc>
          <w:tcPr>
            <w:tcW w:w="1436" w:type="dxa"/>
            <w:noWrap/>
            <w:vAlign w:val="center"/>
            <w:hideMark/>
          </w:tcPr>
          <w:p w14:paraId="0ADB79C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51.9%</w:t>
            </w:r>
          </w:p>
        </w:tc>
        <w:tc>
          <w:tcPr>
            <w:tcW w:w="1390" w:type="dxa"/>
            <w:noWrap/>
            <w:vAlign w:val="center"/>
            <w:hideMark/>
          </w:tcPr>
          <w:p w14:paraId="20DA67B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528,811</w:t>
            </w:r>
          </w:p>
        </w:tc>
        <w:tc>
          <w:tcPr>
            <w:tcW w:w="1387" w:type="dxa"/>
            <w:noWrap/>
            <w:vAlign w:val="center"/>
            <w:hideMark/>
          </w:tcPr>
          <w:p w14:paraId="75C963F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54.6%</w:t>
            </w:r>
          </w:p>
        </w:tc>
        <w:tc>
          <w:tcPr>
            <w:tcW w:w="1418" w:type="dxa"/>
            <w:noWrap/>
            <w:vAlign w:val="center"/>
            <w:hideMark/>
          </w:tcPr>
          <w:p w14:paraId="4A0DEDE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17,867</w:t>
            </w:r>
          </w:p>
        </w:tc>
        <w:tc>
          <w:tcPr>
            <w:tcW w:w="1414" w:type="dxa"/>
            <w:noWrap/>
            <w:vAlign w:val="center"/>
            <w:hideMark/>
          </w:tcPr>
          <w:p w14:paraId="136D713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1.8%</w:t>
            </w:r>
          </w:p>
        </w:tc>
      </w:tr>
      <w:tr w:rsidR="00407705" w:rsidRPr="00105FFC" w14:paraId="163BAC5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17BEAFA0"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North Bay</w:t>
            </w:r>
          </w:p>
        </w:tc>
        <w:tc>
          <w:tcPr>
            <w:tcW w:w="1260" w:type="dxa"/>
            <w:noWrap/>
            <w:vAlign w:val="center"/>
            <w:hideMark/>
          </w:tcPr>
          <w:p w14:paraId="09643EE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65CD089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18,921</w:t>
            </w:r>
          </w:p>
        </w:tc>
        <w:tc>
          <w:tcPr>
            <w:tcW w:w="1440" w:type="dxa"/>
            <w:noWrap/>
            <w:vAlign w:val="center"/>
            <w:hideMark/>
          </w:tcPr>
          <w:p w14:paraId="05CF744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2,530</w:t>
            </w:r>
          </w:p>
        </w:tc>
        <w:tc>
          <w:tcPr>
            <w:tcW w:w="1436" w:type="dxa"/>
            <w:noWrap/>
            <w:vAlign w:val="center"/>
            <w:hideMark/>
          </w:tcPr>
          <w:p w14:paraId="02AD99F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13.4%</w:t>
            </w:r>
          </w:p>
        </w:tc>
        <w:tc>
          <w:tcPr>
            <w:tcW w:w="1390" w:type="dxa"/>
            <w:noWrap/>
            <w:vAlign w:val="center"/>
            <w:hideMark/>
          </w:tcPr>
          <w:p w14:paraId="58F7A8F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2,925</w:t>
            </w:r>
          </w:p>
        </w:tc>
        <w:tc>
          <w:tcPr>
            <w:tcW w:w="1387" w:type="dxa"/>
            <w:noWrap/>
            <w:vAlign w:val="center"/>
            <w:hideMark/>
          </w:tcPr>
          <w:p w14:paraId="3018D8B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15.5%</w:t>
            </w:r>
          </w:p>
        </w:tc>
        <w:tc>
          <w:tcPr>
            <w:tcW w:w="1418" w:type="dxa"/>
            <w:noWrap/>
            <w:vAlign w:val="center"/>
            <w:hideMark/>
          </w:tcPr>
          <w:p w14:paraId="443F4AB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4,852</w:t>
            </w:r>
          </w:p>
        </w:tc>
        <w:tc>
          <w:tcPr>
            <w:tcW w:w="1414" w:type="dxa"/>
            <w:noWrap/>
            <w:vAlign w:val="center"/>
            <w:hideMark/>
          </w:tcPr>
          <w:p w14:paraId="4B22EF1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25.6%</w:t>
            </w:r>
          </w:p>
        </w:tc>
      </w:tr>
      <w:tr w:rsidR="00407705" w:rsidRPr="00105FFC" w14:paraId="5B1573D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A501F31"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EC93F2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4988259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12,396</w:t>
            </w:r>
          </w:p>
        </w:tc>
        <w:tc>
          <w:tcPr>
            <w:tcW w:w="1440" w:type="dxa"/>
            <w:noWrap/>
            <w:vAlign w:val="center"/>
            <w:hideMark/>
          </w:tcPr>
          <w:p w14:paraId="0716DFB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3,554</w:t>
            </w:r>
          </w:p>
        </w:tc>
        <w:tc>
          <w:tcPr>
            <w:tcW w:w="1436" w:type="dxa"/>
            <w:noWrap/>
            <w:vAlign w:val="center"/>
            <w:hideMark/>
          </w:tcPr>
          <w:p w14:paraId="1390F20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28.7%</w:t>
            </w:r>
          </w:p>
        </w:tc>
        <w:tc>
          <w:tcPr>
            <w:tcW w:w="1390" w:type="dxa"/>
            <w:noWrap/>
            <w:vAlign w:val="center"/>
            <w:hideMark/>
          </w:tcPr>
          <w:p w14:paraId="3AA1D72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3,806</w:t>
            </w:r>
          </w:p>
        </w:tc>
        <w:tc>
          <w:tcPr>
            <w:tcW w:w="1387" w:type="dxa"/>
            <w:noWrap/>
            <w:vAlign w:val="center"/>
            <w:hideMark/>
          </w:tcPr>
          <w:p w14:paraId="6DC6C5A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30.7%</w:t>
            </w:r>
          </w:p>
        </w:tc>
        <w:tc>
          <w:tcPr>
            <w:tcW w:w="1418" w:type="dxa"/>
            <w:noWrap/>
            <w:vAlign w:val="center"/>
            <w:hideMark/>
          </w:tcPr>
          <w:p w14:paraId="7D98BDF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3,916</w:t>
            </w:r>
          </w:p>
        </w:tc>
        <w:tc>
          <w:tcPr>
            <w:tcW w:w="1414" w:type="dxa"/>
            <w:noWrap/>
            <w:vAlign w:val="center"/>
            <w:hideMark/>
          </w:tcPr>
          <w:p w14:paraId="67BD0FD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31.6%</w:t>
            </w:r>
          </w:p>
        </w:tc>
      </w:tr>
      <w:tr w:rsidR="00407705" w:rsidRPr="00105FFC" w14:paraId="299D42B2"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10AA712"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0B849C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68F4761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19,441</w:t>
            </w:r>
          </w:p>
        </w:tc>
        <w:tc>
          <w:tcPr>
            <w:tcW w:w="1440" w:type="dxa"/>
            <w:noWrap/>
            <w:vAlign w:val="center"/>
            <w:hideMark/>
          </w:tcPr>
          <w:p w14:paraId="0563662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5,995</w:t>
            </w:r>
          </w:p>
        </w:tc>
        <w:tc>
          <w:tcPr>
            <w:tcW w:w="1436" w:type="dxa"/>
            <w:noWrap/>
            <w:vAlign w:val="center"/>
            <w:hideMark/>
          </w:tcPr>
          <w:p w14:paraId="51522A6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30.8%</w:t>
            </w:r>
          </w:p>
        </w:tc>
        <w:tc>
          <w:tcPr>
            <w:tcW w:w="1390" w:type="dxa"/>
            <w:noWrap/>
            <w:vAlign w:val="center"/>
            <w:hideMark/>
          </w:tcPr>
          <w:p w14:paraId="583080A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6,336</w:t>
            </w:r>
          </w:p>
        </w:tc>
        <w:tc>
          <w:tcPr>
            <w:tcW w:w="1387" w:type="dxa"/>
            <w:noWrap/>
            <w:vAlign w:val="center"/>
            <w:hideMark/>
          </w:tcPr>
          <w:p w14:paraId="57C4C0C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32.6%</w:t>
            </w:r>
          </w:p>
        </w:tc>
        <w:tc>
          <w:tcPr>
            <w:tcW w:w="1418" w:type="dxa"/>
            <w:noWrap/>
            <w:vAlign w:val="center"/>
            <w:hideMark/>
          </w:tcPr>
          <w:p w14:paraId="3224E6B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5,817</w:t>
            </w:r>
          </w:p>
        </w:tc>
        <w:tc>
          <w:tcPr>
            <w:tcW w:w="1414" w:type="dxa"/>
            <w:noWrap/>
            <w:vAlign w:val="center"/>
            <w:hideMark/>
          </w:tcPr>
          <w:p w14:paraId="4CB3D27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29.9%</w:t>
            </w:r>
          </w:p>
        </w:tc>
      </w:tr>
      <w:tr w:rsidR="00407705" w:rsidRPr="00105FFC" w14:paraId="6C564845"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11473FE"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8B29C2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571C9B6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17,229</w:t>
            </w:r>
          </w:p>
        </w:tc>
        <w:tc>
          <w:tcPr>
            <w:tcW w:w="1440" w:type="dxa"/>
            <w:noWrap/>
            <w:vAlign w:val="center"/>
            <w:hideMark/>
          </w:tcPr>
          <w:p w14:paraId="7F83344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5,228</w:t>
            </w:r>
          </w:p>
        </w:tc>
        <w:tc>
          <w:tcPr>
            <w:tcW w:w="1436" w:type="dxa"/>
            <w:noWrap/>
            <w:vAlign w:val="center"/>
            <w:hideMark/>
          </w:tcPr>
          <w:p w14:paraId="6778A06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30.3%</w:t>
            </w:r>
          </w:p>
        </w:tc>
        <w:tc>
          <w:tcPr>
            <w:tcW w:w="1390" w:type="dxa"/>
            <w:noWrap/>
            <w:vAlign w:val="center"/>
            <w:hideMark/>
          </w:tcPr>
          <w:p w14:paraId="19AE030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5,594</w:t>
            </w:r>
          </w:p>
        </w:tc>
        <w:tc>
          <w:tcPr>
            <w:tcW w:w="1387" w:type="dxa"/>
            <w:noWrap/>
            <w:vAlign w:val="center"/>
            <w:hideMark/>
          </w:tcPr>
          <w:p w14:paraId="43B80B0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32.5%</w:t>
            </w:r>
          </w:p>
        </w:tc>
        <w:tc>
          <w:tcPr>
            <w:tcW w:w="1418" w:type="dxa"/>
            <w:noWrap/>
            <w:vAlign w:val="center"/>
            <w:hideMark/>
          </w:tcPr>
          <w:p w14:paraId="068CB8D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4,545</w:t>
            </w:r>
          </w:p>
        </w:tc>
        <w:tc>
          <w:tcPr>
            <w:tcW w:w="1414" w:type="dxa"/>
            <w:noWrap/>
            <w:vAlign w:val="center"/>
            <w:hideMark/>
          </w:tcPr>
          <w:p w14:paraId="5F9B855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26.4%</w:t>
            </w:r>
          </w:p>
        </w:tc>
      </w:tr>
      <w:tr w:rsidR="00407705" w:rsidRPr="00105FFC" w14:paraId="3D61F75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51F62B9"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601B1D2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0B3A927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15,295</w:t>
            </w:r>
          </w:p>
        </w:tc>
        <w:tc>
          <w:tcPr>
            <w:tcW w:w="1440" w:type="dxa"/>
            <w:noWrap/>
            <w:vAlign w:val="center"/>
            <w:hideMark/>
          </w:tcPr>
          <w:p w14:paraId="6111167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4,483</w:t>
            </w:r>
          </w:p>
        </w:tc>
        <w:tc>
          <w:tcPr>
            <w:tcW w:w="1436" w:type="dxa"/>
            <w:noWrap/>
            <w:vAlign w:val="center"/>
            <w:hideMark/>
          </w:tcPr>
          <w:p w14:paraId="679811D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29.3%</w:t>
            </w:r>
          </w:p>
        </w:tc>
        <w:tc>
          <w:tcPr>
            <w:tcW w:w="1390" w:type="dxa"/>
            <w:noWrap/>
            <w:vAlign w:val="center"/>
            <w:hideMark/>
          </w:tcPr>
          <w:p w14:paraId="4FF18F4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4,925</w:t>
            </w:r>
          </w:p>
        </w:tc>
        <w:tc>
          <w:tcPr>
            <w:tcW w:w="1387" w:type="dxa"/>
            <w:noWrap/>
            <w:vAlign w:val="center"/>
            <w:hideMark/>
          </w:tcPr>
          <w:p w14:paraId="011210F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32.2%</w:t>
            </w:r>
          </w:p>
        </w:tc>
        <w:tc>
          <w:tcPr>
            <w:tcW w:w="1418" w:type="dxa"/>
            <w:noWrap/>
            <w:vAlign w:val="center"/>
            <w:hideMark/>
          </w:tcPr>
          <w:p w14:paraId="2D210DA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3,221</w:t>
            </w:r>
          </w:p>
        </w:tc>
        <w:tc>
          <w:tcPr>
            <w:tcW w:w="1414" w:type="dxa"/>
            <w:noWrap/>
            <w:vAlign w:val="center"/>
            <w:hideMark/>
          </w:tcPr>
          <w:p w14:paraId="68165FB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21.1%</w:t>
            </w:r>
          </w:p>
        </w:tc>
      </w:tr>
      <w:tr w:rsidR="00407705" w:rsidRPr="00105FFC" w14:paraId="6F5066EA"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25A5AEE"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F5F619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59306EF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18,005</w:t>
            </w:r>
          </w:p>
        </w:tc>
        <w:tc>
          <w:tcPr>
            <w:tcW w:w="1440" w:type="dxa"/>
            <w:noWrap/>
            <w:vAlign w:val="center"/>
            <w:hideMark/>
          </w:tcPr>
          <w:p w14:paraId="321DFD0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4,434</w:t>
            </w:r>
          </w:p>
        </w:tc>
        <w:tc>
          <w:tcPr>
            <w:tcW w:w="1436" w:type="dxa"/>
            <w:noWrap/>
            <w:vAlign w:val="center"/>
            <w:hideMark/>
          </w:tcPr>
          <w:p w14:paraId="437FF23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24.6%</w:t>
            </w:r>
          </w:p>
        </w:tc>
        <w:tc>
          <w:tcPr>
            <w:tcW w:w="1390" w:type="dxa"/>
            <w:noWrap/>
            <w:vAlign w:val="center"/>
            <w:hideMark/>
          </w:tcPr>
          <w:p w14:paraId="1E7B320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5,254</w:t>
            </w:r>
          </w:p>
        </w:tc>
        <w:tc>
          <w:tcPr>
            <w:tcW w:w="1387" w:type="dxa"/>
            <w:noWrap/>
            <w:vAlign w:val="center"/>
            <w:hideMark/>
          </w:tcPr>
          <w:p w14:paraId="773BAD9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29.2%</w:t>
            </w:r>
          </w:p>
        </w:tc>
        <w:tc>
          <w:tcPr>
            <w:tcW w:w="1418" w:type="dxa"/>
            <w:noWrap/>
            <w:vAlign w:val="center"/>
            <w:hideMark/>
          </w:tcPr>
          <w:p w14:paraId="477F01F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2,863</w:t>
            </w:r>
          </w:p>
        </w:tc>
        <w:tc>
          <w:tcPr>
            <w:tcW w:w="1414" w:type="dxa"/>
            <w:noWrap/>
            <w:vAlign w:val="center"/>
            <w:hideMark/>
          </w:tcPr>
          <w:p w14:paraId="6E7A926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15.9%</w:t>
            </w:r>
          </w:p>
        </w:tc>
      </w:tr>
      <w:tr w:rsidR="00407705" w:rsidRPr="00105FFC" w14:paraId="3D8803A4"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A892101"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9C4294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756FB99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5,778</w:t>
            </w:r>
          </w:p>
        </w:tc>
        <w:tc>
          <w:tcPr>
            <w:tcW w:w="1440" w:type="dxa"/>
            <w:noWrap/>
            <w:vAlign w:val="center"/>
            <w:hideMark/>
          </w:tcPr>
          <w:p w14:paraId="5A2FD65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845</w:t>
            </w:r>
          </w:p>
        </w:tc>
        <w:tc>
          <w:tcPr>
            <w:tcW w:w="1436" w:type="dxa"/>
            <w:noWrap/>
            <w:vAlign w:val="center"/>
            <w:hideMark/>
          </w:tcPr>
          <w:p w14:paraId="783F4EA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14.6%</w:t>
            </w:r>
          </w:p>
        </w:tc>
        <w:tc>
          <w:tcPr>
            <w:tcW w:w="1390" w:type="dxa"/>
            <w:noWrap/>
            <w:vAlign w:val="center"/>
            <w:hideMark/>
          </w:tcPr>
          <w:p w14:paraId="2FBA391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1,166</w:t>
            </w:r>
          </w:p>
        </w:tc>
        <w:tc>
          <w:tcPr>
            <w:tcW w:w="1387" w:type="dxa"/>
            <w:noWrap/>
            <w:vAlign w:val="center"/>
            <w:hideMark/>
          </w:tcPr>
          <w:p w14:paraId="162CCCB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20.2%</w:t>
            </w:r>
          </w:p>
        </w:tc>
        <w:tc>
          <w:tcPr>
            <w:tcW w:w="1418" w:type="dxa"/>
            <w:noWrap/>
            <w:vAlign w:val="center"/>
            <w:hideMark/>
          </w:tcPr>
          <w:p w14:paraId="4FB7875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500</w:t>
            </w:r>
          </w:p>
        </w:tc>
        <w:tc>
          <w:tcPr>
            <w:tcW w:w="1414" w:type="dxa"/>
            <w:noWrap/>
            <w:vAlign w:val="center"/>
            <w:hideMark/>
          </w:tcPr>
          <w:p w14:paraId="4ED0DBA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8.7%</w:t>
            </w:r>
          </w:p>
        </w:tc>
      </w:tr>
      <w:tr w:rsidR="00407705" w:rsidRPr="00105FFC" w14:paraId="01DA6A54"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26008039"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C43D5C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516D5A0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107,065</w:t>
            </w:r>
          </w:p>
        </w:tc>
        <w:tc>
          <w:tcPr>
            <w:tcW w:w="1440" w:type="dxa"/>
            <w:noWrap/>
            <w:vAlign w:val="center"/>
            <w:hideMark/>
          </w:tcPr>
          <w:p w14:paraId="6B22DE6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27,069</w:t>
            </w:r>
          </w:p>
        </w:tc>
        <w:tc>
          <w:tcPr>
            <w:tcW w:w="1436" w:type="dxa"/>
            <w:noWrap/>
            <w:vAlign w:val="center"/>
            <w:hideMark/>
          </w:tcPr>
          <w:p w14:paraId="33BB3A4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25.3%</w:t>
            </w:r>
          </w:p>
        </w:tc>
        <w:tc>
          <w:tcPr>
            <w:tcW w:w="1390" w:type="dxa"/>
            <w:noWrap/>
            <w:vAlign w:val="center"/>
            <w:hideMark/>
          </w:tcPr>
          <w:p w14:paraId="30B6E73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30,006</w:t>
            </w:r>
          </w:p>
        </w:tc>
        <w:tc>
          <w:tcPr>
            <w:tcW w:w="1387" w:type="dxa"/>
            <w:noWrap/>
            <w:vAlign w:val="center"/>
            <w:hideMark/>
          </w:tcPr>
          <w:p w14:paraId="73D02E3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28.0%</w:t>
            </w:r>
          </w:p>
        </w:tc>
        <w:tc>
          <w:tcPr>
            <w:tcW w:w="1418" w:type="dxa"/>
            <w:noWrap/>
            <w:vAlign w:val="center"/>
            <w:hideMark/>
          </w:tcPr>
          <w:p w14:paraId="148B12D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25,714</w:t>
            </w:r>
          </w:p>
        </w:tc>
        <w:tc>
          <w:tcPr>
            <w:tcW w:w="1414" w:type="dxa"/>
            <w:noWrap/>
            <w:vAlign w:val="center"/>
            <w:hideMark/>
          </w:tcPr>
          <w:p w14:paraId="365F520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24.0%</w:t>
            </w:r>
          </w:p>
        </w:tc>
      </w:tr>
      <w:tr w:rsidR="00407705" w:rsidRPr="00105FFC" w14:paraId="5434F3AE"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332DCA32"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Northern</w:t>
            </w:r>
          </w:p>
        </w:tc>
        <w:tc>
          <w:tcPr>
            <w:tcW w:w="1260" w:type="dxa"/>
            <w:noWrap/>
            <w:vAlign w:val="center"/>
            <w:hideMark/>
          </w:tcPr>
          <w:p w14:paraId="7EB2A40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264C66E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27,123</w:t>
            </w:r>
          </w:p>
        </w:tc>
        <w:tc>
          <w:tcPr>
            <w:tcW w:w="1440" w:type="dxa"/>
            <w:noWrap/>
            <w:vAlign w:val="center"/>
            <w:hideMark/>
          </w:tcPr>
          <w:p w14:paraId="5C159AF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1,987</w:t>
            </w:r>
          </w:p>
        </w:tc>
        <w:tc>
          <w:tcPr>
            <w:tcW w:w="1436" w:type="dxa"/>
            <w:noWrap/>
            <w:vAlign w:val="center"/>
            <w:hideMark/>
          </w:tcPr>
          <w:p w14:paraId="43E7D6A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7.3%</w:t>
            </w:r>
          </w:p>
        </w:tc>
        <w:tc>
          <w:tcPr>
            <w:tcW w:w="1390" w:type="dxa"/>
            <w:noWrap/>
            <w:vAlign w:val="center"/>
            <w:hideMark/>
          </w:tcPr>
          <w:p w14:paraId="30223FA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2,872</w:t>
            </w:r>
          </w:p>
        </w:tc>
        <w:tc>
          <w:tcPr>
            <w:tcW w:w="1387" w:type="dxa"/>
            <w:noWrap/>
            <w:vAlign w:val="center"/>
            <w:hideMark/>
          </w:tcPr>
          <w:p w14:paraId="2CF096A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10.6%</w:t>
            </w:r>
          </w:p>
        </w:tc>
        <w:tc>
          <w:tcPr>
            <w:tcW w:w="1418" w:type="dxa"/>
            <w:noWrap/>
            <w:vAlign w:val="center"/>
            <w:hideMark/>
          </w:tcPr>
          <w:p w14:paraId="24CF515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4,787</w:t>
            </w:r>
          </w:p>
        </w:tc>
        <w:tc>
          <w:tcPr>
            <w:tcW w:w="1414" w:type="dxa"/>
            <w:noWrap/>
            <w:vAlign w:val="center"/>
            <w:hideMark/>
          </w:tcPr>
          <w:p w14:paraId="4071437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17.6%</w:t>
            </w:r>
          </w:p>
        </w:tc>
      </w:tr>
      <w:tr w:rsidR="00407705" w:rsidRPr="00105FFC" w14:paraId="66BBA9BA"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E754BCE"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44E9DF6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5B2C236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16,752</w:t>
            </w:r>
          </w:p>
        </w:tc>
        <w:tc>
          <w:tcPr>
            <w:tcW w:w="1440" w:type="dxa"/>
            <w:noWrap/>
            <w:vAlign w:val="center"/>
            <w:hideMark/>
          </w:tcPr>
          <w:p w14:paraId="4757B82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3,655</w:t>
            </w:r>
          </w:p>
        </w:tc>
        <w:tc>
          <w:tcPr>
            <w:tcW w:w="1436" w:type="dxa"/>
            <w:noWrap/>
            <w:vAlign w:val="center"/>
            <w:hideMark/>
          </w:tcPr>
          <w:p w14:paraId="0B3FB84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21.8%</w:t>
            </w:r>
          </w:p>
        </w:tc>
        <w:tc>
          <w:tcPr>
            <w:tcW w:w="1390" w:type="dxa"/>
            <w:noWrap/>
            <w:vAlign w:val="center"/>
            <w:hideMark/>
          </w:tcPr>
          <w:p w14:paraId="268D8A6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4,131</w:t>
            </w:r>
          </w:p>
        </w:tc>
        <w:tc>
          <w:tcPr>
            <w:tcW w:w="1387" w:type="dxa"/>
            <w:noWrap/>
            <w:vAlign w:val="center"/>
            <w:hideMark/>
          </w:tcPr>
          <w:p w14:paraId="1F029E7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24.7%</w:t>
            </w:r>
          </w:p>
        </w:tc>
        <w:tc>
          <w:tcPr>
            <w:tcW w:w="1418" w:type="dxa"/>
            <w:noWrap/>
            <w:vAlign w:val="center"/>
            <w:hideMark/>
          </w:tcPr>
          <w:p w14:paraId="4286961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5,317</w:t>
            </w:r>
          </w:p>
        </w:tc>
        <w:tc>
          <w:tcPr>
            <w:tcW w:w="1414" w:type="dxa"/>
            <w:noWrap/>
            <w:vAlign w:val="center"/>
            <w:hideMark/>
          </w:tcPr>
          <w:p w14:paraId="4039068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31.7%</w:t>
            </w:r>
          </w:p>
        </w:tc>
      </w:tr>
      <w:tr w:rsidR="00407705" w:rsidRPr="00105FFC" w14:paraId="37FD937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86B321E"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36E71C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4F10BB8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25,933</w:t>
            </w:r>
          </w:p>
        </w:tc>
        <w:tc>
          <w:tcPr>
            <w:tcW w:w="1440" w:type="dxa"/>
            <w:noWrap/>
            <w:vAlign w:val="center"/>
            <w:hideMark/>
          </w:tcPr>
          <w:p w14:paraId="4FF840F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5,423</w:t>
            </w:r>
          </w:p>
        </w:tc>
        <w:tc>
          <w:tcPr>
            <w:tcW w:w="1436" w:type="dxa"/>
            <w:noWrap/>
            <w:vAlign w:val="center"/>
            <w:hideMark/>
          </w:tcPr>
          <w:p w14:paraId="01E1A37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20.9%</w:t>
            </w:r>
          </w:p>
        </w:tc>
        <w:tc>
          <w:tcPr>
            <w:tcW w:w="1390" w:type="dxa"/>
            <w:noWrap/>
            <w:vAlign w:val="center"/>
            <w:hideMark/>
          </w:tcPr>
          <w:p w14:paraId="4848F49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5,837</w:t>
            </w:r>
          </w:p>
        </w:tc>
        <w:tc>
          <w:tcPr>
            <w:tcW w:w="1387" w:type="dxa"/>
            <w:noWrap/>
            <w:vAlign w:val="center"/>
            <w:hideMark/>
          </w:tcPr>
          <w:p w14:paraId="31DCB92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22.5%</w:t>
            </w:r>
          </w:p>
        </w:tc>
        <w:tc>
          <w:tcPr>
            <w:tcW w:w="1418" w:type="dxa"/>
            <w:noWrap/>
            <w:vAlign w:val="center"/>
            <w:hideMark/>
          </w:tcPr>
          <w:p w14:paraId="7BB6D0C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8,894</w:t>
            </w:r>
          </w:p>
        </w:tc>
        <w:tc>
          <w:tcPr>
            <w:tcW w:w="1414" w:type="dxa"/>
            <w:noWrap/>
            <w:vAlign w:val="center"/>
            <w:hideMark/>
          </w:tcPr>
          <w:p w14:paraId="2F75099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34.3%</w:t>
            </w:r>
          </w:p>
        </w:tc>
      </w:tr>
      <w:tr w:rsidR="00407705" w:rsidRPr="00105FFC" w14:paraId="5E2F3F87"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60FEDA4"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C1C6E2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69BA327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23,532</w:t>
            </w:r>
          </w:p>
        </w:tc>
        <w:tc>
          <w:tcPr>
            <w:tcW w:w="1440" w:type="dxa"/>
            <w:noWrap/>
            <w:vAlign w:val="center"/>
            <w:hideMark/>
          </w:tcPr>
          <w:p w14:paraId="272E117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4,462</w:t>
            </w:r>
          </w:p>
        </w:tc>
        <w:tc>
          <w:tcPr>
            <w:tcW w:w="1436" w:type="dxa"/>
            <w:noWrap/>
            <w:vAlign w:val="center"/>
            <w:hideMark/>
          </w:tcPr>
          <w:p w14:paraId="2D60B1B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19.0%</w:t>
            </w:r>
          </w:p>
        </w:tc>
        <w:tc>
          <w:tcPr>
            <w:tcW w:w="1390" w:type="dxa"/>
            <w:noWrap/>
            <w:vAlign w:val="center"/>
            <w:hideMark/>
          </w:tcPr>
          <w:p w14:paraId="718F594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4,902</w:t>
            </w:r>
          </w:p>
        </w:tc>
        <w:tc>
          <w:tcPr>
            <w:tcW w:w="1387" w:type="dxa"/>
            <w:noWrap/>
            <w:vAlign w:val="center"/>
            <w:hideMark/>
          </w:tcPr>
          <w:p w14:paraId="2360ECC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20.8%</w:t>
            </w:r>
          </w:p>
        </w:tc>
        <w:tc>
          <w:tcPr>
            <w:tcW w:w="1418" w:type="dxa"/>
            <w:noWrap/>
            <w:vAlign w:val="center"/>
            <w:hideMark/>
          </w:tcPr>
          <w:p w14:paraId="5868956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7,636</w:t>
            </w:r>
          </w:p>
        </w:tc>
        <w:tc>
          <w:tcPr>
            <w:tcW w:w="1414" w:type="dxa"/>
            <w:noWrap/>
            <w:vAlign w:val="center"/>
            <w:hideMark/>
          </w:tcPr>
          <w:p w14:paraId="3F37E3E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32.4%</w:t>
            </w:r>
          </w:p>
        </w:tc>
      </w:tr>
      <w:tr w:rsidR="00407705" w:rsidRPr="00105FFC" w14:paraId="7F80E51E"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5A50EBC"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833235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1CDF2FF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21,543</w:t>
            </w:r>
          </w:p>
        </w:tc>
        <w:tc>
          <w:tcPr>
            <w:tcW w:w="1440" w:type="dxa"/>
            <w:noWrap/>
            <w:vAlign w:val="center"/>
            <w:hideMark/>
          </w:tcPr>
          <w:p w14:paraId="394030D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3,702</w:t>
            </w:r>
          </w:p>
        </w:tc>
        <w:tc>
          <w:tcPr>
            <w:tcW w:w="1436" w:type="dxa"/>
            <w:noWrap/>
            <w:vAlign w:val="center"/>
            <w:hideMark/>
          </w:tcPr>
          <w:p w14:paraId="6E9F33B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17.2%</w:t>
            </w:r>
          </w:p>
        </w:tc>
        <w:tc>
          <w:tcPr>
            <w:tcW w:w="1390" w:type="dxa"/>
            <w:noWrap/>
            <w:vAlign w:val="center"/>
            <w:hideMark/>
          </w:tcPr>
          <w:p w14:paraId="6C911FB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4,422</w:t>
            </w:r>
          </w:p>
        </w:tc>
        <w:tc>
          <w:tcPr>
            <w:tcW w:w="1387" w:type="dxa"/>
            <w:noWrap/>
            <w:vAlign w:val="center"/>
            <w:hideMark/>
          </w:tcPr>
          <w:p w14:paraId="1679CC8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20.5%</w:t>
            </w:r>
          </w:p>
        </w:tc>
        <w:tc>
          <w:tcPr>
            <w:tcW w:w="1418" w:type="dxa"/>
            <w:noWrap/>
            <w:vAlign w:val="center"/>
            <w:hideMark/>
          </w:tcPr>
          <w:p w14:paraId="59A7267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5,839</w:t>
            </w:r>
          </w:p>
        </w:tc>
        <w:tc>
          <w:tcPr>
            <w:tcW w:w="1414" w:type="dxa"/>
            <w:noWrap/>
            <w:vAlign w:val="center"/>
            <w:hideMark/>
          </w:tcPr>
          <w:p w14:paraId="7C7A6BA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27.1%</w:t>
            </w:r>
          </w:p>
        </w:tc>
      </w:tr>
      <w:tr w:rsidR="00407705" w:rsidRPr="00105FFC" w14:paraId="1C537884"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EE2AF0E"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962690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3F6318B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27,204</w:t>
            </w:r>
          </w:p>
        </w:tc>
        <w:tc>
          <w:tcPr>
            <w:tcW w:w="1440" w:type="dxa"/>
            <w:noWrap/>
            <w:vAlign w:val="center"/>
            <w:hideMark/>
          </w:tcPr>
          <w:p w14:paraId="57B7032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3,992</w:t>
            </w:r>
          </w:p>
        </w:tc>
        <w:tc>
          <w:tcPr>
            <w:tcW w:w="1436" w:type="dxa"/>
            <w:noWrap/>
            <w:vAlign w:val="center"/>
            <w:hideMark/>
          </w:tcPr>
          <w:p w14:paraId="230112F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14.7%</w:t>
            </w:r>
          </w:p>
        </w:tc>
        <w:tc>
          <w:tcPr>
            <w:tcW w:w="1390" w:type="dxa"/>
            <w:noWrap/>
            <w:vAlign w:val="center"/>
            <w:hideMark/>
          </w:tcPr>
          <w:p w14:paraId="7B4143C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5,431</w:t>
            </w:r>
          </w:p>
        </w:tc>
        <w:tc>
          <w:tcPr>
            <w:tcW w:w="1387" w:type="dxa"/>
            <w:noWrap/>
            <w:vAlign w:val="center"/>
            <w:hideMark/>
          </w:tcPr>
          <w:p w14:paraId="11D11B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20.0%</w:t>
            </w:r>
          </w:p>
        </w:tc>
        <w:tc>
          <w:tcPr>
            <w:tcW w:w="1418" w:type="dxa"/>
            <w:noWrap/>
            <w:vAlign w:val="center"/>
            <w:hideMark/>
          </w:tcPr>
          <w:p w14:paraId="1E19F0C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6,310</w:t>
            </w:r>
          </w:p>
        </w:tc>
        <w:tc>
          <w:tcPr>
            <w:tcW w:w="1414" w:type="dxa"/>
            <w:noWrap/>
            <w:vAlign w:val="center"/>
            <w:hideMark/>
          </w:tcPr>
          <w:p w14:paraId="6436908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23.2%</w:t>
            </w:r>
          </w:p>
        </w:tc>
      </w:tr>
      <w:tr w:rsidR="00407705" w:rsidRPr="00105FFC" w14:paraId="36574924"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94321E4"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F77FBA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28FED92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10,098</w:t>
            </w:r>
          </w:p>
        </w:tc>
        <w:tc>
          <w:tcPr>
            <w:tcW w:w="1440" w:type="dxa"/>
            <w:noWrap/>
            <w:vAlign w:val="center"/>
            <w:hideMark/>
          </w:tcPr>
          <w:p w14:paraId="53DD03E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881</w:t>
            </w:r>
          </w:p>
        </w:tc>
        <w:tc>
          <w:tcPr>
            <w:tcW w:w="1436" w:type="dxa"/>
            <w:noWrap/>
            <w:vAlign w:val="center"/>
            <w:hideMark/>
          </w:tcPr>
          <w:p w14:paraId="60EACBB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8.7%</w:t>
            </w:r>
          </w:p>
        </w:tc>
        <w:tc>
          <w:tcPr>
            <w:tcW w:w="1390" w:type="dxa"/>
            <w:noWrap/>
            <w:vAlign w:val="center"/>
            <w:hideMark/>
          </w:tcPr>
          <w:p w14:paraId="2A962AC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1,399</w:t>
            </w:r>
          </w:p>
        </w:tc>
        <w:tc>
          <w:tcPr>
            <w:tcW w:w="1387" w:type="dxa"/>
            <w:noWrap/>
            <w:vAlign w:val="center"/>
            <w:hideMark/>
          </w:tcPr>
          <w:p w14:paraId="5DF42BC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13.9%</w:t>
            </w:r>
          </w:p>
        </w:tc>
        <w:tc>
          <w:tcPr>
            <w:tcW w:w="1418" w:type="dxa"/>
            <w:noWrap/>
            <w:vAlign w:val="center"/>
            <w:hideMark/>
          </w:tcPr>
          <w:p w14:paraId="7B41159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1,546</w:t>
            </w:r>
          </w:p>
        </w:tc>
        <w:tc>
          <w:tcPr>
            <w:tcW w:w="1414" w:type="dxa"/>
            <w:noWrap/>
            <w:vAlign w:val="center"/>
            <w:hideMark/>
          </w:tcPr>
          <w:p w14:paraId="0AE60B9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15.3%</w:t>
            </w:r>
          </w:p>
        </w:tc>
      </w:tr>
      <w:tr w:rsidR="00407705" w:rsidRPr="00105FFC" w14:paraId="74BEDEDD"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D9DC723"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8ED7A7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0980A8B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152,185</w:t>
            </w:r>
          </w:p>
        </w:tc>
        <w:tc>
          <w:tcPr>
            <w:tcW w:w="1440" w:type="dxa"/>
            <w:noWrap/>
            <w:vAlign w:val="center"/>
            <w:hideMark/>
          </w:tcPr>
          <w:p w14:paraId="27D41FE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24,102</w:t>
            </w:r>
          </w:p>
        </w:tc>
        <w:tc>
          <w:tcPr>
            <w:tcW w:w="1436" w:type="dxa"/>
            <w:noWrap/>
            <w:vAlign w:val="center"/>
            <w:hideMark/>
          </w:tcPr>
          <w:p w14:paraId="0FD8FB6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15.8%</w:t>
            </w:r>
          </w:p>
        </w:tc>
        <w:tc>
          <w:tcPr>
            <w:tcW w:w="1390" w:type="dxa"/>
            <w:noWrap/>
            <w:vAlign w:val="center"/>
            <w:hideMark/>
          </w:tcPr>
          <w:p w14:paraId="1232268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28,994</w:t>
            </w:r>
          </w:p>
        </w:tc>
        <w:tc>
          <w:tcPr>
            <w:tcW w:w="1387" w:type="dxa"/>
            <w:noWrap/>
            <w:vAlign w:val="center"/>
            <w:hideMark/>
          </w:tcPr>
          <w:p w14:paraId="28FD60D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19.1%</w:t>
            </w:r>
          </w:p>
        </w:tc>
        <w:tc>
          <w:tcPr>
            <w:tcW w:w="1418" w:type="dxa"/>
            <w:noWrap/>
            <w:vAlign w:val="center"/>
            <w:hideMark/>
          </w:tcPr>
          <w:p w14:paraId="1B78D06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40,329</w:t>
            </w:r>
          </w:p>
        </w:tc>
        <w:tc>
          <w:tcPr>
            <w:tcW w:w="1414" w:type="dxa"/>
            <w:noWrap/>
            <w:vAlign w:val="center"/>
            <w:hideMark/>
          </w:tcPr>
          <w:p w14:paraId="04DEDC8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26.5%</w:t>
            </w:r>
          </w:p>
        </w:tc>
      </w:tr>
      <w:tr w:rsidR="00407705" w:rsidRPr="00105FFC" w14:paraId="1BF154BF"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5978AA7C"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Orange</w:t>
            </w:r>
          </w:p>
        </w:tc>
        <w:tc>
          <w:tcPr>
            <w:tcW w:w="1260" w:type="dxa"/>
            <w:noWrap/>
            <w:vAlign w:val="center"/>
            <w:hideMark/>
          </w:tcPr>
          <w:p w14:paraId="05314DF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4F8893F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51,376</w:t>
            </w:r>
          </w:p>
        </w:tc>
        <w:tc>
          <w:tcPr>
            <w:tcW w:w="1440" w:type="dxa"/>
            <w:noWrap/>
            <w:vAlign w:val="center"/>
            <w:hideMark/>
          </w:tcPr>
          <w:p w14:paraId="45A103A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15,046</w:t>
            </w:r>
          </w:p>
        </w:tc>
        <w:tc>
          <w:tcPr>
            <w:tcW w:w="1436" w:type="dxa"/>
            <w:noWrap/>
            <w:vAlign w:val="center"/>
            <w:hideMark/>
          </w:tcPr>
          <w:p w14:paraId="4D1716B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29.3%</w:t>
            </w:r>
          </w:p>
        </w:tc>
        <w:tc>
          <w:tcPr>
            <w:tcW w:w="1390" w:type="dxa"/>
            <w:noWrap/>
            <w:vAlign w:val="center"/>
            <w:hideMark/>
          </w:tcPr>
          <w:p w14:paraId="09CEF83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15,966</w:t>
            </w:r>
          </w:p>
        </w:tc>
        <w:tc>
          <w:tcPr>
            <w:tcW w:w="1387" w:type="dxa"/>
            <w:noWrap/>
            <w:vAlign w:val="center"/>
            <w:hideMark/>
          </w:tcPr>
          <w:p w14:paraId="641452D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31.1%</w:t>
            </w:r>
          </w:p>
        </w:tc>
        <w:tc>
          <w:tcPr>
            <w:tcW w:w="1418" w:type="dxa"/>
            <w:noWrap/>
            <w:vAlign w:val="center"/>
            <w:hideMark/>
          </w:tcPr>
          <w:p w14:paraId="7ABB7A5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2,446</w:t>
            </w:r>
          </w:p>
        </w:tc>
        <w:tc>
          <w:tcPr>
            <w:tcW w:w="1414" w:type="dxa"/>
            <w:noWrap/>
            <w:vAlign w:val="center"/>
            <w:hideMark/>
          </w:tcPr>
          <w:p w14:paraId="0551533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w:t>
            </w:r>
          </w:p>
        </w:tc>
      </w:tr>
      <w:tr w:rsidR="00407705" w:rsidRPr="00105FFC" w14:paraId="4A3C3B4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44CE3FA"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64D2B75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02CFCC4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33,526</w:t>
            </w:r>
          </w:p>
        </w:tc>
        <w:tc>
          <w:tcPr>
            <w:tcW w:w="1440" w:type="dxa"/>
            <w:noWrap/>
            <w:vAlign w:val="center"/>
            <w:hideMark/>
          </w:tcPr>
          <w:p w14:paraId="78DBE96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21,087</w:t>
            </w:r>
          </w:p>
        </w:tc>
        <w:tc>
          <w:tcPr>
            <w:tcW w:w="1436" w:type="dxa"/>
            <w:noWrap/>
            <w:vAlign w:val="center"/>
            <w:hideMark/>
          </w:tcPr>
          <w:p w14:paraId="2795DDB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62.9%</w:t>
            </w:r>
          </w:p>
        </w:tc>
        <w:tc>
          <w:tcPr>
            <w:tcW w:w="1390" w:type="dxa"/>
            <w:noWrap/>
            <w:vAlign w:val="center"/>
            <w:hideMark/>
          </w:tcPr>
          <w:p w14:paraId="3B66FF4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21,844</w:t>
            </w:r>
          </w:p>
        </w:tc>
        <w:tc>
          <w:tcPr>
            <w:tcW w:w="1387" w:type="dxa"/>
            <w:noWrap/>
            <w:vAlign w:val="center"/>
            <w:hideMark/>
          </w:tcPr>
          <w:p w14:paraId="795D470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65.2%</w:t>
            </w:r>
          </w:p>
        </w:tc>
        <w:tc>
          <w:tcPr>
            <w:tcW w:w="1418" w:type="dxa"/>
            <w:noWrap/>
            <w:vAlign w:val="center"/>
            <w:hideMark/>
          </w:tcPr>
          <w:p w14:paraId="0A7A9C6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1,174</w:t>
            </w:r>
          </w:p>
        </w:tc>
        <w:tc>
          <w:tcPr>
            <w:tcW w:w="1414" w:type="dxa"/>
            <w:noWrap/>
            <w:vAlign w:val="center"/>
            <w:hideMark/>
          </w:tcPr>
          <w:p w14:paraId="1CCEF29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w:t>
            </w:r>
          </w:p>
        </w:tc>
      </w:tr>
      <w:tr w:rsidR="00407705" w:rsidRPr="00105FFC" w14:paraId="6BCC2247"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3BBF3A2"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C7E4E9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7499CE4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54,662</w:t>
            </w:r>
          </w:p>
        </w:tc>
        <w:tc>
          <w:tcPr>
            <w:tcW w:w="1440" w:type="dxa"/>
            <w:noWrap/>
            <w:vAlign w:val="center"/>
            <w:hideMark/>
          </w:tcPr>
          <w:p w14:paraId="4B8C127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36,451</w:t>
            </w:r>
          </w:p>
        </w:tc>
        <w:tc>
          <w:tcPr>
            <w:tcW w:w="1436" w:type="dxa"/>
            <w:noWrap/>
            <w:vAlign w:val="center"/>
            <w:hideMark/>
          </w:tcPr>
          <w:p w14:paraId="57AD964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66.7%</w:t>
            </w:r>
          </w:p>
        </w:tc>
        <w:tc>
          <w:tcPr>
            <w:tcW w:w="1390" w:type="dxa"/>
            <w:noWrap/>
            <w:vAlign w:val="center"/>
            <w:hideMark/>
          </w:tcPr>
          <w:p w14:paraId="396B185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37,472</w:t>
            </w:r>
          </w:p>
        </w:tc>
        <w:tc>
          <w:tcPr>
            <w:tcW w:w="1387" w:type="dxa"/>
            <w:noWrap/>
            <w:vAlign w:val="center"/>
            <w:hideMark/>
          </w:tcPr>
          <w:p w14:paraId="5C9135F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68.6%</w:t>
            </w:r>
          </w:p>
        </w:tc>
        <w:tc>
          <w:tcPr>
            <w:tcW w:w="1418" w:type="dxa"/>
            <w:noWrap/>
            <w:vAlign w:val="center"/>
            <w:hideMark/>
          </w:tcPr>
          <w:p w14:paraId="49D1253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1,671</w:t>
            </w:r>
          </w:p>
        </w:tc>
        <w:tc>
          <w:tcPr>
            <w:tcW w:w="1414" w:type="dxa"/>
            <w:noWrap/>
            <w:vAlign w:val="center"/>
            <w:hideMark/>
          </w:tcPr>
          <w:p w14:paraId="778CB36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w:t>
            </w:r>
          </w:p>
        </w:tc>
      </w:tr>
      <w:tr w:rsidR="00407705" w:rsidRPr="00105FFC" w14:paraId="451829DA"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14BFB4D"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AF4760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7F6138E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49,601</w:t>
            </w:r>
          </w:p>
        </w:tc>
        <w:tc>
          <w:tcPr>
            <w:tcW w:w="1440" w:type="dxa"/>
            <w:noWrap/>
            <w:vAlign w:val="center"/>
            <w:hideMark/>
          </w:tcPr>
          <w:p w14:paraId="4FD08C2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31,178</w:t>
            </w:r>
          </w:p>
        </w:tc>
        <w:tc>
          <w:tcPr>
            <w:tcW w:w="1436" w:type="dxa"/>
            <w:noWrap/>
            <w:vAlign w:val="center"/>
            <w:hideMark/>
          </w:tcPr>
          <w:p w14:paraId="0E9E4BE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62.9%</w:t>
            </w:r>
          </w:p>
        </w:tc>
        <w:tc>
          <w:tcPr>
            <w:tcW w:w="1390" w:type="dxa"/>
            <w:noWrap/>
            <w:vAlign w:val="center"/>
            <w:hideMark/>
          </w:tcPr>
          <w:p w14:paraId="69D1ACA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32,123</w:t>
            </w:r>
          </w:p>
        </w:tc>
        <w:tc>
          <w:tcPr>
            <w:tcW w:w="1387" w:type="dxa"/>
            <w:noWrap/>
            <w:vAlign w:val="center"/>
            <w:hideMark/>
          </w:tcPr>
          <w:p w14:paraId="2BDAAD6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64.8%</w:t>
            </w:r>
          </w:p>
        </w:tc>
        <w:tc>
          <w:tcPr>
            <w:tcW w:w="1418" w:type="dxa"/>
            <w:noWrap/>
            <w:vAlign w:val="center"/>
            <w:hideMark/>
          </w:tcPr>
          <w:p w14:paraId="7F3A737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1,332</w:t>
            </w:r>
          </w:p>
        </w:tc>
        <w:tc>
          <w:tcPr>
            <w:tcW w:w="1414" w:type="dxa"/>
            <w:noWrap/>
            <w:vAlign w:val="center"/>
            <w:hideMark/>
          </w:tcPr>
          <w:p w14:paraId="006BDD5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w:t>
            </w:r>
          </w:p>
        </w:tc>
      </w:tr>
      <w:tr w:rsidR="00407705" w:rsidRPr="00105FFC" w14:paraId="03E3ED7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B0A6DB5"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6A1F921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583383C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45,652</w:t>
            </w:r>
          </w:p>
        </w:tc>
        <w:tc>
          <w:tcPr>
            <w:tcW w:w="1440" w:type="dxa"/>
            <w:noWrap/>
            <w:vAlign w:val="center"/>
            <w:hideMark/>
          </w:tcPr>
          <w:p w14:paraId="4B53F8F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25,779</w:t>
            </w:r>
          </w:p>
        </w:tc>
        <w:tc>
          <w:tcPr>
            <w:tcW w:w="1436" w:type="dxa"/>
            <w:noWrap/>
            <w:vAlign w:val="center"/>
            <w:hideMark/>
          </w:tcPr>
          <w:p w14:paraId="6F83A72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56.5%</w:t>
            </w:r>
          </w:p>
        </w:tc>
        <w:tc>
          <w:tcPr>
            <w:tcW w:w="1390" w:type="dxa"/>
            <w:noWrap/>
            <w:vAlign w:val="center"/>
            <w:hideMark/>
          </w:tcPr>
          <w:p w14:paraId="28B0413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26,859</w:t>
            </w:r>
          </w:p>
        </w:tc>
        <w:tc>
          <w:tcPr>
            <w:tcW w:w="1387" w:type="dxa"/>
            <w:noWrap/>
            <w:vAlign w:val="center"/>
            <w:hideMark/>
          </w:tcPr>
          <w:p w14:paraId="0CC2776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58.8%</w:t>
            </w:r>
          </w:p>
        </w:tc>
        <w:tc>
          <w:tcPr>
            <w:tcW w:w="1418" w:type="dxa"/>
            <w:noWrap/>
            <w:vAlign w:val="center"/>
            <w:hideMark/>
          </w:tcPr>
          <w:p w14:paraId="1B6A980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886</w:t>
            </w:r>
          </w:p>
        </w:tc>
        <w:tc>
          <w:tcPr>
            <w:tcW w:w="1414" w:type="dxa"/>
            <w:noWrap/>
            <w:vAlign w:val="center"/>
            <w:hideMark/>
          </w:tcPr>
          <w:p w14:paraId="6356616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w:t>
            </w:r>
          </w:p>
        </w:tc>
      </w:tr>
      <w:tr w:rsidR="00407705" w:rsidRPr="00105FFC" w14:paraId="2C28D3B9"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A189191"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B95442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2863D21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56,860</w:t>
            </w:r>
          </w:p>
        </w:tc>
        <w:tc>
          <w:tcPr>
            <w:tcW w:w="1440" w:type="dxa"/>
            <w:noWrap/>
            <w:vAlign w:val="center"/>
            <w:hideMark/>
          </w:tcPr>
          <w:p w14:paraId="187FEBC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26,874</w:t>
            </w:r>
          </w:p>
        </w:tc>
        <w:tc>
          <w:tcPr>
            <w:tcW w:w="1436" w:type="dxa"/>
            <w:noWrap/>
            <w:vAlign w:val="center"/>
            <w:hideMark/>
          </w:tcPr>
          <w:p w14:paraId="7E847A2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47.3%</w:t>
            </w:r>
          </w:p>
        </w:tc>
        <w:tc>
          <w:tcPr>
            <w:tcW w:w="1390" w:type="dxa"/>
            <w:noWrap/>
            <w:vAlign w:val="center"/>
            <w:hideMark/>
          </w:tcPr>
          <w:p w14:paraId="3B4EC34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28,897</w:t>
            </w:r>
          </w:p>
        </w:tc>
        <w:tc>
          <w:tcPr>
            <w:tcW w:w="1387" w:type="dxa"/>
            <w:noWrap/>
            <w:vAlign w:val="center"/>
            <w:hideMark/>
          </w:tcPr>
          <w:p w14:paraId="57A6023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50.8%</w:t>
            </w:r>
          </w:p>
        </w:tc>
        <w:tc>
          <w:tcPr>
            <w:tcW w:w="1418" w:type="dxa"/>
            <w:noWrap/>
            <w:vAlign w:val="center"/>
            <w:hideMark/>
          </w:tcPr>
          <w:p w14:paraId="16AFAAC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774</w:t>
            </w:r>
          </w:p>
        </w:tc>
        <w:tc>
          <w:tcPr>
            <w:tcW w:w="1414" w:type="dxa"/>
            <w:noWrap/>
            <w:vAlign w:val="center"/>
            <w:hideMark/>
          </w:tcPr>
          <w:p w14:paraId="6C379A5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w:t>
            </w:r>
          </w:p>
        </w:tc>
      </w:tr>
      <w:tr w:rsidR="00407705" w:rsidRPr="00105FFC" w14:paraId="70110D87"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54F2B10"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933C9E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12D5422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16,964</w:t>
            </w:r>
          </w:p>
        </w:tc>
        <w:tc>
          <w:tcPr>
            <w:tcW w:w="1440" w:type="dxa"/>
            <w:noWrap/>
            <w:vAlign w:val="center"/>
            <w:hideMark/>
          </w:tcPr>
          <w:p w14:paraId="1A58154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5,868</w:t>
            </w:r>
          </w:p>
        </w:tc>
        <w:tc>
          <w:tcPr>
            <w:tcW w:w="1436" w:type="dxa"/>
            <w:noWrap/>
            <w:vAlign w:val="center"/>
            <w:hideMark/>
          </w:tcPr>
          <w:p w14:paraId="403544B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34.6%</w:t>
            </w:r>
          </w:p>
        </w:tc>
        <w:tc>
          <w:tcPr>
            <w:tcW w:w="1390" w:type="dxa"/>
            <w:noWrap/>
            <w:vAlign w:val="center"/>
            <w:hideMark/>
          </w:tcPr>
          <w:p w14:paraId="56993CD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6,548</w:t>
            </w:r>
          </w:p>
        </w:tc>
        <w:tc>
          <w:tcPr>
            <w:tcW w:w="1387" w:type="dxa"/>
            <w:noWrap/>
            <w:vAlign w:val="center"/>
            <w:hideMark/>
          </w:tcPr>
          <w:p w14:paraId="4FBF548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38.6%</w:t>
            </w:r>
          </w:p>
        </w:tc>
        <w:tc>
          <w:tcPr>
            <w:tcW w:w="1418" w:type="dxa"/>
            <w:noWrap/>
            <w:vAlign w:val="center"/>
            <w:hideMark/>
          </w:tcPr>
          <w:p w14:paraId="7A1A8BC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92</w:t>
            </w:r>
          </w:p>
        </w:tc>
        <w:tc>
          <w:tcPr>
            <w:tcW w:w="1414" w:type="dxa"/>
            <w:noWrap/>
            <w:vAlign w:val="center"/>
            <w:hideMark/>
          </w:tcPr>
          <w:p w14:paraId="6770DE6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0.5%</w:t>
            </w:r>
          </w:p>
        </w:tc>
      </w:tr>
      <w:tr w:rsidR="00407705" w:rsidRPr="00105FFC" w14:paraId="31A634DB"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940D466"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27213DA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4147C98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308,641</w:t>
            </w:r>
          </w:p>
        </w:tc>
        <w:tc>
          <w:tcPr>
            <w:tcW w:w="1440" w:type="dxa"/>
            <w:noWrap/>
            <w:vAlign w:val="center"/>
            <w:hideMark/>
          </w:tcPr>
          <w:p w14:paraId="7A0BE66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162,283</w:t>
            </w:r>
          </w:p>
        </w:tc>
        <w:tc>
          <w:tcPr>
            <w:tcW w:w="1436" w:type="dxa"/>
            <w:noWrap/>
            <w:vAlign w:val="center"/>
            <w:hideMark/>
          </w:tcPr>
          <w:p w14:paraId="359423B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52.6%</w:t>
            </w:r>
          </w:p>
        </w:tc>
        <w:tc>
          <w:tcPr>
            <w:tcW w:w="1390" w:type="dxa"/>
            <w:noWrap/>
            <w:vAlign w:val="center"/>
            <w:hideMark/>
          </w:tcPr>
          <w:p w14:paraId="0F2AF2D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169,709</w:t>
            </w:r>
          </w:p>
        </w:tc>
        <w:tc>
          <w:tcPr>
            <w:tcW w:w="1387" w:type="dxa"/>
            <w:noWrap/>
            <w:vAlign w:val="center"/>
            <w:hideMark/>
          </w:tcPr>
          <w:p w14:paraId="7DB2969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55.0%</w:t>
            </w:r>
          </w:p>
        </w:tc>
        <w:tc>
          <w:tcPr>
            <w:tcW w:w="1418" w:type="dxa"/>
            <w:noWrap/>
            <w:vAlign w:val="center"/>
            <w:hideMark/>
          </w:tcPr>
          <w:p w14:paraId="4747139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8,375</w:t>
            </w:r>
          </w:p>
        </w:tc>
        <w:tc>
          <w:tcPr>
            <w:tcW w:w="1414" w:type="dxa"/>
            <w:noWrap/>
            <w:vAlign w:val="center"/>
            <w:hideMark/>
          </w:tcPr>
          <w:p w14:paraId="0CC661E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2.7%</w:t>
            </w:r>
          </w:p>
        </w:tc>
      </w:tr>
      <w:tr w:rsidR="00407705" w:rsidRPr="00105FFC" w14:paraId="156516E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504684E8"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San Diego</w:t>
            </w:r>
          </w:p>
        </w:tc>
        <w:tc>
          <w:tcPr>
            <w:tcW w:w="1260" w:type="dxa"/>
            <w:noWrap/>
            <w:vAlign w:val="center"/>
            <w:hideMark/>
          </w:tcPr>
          <w:p w14:paraId="3C659FD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21B1894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44,401</w:t>
            </w:r>
          </w:p>
        </w:tc>
        <w:tc>
          <w:tcPr>
            <w:tcW w:w="1440" w:type="dxa"/>
            <w:noWrap/>
            <w:vAlign w:val="center"/>
            <w:hideMark/>
          </w:tcPr>
          <w:p w14:paraId="32EBDC3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10,229</w:t>
            </w:r>
          </w:p>
        </w:tc>
        <w:tc>
          <w:tcPr>
            <w:tcW w:w="1436" w:type="dxa"/>
            <w:noWrap/>
            <w:vAlign w:val="center"/>
            <w:hideMark/>
          </w:tcPr>
          <w:p w14:paraId="1D6BA35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23.0%</w:t>
            </w:r>
          </w:p>
        </w:tc>
        <w:tc>
          <w:tcPr>
            <w:tcW w:w="1390" w:type="dxa"/>
            <w:noWrap/>
            <w:vAlign w:val="center"/>
            <w:hideMark/>
          </w:tcPr>
          <w:p w14:paraId="4565078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11,153</w:t>
            </w:r>
          </w:p>
        </w:tc>
        <w:tc>
          <w:tcPr>
            <w:tcW w:w="1387" w:type="dxa"/>
            <w:noWrap/>
            <w:vAlign w:val="center"/>
            <w:hideMark/>
          </w:tcPr>
          <w:p w14:paraId="4FDED39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25.1%</w:t>
            </w:r>
          </w:p>
        </w:tc>
        <w:tc>
          <w:tcPr>
            <w:tcW w:w="1418" w:type="dxa"/>
            <w:noWrap/>
            <w:vAlign w:val="center"/>
            <w:hideMark/>
          </w:tcPr>
          <w:p w14:paraId="3267D98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5,716</w:t>
            </w:r>
          </w:p>
        </w:tc>
        <w:tc>
          <w:tcPr>
            <w:tcW w:w="1414" w:type="dxa"/>
            <w:noWrap/>
            <w:vAlign w:val="center"/>
            <w:hideMark/>
          </w:tcPr>
          <w:p w14:paraId="551157E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12.9%</w:t>
            </w:r>
          </w:p>
        </w:tc>
      </w:tr>
      <w:tr w:rsidR="00407705" w:rsidRPr="00105FFC" w14:paraId="2A7054E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22D40D0"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D1C46A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40D02FE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27,319</w:t>
            </w:r>
          </w:p>
        </w:tc>
        <w:tc>
          <w:tcPr>
            <w:tcW w:w="1440" w:type="dxa"/>
            <w:noWrap/>
            <w:vAlign w:val="center"/>
            <w:hideMark/>
          </w:tcPr>
          <w:p w14:paraId="0DCA1DF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13,180</w:t>
            </w:r>
          </w:p>
        </w:tc>
        <w:tc>
          <w:tcPr>
            <w:tcW w:w="1436" w:type="dxa"/>
            <w:noWrap/>
            <w:vAlign w:val="center"/>
            <w:hideMark/>
          </w:tcPr>
          <w:p w14:paraId="1DEC41E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48.2%</w:t>
            </w:r>
          </w:p>
        </w:tc>
        <w:tc>
          <w:tcPr>
            <w:tcW w:w="1390" w:type="dxa"/>
            <w:noWrap/>
            <w:vAlign w:val="center"/>
            <w:hideMark/>
          </w:tcPr>
          <w:p w14:paraId="0BAA1FF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14,107</w:t>
            </w:r>
          </w:p>
        </w:tc>
        <w:tc>
          <w:tcPr>
            <w:tcW w:w="1387" w:type="dxa"/>
            <w:noWrap/>
            <w:vAlign w:val="center"/>
            <w:hideMark/>
          </w:tcPr>
          <w:p w14:paraId="18989AF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51.6%</w:t>
            </w:r>
          </w:p>
        </w:tc>
        <w:tc>
          <w:tcPr>
            <w:tcW w:w="1418" w:type="dxa"/>
            <w:noWrap/>
            <w:vAlign w:val="center"/>
            <w:hideMark/>
          </w:tcPr>
          <w:p w14:paraId="317E194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4,402</w:t>
            </w:r>
          </w:p>
        </w:tc>
        <w:tc>
          <w:tcPr>
            <w:tcW w:w="1414" w:type="dxa"/>
            <w:noWrap/>
            <w:vAlign w:val="center"/>
            <w:hideMark/>
          </w:tcPr>
          <w:p w14:paraId="4D9D667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16.1%</w:t>
            </w:r>
          </w:p>
        </w:tc>
      </w:tr>
      <w:tr w:rsidR="00407705" w:rsidRPr="00105FFC" w14:paraId="0CC9DD9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276A0FA"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C0A55F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0391831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42,607</w:t>
            </w:r>
          </w:p>
        </w:tc>
        <w:tc>
          <w:tcPr>
            <w:tcW w:w="1440" w:type="dxa"/>
            <w:noWrap/>
            <w:vAlign w:val="center"/>
            <w:hideMark/>
          </w:tcPr>
          <w:p w14:paraId="005F857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21,790</w:t>
            </w:r>
          </w:p>
        </w:tc>
        <w:tc>
          <w:tcPr>
            <w:tcW w:w="1436" w:type="dxa"/>
            <w:noWrap/>
            <w:vAlign w:val="center"/>
            <w:hideMark/>
          </w:tcPr>
          <w:p w14:paraId="6B90EEB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51.1%</w:t>
            </w:r>
          </w:p>
        </w:tc>
        <w:tc>
          <w:tcPr>
            <w:tcW w:w="1390" w:type="dxa"/>
            <w:noWrap/>
            <w:vAlign w:val="center"/>
            <w:hideMark/>
          </w:tcPr>
          <w:p w14:paraId="3222C85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22,674</w:t>
            </w:r>
          </w:p>
        </w:tc>
        <w:tc>
          <w:tcPr>
            <w:tcW w:w="1387" w:type="dxa"/>
            <w:noWrap/>
            <w:vAlign w:val="center"/>
            <w:hideMark/>
          </w:tcPr>
          <w:p w14:paraId="7B6B613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53.2%</w:t>
            </w:r>
          </w:p>
        </w:tc>
        <w:tc>
          <w:tcPr>
            <w:tcW w:w="1418" w:type="dxa"/>
            <w:noWrap/>
            <w:vAlign w:val="center"/>
            <w:hideMark/>
          </w:tcPr>
          <w:p w14:paraId="617DE8C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6,364</w:t>
            </w:r>
          </w:p>
        </w:tc>
        <w:tc>
          <w:tcPr>
            <w:tcW w:w="1414" w:type="dxa"/>
            <w:noWrap/>
            <w:vAlign w:val="center"/>
            <w:hideMark/>
          </w:tcPr>
          <w:p w14:paraId="3658EEB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14.9%</w:t>
            </w:r>
          </w:p>
        </w:tc>
      </w:tr>
      <w:tr w:rsidR="00407705" w:rsidRPr="00105FFC" w14:paraId="010C93D8"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74587F3"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17D365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3B998E6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38,606</w:t>
            </w:r>
          </w:p>
        </w:tc>
        <w:tc>
          <w:tcPr>
            <w:tcW w:w="1440" w:type="dxa"/>
            <w:noWrap/>
            <w:vAlign w:val="center"/>
            <w:hideMark/>
          </w:tcPr>
          <w:p w14:paraId="0CF7E7A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18,223</w:t>
            </w:r>
          </w:p>
        </w:tc>
        <w:tc>
          <w:tcPr>
            <w:tcW w:w="1436" w:type="dxa"/>
            <w:noWrap/>
            <w:vAlign w:val="center"/>
            <w:hideMark/>
          </w:tcPr>
          <w:p w14:paraId="1D7D8F8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47.2%</w:t>
            </w:r>
          </w:p>
        </w:tc>
        <w:tc>
          <w:tcPr>
            <w:tcW w:w="1390" w:type="dxa"/>
            <w:noWrap/>
            <w:vAlign w:val="center"/>
            <w:hideMark/>
          </w:tcPr>
          <w:p w14:paraId="74F84D4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19,105</w:t>
            </w:r>
          </w:p>
        </w:tc>
        <w:tc>
          <w:tcPr>
            <w:tcW w:w="1387" w:type="dxa"/>
            <w:noWrap/>
            <w:vAlign w:val="center"/>
            <w:hideMark/>
          </w:tcPr>
          <w:p w14:paraId="74B9030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49.5%</w:t>
            </w:r>
          </w:p>
        </w:tc>
        <w:tc>
          <w:tcPr>
            <w:tcW w:w="1418" w:type="dxa"/>
            <w:noWrap/>
            <w:vAlign w:val="center"/>
            <w:hideMark/>
          </w:tcPr>
          <w:p w14:paraId="78B59E1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5,453</w:t>
            </w:r>
          </w:p>
        </w:tc>
        <w:tc>
          <w:tcPr>
            <w:tcW w:w="1414" w:type="dxa"/>
            <w:noWrap/>
            <w:vAlign w:val="center"/>
            <w:hideMark/>
          </w:tcPr>
          <w:p w14:paraId="6A7E0ED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14.1%</w:t>
            </w:r>
          </w:p>
        </w:tc>
      </w:tr>
      <w:tr w:rsidR="00407705" w:rsidRPr="00105FFC" w14:paraId="0F398BA8"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A90865B"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57F366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2C5842C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35,982</w:t>
            </w:r>
          </w:p>
        </w:tc>
        <w:tc>
          <w:tcPr>
            <w:tcW w:w="1440" w:type="dxa"/>
            <w:noWrap/>
            <w:vAlign w:val="center"/>
            <w:hideMark/>
          </w:tcPr>
          <w:p w14:paraId="510688E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14,785</w:t>
            </w:r>
          </w:p>
        </w:tc>
        <w:tc>
          <w:tcPr>
            <w:tcW w:w="1436" w:type="dxa"/>
            <w:noWrap/>
            <w:vAlign w:val="center"/>
            <w:hideMark/>
          </w:tcPr>
          <w:p w14:paraId="02BF2A7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41.1%</w:t>
            </w:r>
          </w:p>
        </w:tc>
        <w:tc>
          <w:tcPr>
            <w:tcW w:w="1390" w:type="dxa"/>
            <w:noWrap/>
            <w:vAlign w:val="center"/>
            <w:hideMark/>
          </w:tcPr>
          <w:p w14:paraId="7ACCC63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15,896</w:t>
            </w:r>
          </w:p>
        </w:tc>
        <w:tc>
          <w:tcPr>
            <w:tcW w:w="1387" w:type="dxa"/>
            <w:noWrap/>
            <w:vAlign w:val="center"/>
            <w:hideMark/>
          </w:tcPr>
          <w:p w14:paraId="1CDCDB3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44.2%</w:t>
            </w:r>
          </w:p>
        </w:tc>
        <w:tc>
          <w:tcPr>
            <w:tcW w:w="1418" w:type="dxa"/>
            <w:noWrap/>
            <w:vAlign w:val="center"/>
            <w:hideMark/>
          </w:tcPr>
          <w:p w14:paraId="5FD19BA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4,276</w:t>
            </w:r>
          </w:p>
        </w:tc>
        <w:tc>
          <w:tcPr>
            <w:tcW w:w="1414" w:type="dxa"/>
            <w:noWrap/>
            <w:vAlign w:val="center"/>
            <w:hideMark/>
          </w:tcPr>
          <w:p w14:paraId="074C252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11.9%</w:t>
            </w:r>
          </w:p>
        </w:tc>
      </w:tr>
      <w:tr w:rsidR="00407705" w:rsidRPr="00105FFC" w14:paraId="6768E90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2DAF5AA3"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3B34F84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7A26A10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45,232</w:t>
            </w:r>
          </w:p>
        </w:tc>
        <w:tc>
          <w:tcPr>
            <w:tcW w:w="1440" w:type="dxa"/>
            <w:noWrap/>
            <w:vAlign w:val="center"/>
            <w:hideMark/>
          </w:tcPr>
          <w:p w14:paraId="36FD4BF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14,992</w:t>
            </w:r>
          </w:p>
        </w:tc>
        <w:tc>
          <w:tcPr>
            <w:tcW w:w="1436" w:type="dxa"/>
            <w:noWrap/>
            <w:vAlign w:val="center"/>
            <w:hideMark/>
          </w:tcPr>
          <w:p w14:paraId="2E57E6E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33.1%</w:t>
            </w:r>
          </w:p>
        </w:tc>
        <w:tc>
          <w:tcPr>
            <w:tcW w:w="1390" w:type="dxa"/>
            <w:noWrap/>
            <w:vAlign w:val="center"/>
            <w:hideMark/>
          </w:tcPr>
          <w:p w14:paraId="7D42BB4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17,194</w:t>
            </w:r>
          </w:p>
        </w:tc>
        <w:tc>
          <w:tcPr>
            <w:tcW w:w="1387" w:type="dxa"/>
            <w:noWrap/>
            <w:vAlign w:val="center"/>
            <w:hideMark/>
          </w:tcPr>
          <w:p w14:paraId="04189BC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38.0%</w:t>
            </w:r>
          </w:p>
        </w:tc>
        <w:tc>
          <w:tcPr>
            <w:tcW w:w="1418" w:type="dxa"/>
            <w:noWrap/>
            <w:vAlign w:val="center"/>
            <w:hideMark/>
          </w:tcPr>
          <w:p w14:paraId="3F1D895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4,109</w:t>
            </w:r>
          </w:p>
        </w:tc>
        <w:tc>
          <w:tcPr>
            <w:tcW w:w="1414" w:type="dxa"/>
            <w:noWrap/>
            <w:vAlign w:val="center"/>
            <w:hideMark/>
          </w:tcPr>
          <w:p w14:paraId="6B2AE39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9.1%</w:t>
            </w:r>
          </w:p>
        </w:tc>
      </w:tr>
      <w:tr w:rsidR="00407705" w:rsidRPr="00105FFC" w14:paraId="694004FF"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EC15431"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9C7A5A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1B2BE1C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13,591</w:t>
            </w:r>
          </w:p>
        </w:tc>
        <w:tc>
          <w:tcPr>
            <w:tcW w:w="1440" w:type="dxa"/>
            <w:noWrap/>
            <w:vAlign w:val="center"/>
            <w:hideMark/>
          </w:tcPr>
          <w:p w14:paraId="7D8223E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2,917</w:t>
            </w:r>
          </w:p>
        </w:tc>
        <w:tc>
          <w:tcPr>
            <w:tcW w:w="1436" w:type="dxa"/>
            <w:noWrap/>
            <w:vAlign w:val="center"/>
            <w:hideMark/>
          </w:tcPr>
          <w:p w14:paraId="04A92C9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21.5%</w:t>
            </w:r>
          </w:p>
        </w:tc>
        <w:tc>
          <w:tcPr>
            <w:tcW w:w="1390" w:type="dxa"/>
            <w:noWrap/>
            <w:vAlign w:val="center"/>
            <w:hideMark/>
          </w:tcPr>
          <w:p w14:paraId="6921641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3,623</w:t>
            </w:r>
          </w:p>
        </w:tc>
        <w:tc>
          <w:tcPr>
            <w:tcW w:w="1387" w:type="dxa"/>
            <w:noWrap/>
            <w:vAlign w:val="center"/>
            <w:hideMark/>
          </w:tcPr>
          <w:p w14:paraId="4108C2A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26.7%</w:t>
            </w:r>
          </w:p>
        </w:tc>
        <w:tc>
          <w:tcPr>
            <w:tcW w:w="1418" w:type="dxa"/>
            <w:noWrap/>
            <w:vAlign w:val="center"/>
            <w:hideMark/>
          </w:tcPr>
          <w:p w14:paraId="081F8E4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857</w:t>
            </w:r>
          </w:p>
        </w:tc>
        <w:tc>
          <w:tcPr>
            <w:tcW w:w="1414" w:type="dxa"/>
            <w:noWrap/>
            <w:vAlign w:val="center"/>
            <w:hideMark/>
          </w:tcPr>
          <w:p w14:paraId="3DA11F7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w:t>
            </w:r>
          </w:p>
        </w:tc>
      </w:tr>
      <w:tr w:rsidR="00407705" w:rsidRPr="00105FFC" w14:paraId="481D9AC9"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80C8766"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3B328F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3B36C46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247,738</w:t>
            </w:r>
          </w:p>
        </w:tc>
        <w:tc>
          <w:tcPr>
            <w:tcW w:w="1440" w:type="dxa"/>
            <w:noWrap/>
            <w:vAlign w:val="center"/>
            <w:hideMark/>
          </w:tcPr>
          <w:p w14:paraId="3F1959E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96,116</w:t>
            </w:r>
          </w:p>
        </w:tc>
        <w:tc>
          <w:tcPr>
            <w:tcW w:w="1436" w:type="dxa"/>
            <w:noWrap/>
            <w:vAlign w:val="center"/>
            <w:hideMark/>
          </w:tcPr>
          <w:p w14:paraId="4A9A5BB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38.8%</w:t>
            </w:r>
          </w:p>
        </w:tc>
        <w:tc>
          <w:tcPr>
            <w:tcW w:w="1390" w:type="dxa"/>
            <w:noWrap/>
            <w:vAlign w:val="center"/>
            <w:hideMark/>
          </w:tcPr>
          <w:p w14:paraId="1EBC634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103,752</w:t>
            </w:r>
          </w:p>
        </w:tc>
        <w:tc>
          <w:tcPr>
            <w:tcW w:w="1387" w:type="dxa"/>
            <w:noWrap/>
            <w:vAlign w:val="center"/>
            <w:hideMark/>
          </w:tcPr>
          <w:p w14:paraId="3C3A5E2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41.9%</w:t>
            </w:r>
          </w:p>
        </w:tc>
        <w:tc>
          <w:tcPr>
            <w:tcW w:w="1418" w:type="dxa"/>
            <w:noWrap/>
            <w:vAlign w:val="center"/>
            <w:hideMark/>
          </w:tcPr>
          <w:p w14:paraId="263C096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31,177</w:t>
            </w:r>
          </w:p>
        </w:tc>
        <w:tc>
          <w:tcPr>
            <w:tcW w:w="1414" w:type="dxa"/>
            <w:noWrap/>
            <w:vAlign w:val="center"/>
            <w:hideMark/>
          </w:tcPr>
          <w:p w14:paraId="6842074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12.6%</w:t>
            </w:r>
          </w:p>
        </w:tc>
      </w:tr>
      <w:tr w:rsidR="00407705" w:rsidRPr="00105FFC" w14:paraId="654DC826"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32C7FE1E"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San Francisco</w:t>
            </w:r>
          </w:p>
        </w:tc>
        <w:tc>
          <w:tcPr>
            <w:tcW w:w="1260" w:type="dxa"/>
            <w:noWrap/>
            <w:vAlign w:val="center"/>
            <w:hideMark/>
          </w:tcPr>
          <w:p w14:paraId="3D6C8A5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0804AD8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8,627</w:t>
            </w:r>
          </w:p>
        </w:tc>
        <w:tc>
          <w:tcPr>
            <w:tcW w:w="1440" w:type="dxa"/>
            <w:noWrap/>
            <w:vAlign w:val="center"/>
            <w:hideMark/>
          </w:tcPr>
          <w:p w14:paraId="3681360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1,872</w:t>
            </w:r>
          </w:p>
        </w:tc>
        <w:tc>
          <w:tcPr>
            <w:tcW w:w="1436" w:type="dxa"/>
            <w:noWrap/>
            <w:vAlign w:val="center"/>
            <w:hideMark/>
          </w:tcPr>
          <w:p w14:paraId="1601C62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21.7%</w:t>
            </w:r>
          </w:p>
        </w:tc>
        <w:tc>
          <w:tcPr>
            <w:tcW w:w="1390" w:type="dxa"/>
            <w:noWrap/>
            <w:vAlign w:val="center"/>
            <w:hideMark/>
          </w:tcPr>
          <w:p w14:paraId="5D1B1DA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2,096</w:t>
            </w:r>
          </w:p>
        </w:tc>
        <w:tc>
          <w:tcPr>
            <w:tcW w:w="1387" w:type="dxa"/>
            <w:noWrap/>
            <w:vAlign w:val="center"/>
            <w:hideMark/>
          </w:tcPr>
          <w:p w14:paraId="744C9F6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24.3%</w:t>
            </w:r>
          </w:p>
        </w:tc>
        <w:tc>
          <w:tcPr>
            <w:tcW w:w="1418" w:type="dxa"/>
            <w:noWrap/>
            <w:vAlign w:val="center"/>
            <w:hideMark/>
          </w:tcPr>
          <w:p w14:paraId="3A8CEEB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1,795</w:t>
            </w:r>
          </w:p>
        </w:tc>
        <w:tc>
          <w:tcPr>
            <w:tcW w:w="1414" w:type="dxa"/>
            <w:noWrap/>
            <w:vAlign w:val="center"/>
            <w:hideMark/>
          </w:tcPr>
          <w:p w14:paraId="4BADCAE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20.8%</w:t>
            </w:r>
          </w:p>
        </w:tc>
      </w:tr>
      <w:tr w:rsidR="00407705" w:rsidRPr="00105FFC" w14:paraId="627166C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404378A"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60D38BE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2EAA6CE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5,095</w:t>
            </w:r>
          </w:p>
        </w:tc>
        <w:tc>
          <w:tcPr>
            <w:tcW w:w="1440" w:type="dxa"/>
            <w:noWrap/>
            <w:vAlign w:val="center"/>
            <w:hideMark/>
          </w:tcPr>
          <w:p w14:paraId="5B20301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2,068</w:t>
            </w:r>
          </w:p>
        </w:tc>
        <w:tc>
          <w:tcPr>
            <w:tcW w:w="1436" w:type="dxa"/>
            <w:noWrap/>
            <w:vAlign w:val="center"/>
            <w:hideMark/>
          </w:tcPr>
          <w:p w14:paraId="7CE26E5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40.6%</w:t>
            </w:r>
          </w:p>
        </w:tc>
        <w:tc>
          <w:tcPr>
            <w:tcW w:w="1390" w:type="dxa"/>
            <w:noWrap/>
            <w:vAlign w:val="center"/>
            <w:hideMark/>
          </w:tcPr>
          <w:p w14:paraId="15B1284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2,186</w:t>
            </w:r>
          </w:p>
        </w:tc>
        <w:tc>
          <w:tcPr>
            <w:tcW w:w="1387" w:type="dxa"/>
            <w:noWrap/>
            <w:vAlign w:val="center"/>
            <w:hideMark/>
          </w:tcPr>
          <w:p w14:paraId="4863DA2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42.9%</w:t>
            </w:r>
          </w:p>
        </w:tc>
        <w:tc>
          <w:tcPr>
            <w:tcW w:w="1418" w:type="dxa"/>
            <w:noWrap/>
            <w:vAlign w:val="center"/>
            <w:hideMark/>
          </w:tcPr>
          <w:p w14:paraId="39B3FAC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1,119</w:t>
            </w:r>
          </w:p>
        </w:tc>
        <w:tc>
          <w:tcPr>
            <w:tcW w:w="1414" w:type="dxa"/>
            <w:noWrap/>
            <w:vAlign w:val="center"/>
            <w:hideMark/>
          </w:tcPr>
          <w:p w14:paraId="48A7A4F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22.0%</w:t>
            </w:r>
          </w:p>
        </w:tc>
      </w:tr>
      <w:tr w:rsidR="00407705" w:rsidRPr="00105FFC" w14:paraId="7B5ACAF7"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381F86E"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C2456A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391CEB1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8,048</w:t>
            </w:r>
          </w:p>
        </w:tc>
        <w:tc>
          <w:tcPr>
            <w:tcW w:w="1440" w:type="dxa"/>
            <w:noWrap/>
            <w:vAlign w:val="center"/>
            <w:hideMark/>
          </w:tcPr>
          <w:p w14:paraId="25744B9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3,618</w:t>
            </w:r>
          </w:p>
        </w:tc>
        <w:tc>
          <w:tcPr>
            <w:tcW w:w="1436" w:type="dxa"/>
            <w:noWrap/>
            <w:vAlign w:val="center"/>
            <w:hideMark/>
          </w:tcPr>
          <w:p w14:paraId="7985B9F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45.0%</w:t>
            </w:r>
          </w:p>
        </w:tc>
        <w:tc>
          <w:tcPr>
            <w:tcW w:w="1390" w:type="dxa"/>
            <w:noWrap/>
            <w:vAlign w:val="center"/>
            <w:hideMark/>
          </w:tcPr>
          <w:p w14:paraId="1A3B790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3,816</w:t>
            </w:r>
          </w:p>
        </w:tc>
        <w:tc>
          <w:tcPr>
            <w:tcW w:w="1387" w:type="dxa"/>
            <w:noWrap/>
            <w:vAlign w:val="center"/>
            <w:hideMark/>
          </w:tcPr>
          <w:p w14:paraId="769F65D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47.4%</w:t>
            </w:r>
          </w:p>
        </w:tc>
        <w:tc>
          <w:tcPr>
            <w:tcW w:w="1418" w:type="dxa"/>
            <w:noWrap/>
            <w:vAlign w:val="center"/>
            <w:hideMark/>
          </w:tcPr>
          <w:p w14:paraId="5C13214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1,572</w:t>
            </w:r>
          </w:p>
        </w:tc>
        <w:tc>
          <w:tcPr>
            <w:tcW w:w="1414" w:type="dxa"/>
            <w:noWrap/>
            <w:vAlign w:val="center"/>
            <w:hideMark/>
          </w:tcPr>
          <w:p w14:paraId="64F08CE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19.5%</w:t>
            </w:r>
          </w:p>
        </w:tc>
      </w:tr>
      <w:tr w:rsidR="00407705" w:rsidRPr="00105FFC" w14:paraId="1C422B45"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5295D64"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7EF0A25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708FC0D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7,276</w:t>
            </w:r>
          </w:p>
        </w:tc>
        <w:tc>
          <w:tcPr>
            <w:tcW w:w="1440" w:type="dxa"/>
            <w:noWrap/>
            <w:vAlign w:val="center"/>
            <w:hideMark/>
          </w:tcPr>
          <w:p w14:paraId="55E6A40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3,276</w:t>
            </w:r>
          </w:p>
        </w:tc>
        <w:tc>
          <w:tcPr>
            <w:tcW w:w="1436" w:type="dxa"/>
            <w:noWrap/>
            <w:vAlign w:val="center"/>
            <w:hideMark/>
          </w:tcPr>
          <w:p w14:paraId="0C30180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45.0%</w:t>
            </w:r>
          </w:p>
        </w:tc>
        <w:tc>
          <w:tcPr>
            <w:tcW w:w="1390" w:type="dxa"/>
            <w:noWrap/>
            <w:vAlign w:val="center"/>
            <w:hideMark/>
          </w:tcPr>
          <w:p w14:paraId="2C16C32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3,469</w:t>
            </w:r>
          </w:p>
        </w:tc>
        <w:tc>
          <w:tcPr>
            <w:tcW w:w="1387" w:type="dxa"/>
            <w:noWrap/>
            <w:vAlign w:val="center"/>
            <w:hideMark/>
          </w:tcPr>
          <w:p w14:paraId="004A47C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47.7%</w:t>
            </w:r>
          </w:p>
        </w:tc>
        <w:tc>
          <w:tcPr>
            <w:tcW w:w="1418" w:type="dxa"/>
            <w:noWrap/>
            <w:vAlign w:val="center"/>
            <w:hideMark/>
          </w:tcPr>
          <w:p w14:paraId="3CB05A2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1,118</w:t>
            </w:r>
          </w:p>
        </w:tc>
        <w:tc>
          <w:tcPr>
            <w:tcW w:w="1414" w:type="dxa"/>
            <w:noWrap/>
            <w:vAlign w:val="center"/>
            <w:hideMark/>
          </w:tcPr>
          <w:p w14:paraId="547EB71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15.4%</w:t>
            </w:r>
          </w:p>
        </w:tc>
      </w:tr>
      <w:tr w:rsidR="00407705" w:rsidRPr="00105FFC" w14:paraId="7AF5638B"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182C7F7"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13E16A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45F8399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6,799</w:t>
            </w:r>
          </w:p>
        </w:tc>
        <w:tc>
          <w:tcPr>
            <w:tcW w:w="1440" w:type="dxa"/>
            <w:noWrap/>
            <w:vAlign w:val="center"/>
            <w:hideMark/>
          </w:tcPr>
          <w:p w14:paraId="5EC755A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2,871</w:t>
            </w:r>
          </w:p>
        </w:tc>
        <w:tc>
          <w:tcPr>
            <w:tcW w:w="1436" w:type="dxa"/>
            <w:noWrap/>
            <w:vAlign w:val="center"/>
            <w:hideMark/>
          </w:tcPr>
          <w:p w14:paraId="202D417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42.2%</w:t>
            </w:r>
          </w:p>
        </w:tc>
        <w:tc>
          <w:tcPr>
            <w:tcW w:w="1390" w:type="dxa"/>
            <w:noWrap/>
            <w:vAlign w:val="center"/>
            <w:hideMark/>
          </w:tcPr>
          <w:p w14:paraId="0334E6E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3,074</w:t>
            </w:r>
          </w:p>
        </w:tc>
        <w:tc>
          <w:tcPr>
            <w:tcW w:w="1387" w:type="dxa"/>
            <w:noWrap/>
            <w:vAlign w:val="center"/>
            <w:hideMark/>
          </w:tcPr>
          <w:p w14:paraId="1F8B8EC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45.2%</w:t>
            </w:r>
          </w:p>
        </w:tc>
        <w:tc>
          <w:tcPr>
            <w:tcW w:w="1418" w:type="dxa"/>
            <w:noWrap/>
            <w:vAlign w:val="center"/>
            <w:hideMark/>
          </w:tcPr>
          <w:p w14:paraId="47F2289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836</w:t>
            </w:r>
          </w:p>
        </w:tc>
        <w:tc>
          <w:tcPr>
            <w:tcW w:w="1414" w:type="dxa"/>
            <w:noWrap/>
            <w:vAlign w:val="center"/>
            <w:hideMark/>
          </w:tcPr>
          <w:p w14:paraId="300CED3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12.3%</w:t>
            </w:r>
          </w:p>
        </w:tc>
      </w:tr>
      <w:tr w:rsidR="00407705" w:rsidRPr="00105FFC" w14:paraId="6665CDD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2F8C269"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0C46F3D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190438D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9,356</w:t>
            </w:r>
          </w:p>
        </w:tc>
        <w:tc>
          <w:tcPr>
            <w:tcW w:w="1440" w:type="dxa"/>
            <w:noWrap/>
            <w:vAlign w:val="center"/>
            <w:hideMark/>
          </w:tcPr>
          <w:p w14:paraId="52059ED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3,269</w:t>
            </w:r>
          </w:p>
        </w:tc>
        <w:tc>
          <w:tcPr>
            <w:tcW w:w="1436" w:type="dxa"/>
            <w:noWrap/>
            <w:vAlign w:val="center"/>
            <w:hideMark/>
          </w:tcPr>
          <w:p w14:paraId="3CAB9F4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34.9%</w:t>
            </w:r>
          </w:p>
        </w:tc>
        <w:tc>
          <w:tcPr>
            <w:tcW w:w="1390" w:type="dxa"/>
            <w:noWrap/>
            <w:vAlign w:val="center"/>
            <w:hideMark/>
          </w:tcPr>
          <w:p w14:paraId="1F0A6CB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3,684</w:t>
            </w:r>
          </w:p>
        </w:tc>
        <w:tc>
          <w:tcPr>
            <w:tcW w:w="1387" w:type="dxa"/>
            <w:noWrap/>
            <w:vAlign w:val="center"/>
            <w:hideMark/>
          </w:tcPr>
          <w:p w14:paraId="6DF88C7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39.4%</w:t>
            </w:r>
          </w:p>
        </w:tc>
        <w:tc>
          <w:tcPr>
            <w:tcW w:w="1418" w:type="dxa"/>
            <w:noWrap/>
            <w:vAlign w:val="center"/>
            <w:hideMark/>
          </w:tcPr>
          <w:p w14:paraId="73321DC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1,012</w:t>
            </w:r>
          </w:p>
        </w:tc>
        <w:tc>
          <w:tcPr>
            <w:tcW w:w="1414" w:type="dxa"/>
            <w:noWrap/>
            <w:vAlign w:val="center"/>
            <w:hideMark/>
          </w:tcPr>
          <w:p w14:paraId="64AD461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10.8%</w:t>
            </w:r>
          </w:p>
        </w:tc>
      </w:tr>
      <w:tr w:rsidR="00407705" w:rsidRPr="00105FFC" w14:paraId="349489F9"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A97B9BA"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59BD0CF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44A7CF0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3,475</w:t>
            </w:r>
          </w:p>
        </w:tc>
        <w:tc>
          <w:tcPr>
            <w:tcW w:w="1440" w:type="dxa"/>
            <w:noWrap/>
            <w:vAlign w:val="center"/>
            <w:hideMark/>
          </w:tcPr>
          <w:p w14:paraId="74BF05B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856</w:t>
            </w:r>
          </w:p>
        </w:tc>
        <w:tc>
          <w:tcPr>
            <w:tcW w:w="1436" w:type="dxa"/>
            <w:noWrap/>
            <w:vAlign w:val="center"/>
            <w:hideMark/>
          </w:tcPr>
          <w:p w14:paraId="5F4ABE6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24.6%</w:t>
            </w:r>
          </w:p>
        </w:tc>
        <w:tc>
          <w:tcPr>
            <w:tcW w:w="1390" w:type="dxa"/>
            <w:noWrap/>
            <w:vAlign w:val="center"/>
            <w:hideMark/>
          </w:tcPr>
          <w:p w14:paraId="51766FF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1,016</w:t>
            </w:r>
          </w:p>
        </w:tc>
        <w:tc>
          <w:tcPr>
            <w:tcW w:w="1387" w:type="dxa"/>
            <w:noWrap/>
            <w:vAlign w:val="center"/>
            <w:hideMark/>
          </w:tcPr>
          <w:p w14:paraId="47B26A0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29.2%</w:t>
            </w:r>
          </w:p>
        </w:tc>
        <w:tc>
          <w:tcPr>
            <w:tcW w:w="1418" w:type="dxa"/>
            <w:noWrap/>
            <w:vAlign w:val="center"/>
            <w:hideMark/>
          </w:tcPr>
          <w:p w14:paraId="229ADF8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228</w:t>
            </w:r>
          </w:p>
        </w:tc>
        <w:tc>
          <w:tcPr>
            <w:tcW w:w="1414" w:type="dxa"/>
            <w:noWrap/>
            <w:vAlign w:val="center"/>
            <w:hideMark/>
          </w:tcPr>
          <w:p w14:paraId="2A7DBBA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w:t>
            </w:r>
          </w:p>
        </w:tc>
      </w:tr>
      <w:tr w:rsidR="00407705" w:rsidRPr="00105FFC" w14:paraId="2944E18D"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17DF7EA" w14:textId="77777777" w:rsidR="00407705" w:rsidRPr="00105FFC" w:rsidRDefault="00407705" w:rsidP="00407705">
            <w:pPr>
              <w:jc w:val="center"/>
              <w:rPr>
                <w:rFonts w:asciiTheme="minorHAnsi" w:hAnsiTheme="minorHAnsi" w:cs="Arial"/>
                <w:b w:val="0"/>
                <w:color w:val="555555"/>
                <w:sz w:val="20"/>
                <w:szCs w:val="20"/>
              </w:rPr>
            </w:pPr>
          </w:p>
        </w:tc>
        <w:tc>
          <w:tcPr>
            <w:tcW w:w="1260" w:type="dxa"/>
            <w:noWrap/>
            <w:vAlign w:val="center"/>
            <w:hideMark/>
          </w:tcPr>
          <w:p w14:paraId="189C996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4AB61CF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48,676</w:t>
            </w:r>
          </w:p>
        </w:tc>
        <w:tc>
          <w:tcPr>
            <w:tcW w:w="1440" w:type="dxa"/>
            <w:noWrap/>
            <w:vAlign w:val="center"/>
            <w:hideMark/>
          </w:tcPr>
          <w:p w14:paraId="47824F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17,830</w:t>
            </w:r>
          </w:p>
        </w:tc>
        <w:tc>
          <w:tcPr>
            <w:tcW w:w="1436" w:type="dxa"/>
            <w:noWrap/>
            <w:vAlign w:val="center"/>
            <w:hideMark/>
          </w:tcPr>
          <w:p w14:paraId="6D2CFF2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36.6%</w:t>
            </w:r>
          </w:p>
        </w:tc>
        <w:tc>
          <w:tcPr>
            <w:tcW w:w="1390" w:type="dxa"/>
            <w:noWrap/>
            <w:vAlign w:val="center"/>
            <w:hideMark/>
          </w:tcPr>
          <w:p w14:paraId="72465C9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19,341</w:t>
            </w:r>
          </w:p>
        </w:tc>
        <w:tc>
          <w:tcPr>
            <w:tcW w:w="1387" w:type="dxa"/>
            <w:noWrap/>
            <w:vAlign w:val="center"/>
            <w:hideMark/>
          </w:tcPr>
          <w:p w14:paraId="105B788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39.7%</w:t>
            </w:r>
          </w:p>
        </w:tc>
        <w:tc>
          <w:tcPr>
            <w:tcW w:w="1418" w:type="dxa"/>
            <w:noWrap/>
            <w:vAlign w:val="center"/>
            <w:hideMark/>
          </w:tcPr>
          <w:p w14:paraId="202AD0B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7,680</w:t>
            </w:r>
          </w:p>
        </w:tc>
        <w:tc>
          <w:tcPr>
            <w:tcW w:w="1414" w:type="dxa"/>
            <w:noWrap/>
            <w:vAlign w:val="center"/>
            <w:hideMark/>
          </w:tcPr>
          <w:p w14:paraId="2596E7B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15.8%</w:t>
            </w:r>
          </w:p>
        </w:tc>
      </w:tr>
      <w:tr w:rsidR="00407705" w:rsidRPr="00105FFC" w14:paraId="12DE19EB"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528DB849"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San Mateo</w:t>
            </w:r>
          </w:p>
        </w:tc>
        <w:tc>
          <w:tcPr>
            <w:tcW w:w="1260" w:type="dxa"/>
            <w:noWrap/>
            <w:vAlign w:val="center"/>
            <w:hideMark/>
          </w:tcPr>
          <w:p w14:paraId="21E3AF1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36C11F1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8,607</w:t>
            </w:r>
          </w:p>
        </w:tc>
        <w:tc>
          <w:tcPr>
            <w:tcW w:w="1440" w:type="dxa"/>
            <w:noWrap/>
            <w:vAlign w:val="center"/>
            <w:hideMark/>
          </w:tcPr>
          <w:p w14:paraId="29D3448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1,449</w:t>
            </w:r>
          </w:p>
        </w:tc>
        <w:tc>
          <w:tcPr>
            <w:tcW w:w="1436" w:type="dxa"/>
            <w:noWrap/>
            <w:vAlign w:val="center"/>
            <w:hideMark/>
          </w:tcPr>
          <w:p w14:paraId="28F889D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16.8%</w:t>
            </w:r>
          </w:p>
        </w:tc>
        <w:tc>
          <w:tcPr>
            <w:tcW w:w="1390" w:type="dxa"/>
            <w:noWrap/>
            <w:vAlign w:val="center"/>
            <w:hideMark/>
          </w:tcPr>
          <w:p w14:paraId="61CDE48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1,547</w:t>
            </w:r>
          </w:p>
        </w:tc>
        <w:tc>
          <w:tcPr>
            <w:tcW w:w="1387" w:type="dxa"/>
            <w:noWrap/>
            <w:vAlign w:val="center"/>
            <w:hideMark/>
          </w:tcPr>
          <w:p w14:paraId="32C5424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18.0%</w:t>
            </w:r>
          </w:p>
        </w:tc>
        <w:tc>
          <w:tcPr>
            <w:tcW w:w="1418" w:type="dxa"/>
            <w:noWrap/>
            <w:vAlign w:val="center"/>
            <w:hideMark/>
          </w:tcPr>
          <w:p w14:paraId="548C3D7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1,060</w:t>
            </w:r>
          </w:p>
        </w:tc>
        <w:tc>
          <w:tcPr>
            <w:tcW w:w="1414" w:type="dxa"/>
            <w:noWrap/>
            <w:vAlign w:val="center"/>
            <w:hideMark/>
          </w:tcPr>
          <w:p w14:paraId="231FB7E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12.3%</w:t>
            </w:r>
          </w:p>
        </w:tc>
      </w:tr>
      <w:tr w:rsidR="00407705" w:rsidRPr="00105FFC" w14:paraId="1E90E973"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D95046A"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08D7519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4762DEA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5,371</w:t>
            </w:r>
          </w:p>
        </w:tc>
        <w:tc>
          <w:tcPr>
            <w:tcW w:w="1440" w:type="dxa"/>
            <w:noWrap/>
            <w:vAlign w:val="center"/>
            <w:hideMark/>
          </w:tcPr>
          <w:p w14:paraId="3704BF1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2,284</w:t>
            </w:r>
          </w:p>
        </w:tc>
        <w:tc>
          <w:tcPr>
            <w:tcW w:w="1436" w:type="dxa"/>
            <w:noWrap/>
            <w:vAlign w:val="center"/>
            <w:hideMark/>
          </w:tcPr>
          <w:p w14:paraId="4C23394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42.5%</w:t>
            </w:r>
          </w:p>
        </w:tc>
        <w:tc>
          <w:tcPr>
            <w:tcW w:w="1390" w:type="dxa"/>
            <w:noWrap/>
            <w:vAlign w:val="center"/>
            <w:hideMark/>
          </w:tcPr>
          <w:p w14:paraId="7E586E6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2,358</w:t>
            </w:r>
          </w:p>
        </w:tc>
        <w:tc>
          <w:tcPr>
            <w:tcW w:w="1387" w:type="dxa"/>
            <w:noWrap/>
            <w:vAlign w:val="center"/>
            <w:hideMark/>
          </w:tcPr>
          <w:p w14:paraId="218FF53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43.9%</w:t>
            </w:r>
          </w:p>
        </w:tc>
        <w:tc>
          <w:tcPr>
            <w:tcW w:w="1418" w:type="dxa"/>
            <w:noWrap/>
            <w:vAlign w:val="center"/>
            <w:hideMark/>
          </w:tcPr>
          <w:p w14:paraId="2ABF988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800</w:t>
            </w:r>
          </w:p>
        </w:tc>
        <w:tc>
          <w:tcPr>
            <w:tcW w:w="1414" w:type="dxa"/>
            <w:noWrap/>
            <w:vAlign w:val="center"/>
            <w:hideMark/>
          </w:tcPr>
          <w:p w14:paraId="134A259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14.9%</w:t>
            </w:r>
          </w:p>
        </w:tc>
      </w:tr>
      <w:tr w:rsidR="00407705" w:rsidRPr="00105FFC" w14:paraId="10C5CEDE"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858A137"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3B2D9CE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5FE97FF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8,291</w:t>
            </w:r>
          </w:p>
        </w:tc>
        <w:tc>
          <w:tcPr>
            <w:tcW w:w="1440" w:type="dxa"/>
            <w:noWrap/>
            <w:vAlign w:val="center"/>
            <w:hideMark/>
          </w:tcPr>
          <w:p w14:paraId="1BE01BF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4,326</w:t>
            </w:r>
          </w:p>
        </w:tc>
        <w:tc>
          <w:tcPr>
            <w:tcW w:w="1436" w:type="dxa"/>
            <w:noWrap/>
            <w:vAlign w:val="center"/>
            <w:hideMark/>
          </w:tcPr>
          <w:p w14:paraId="7F9D099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52.2%</w:t>
            </w:r>
          </w:p>
        </w:tc>
        <w:tc>
          <w:tcPr>
            <w:tcW w:w="1390" w:type="dxa"/>
            <w:noWrap/>
            <w:vAlign w:val="center"/>
            <w:hideMark/>
          </w:tcPr>
          <w:p w14:paraId="468627F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4,459</w:t>
            </w:r>
          </w:p>
        </w:tc>
        <w:tc>
          <w:tcPr>
            <w:tcW w:w="1387" w:type="dxa"/>
            <w:noWrap/>
            <w:vAlign w:val="center"/>
            <w:hideMark/>
          </w:tcPr>
          <w:p w14:paraId="23B92D6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53.8%</w:t>
            </w:r>
          </w:p>
        </w:tc>
        <w:tc>
          <w:tcPr>
            <w:tcW w:w="1418" w:type="dxa"/>
            <w:noWrap/>
            <w:vAlign w:val="center"/>
            <w:hideMark/>
          </w:tcPr>
          <w:p w14:paraId="120F214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837</w:t>
            </w:r>
          </w:p>
        </w:tc>
        <w:tc>
          <w:tcPr>
            <w:tcW w:w="1414" w:type="dxa"/>
            <w:noWrap/>
            <w:vAlign w:val="center"/>
            <w:hideMark/>
          </w:tcPr>
          <w:p w14:paraId="697D8E3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10.1%</w:t>
            </w:r>
          </w:p>
        </w:tc>
      </w:tr>
      <w:tr w:rsidR="00407705" w:rsidRPr="00105FFC" w14:paraId="3BDA3FA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0F9DC9EE"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33587A8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6461DA1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7,225</w:t>
            </w:r>
          </w:p>
        </w:tc>
        <w:tc>
          <w:tcPr>
            <w:tcW w:w="1440" w:type="dxa"/>
            <w:noWrap/>
            <w:vAlign w:val="center"/>
            <w:hideMark/>
          </w:tcPr>
          <w:p w14:paraId="18F9B6D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3,744</w:t>
            </w:r>
          </w:p>
        </w:tc>
        <w:tc>
          <w:tcPr>
            <w:tcW w:w="1436" w:type="dxa"/>
            <w:noWrap/>
            <w:vAlign w:val="center"/>
            <w:hideMark/>
          </w:tcPr>
          <w:p w14:paraId="3EE95A2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51.8%</w:t>
            </w:r>
          </w:p>
        </w:tc>
        <w:tc>
          <w:tcPr>
            <w:tcW w:w="1390" w:type="dxa"/>
            <w:noWrap/>
            <w:vAlign w:val="center"/>
            <w:hideMark/>
          </w:tcPr>
          <w:p w14:paraId="1934A5D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3,850</w:t>
            </w:r>
          </w:p>
        </w:tc>
        <w:tc>
          <w:tcPr>
            <w:tcW w:w="1387" w:type="dxa"/>
            <w:noWrap/>
            <w:vAlign w:val="center"/>
            <w:hideMark/>
          </w:tcPr>
          <w:p w14:paraId="13CC20B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53.3%</w:t>
            </w:r>
          </w:p>
        </w:tc>
        <w:tc>
          <w:tcPr>
            <w:tcW w:w="1418" w:type="dxa"/>
            <w:noWrap/>
            <w:vAlign w:val="center"/>
            <w:hideMark/>
          </w:tcPr>
          <w:p w14:paraId="1910225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626</w:t>
            </w:r>
          </w:p>
        </w:tc>
        <w:tc>
          <w:tcPr>
            <w:tcW w:w="1414" w:type="dxa"/>
            <w:noWrap/>
            <w:vAlign w:val="center"/>
            <w:hideMark/>
          </w:tcPr>
          <w:p w14:paraId="1B0221E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8.7%</w:t>
            </w:r>
          </w:p>
        </w:tc>
      </w:tr>
      <w:tr w:rsidR="00407705" w:rsidRPr="00105FFC" w14:paraId="144EE5D1"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EC9BD9E"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5C7C343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23EBBEF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6,548</w:t>
            </w:r>
          </w:p>
        </w:tc>
        <w:tc>
          <w:tcPr>
            <w:tcW w:w="1440" w:type="dxa"/>
            <w:noWrap/>
            <w:vAlign w:val="center"/>
            <w:hideMark/>
          </w:tcPr>
          <w:p w14:paraId="260A61F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3,043</w:t>
            </w:r>
          </w:p>
        </w:tc>
        <w:tc>
          <w:tcPr>
            <w:tcW w:w="1436" w:type="dxa"/>
            <w:noWrap/>
            <w:vAlign w:val="center"/>
            <w:hideMark/>
          </w:tcPr>
          <w:p w14:paraId="775D6F8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46.5%</w:t>
            </w:r>
          </w:p>
        </w:tc>
        <w:tc>
          <w:tcPr>
            <w:tcW w:w="1390" w:type="dxa"/>
            <w:noWrap/>
            <w:vAlign w:val="center"/>
            <w:hideMark/>
          </w:tcPr>
          <w:p w14:paraId="568CD20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3,177</w:t>
            </w:r>
          </w:p>
        </w:tc>
        <w:tc>
          <w:tcPr>
            <w:tcW w:w="1387" w:type="dxa"/>
            <w:noWrap/>
            <w:vAlign w:val="center"/>
            <w:hideMark/>
          </w:tcPr>
          <w:p w14:paraId="7363438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48.5%</w:t>
            </w:r>
          </w:p>
        </w:tc>
        <w:tc>
          <w:tcPr>
            <w:tcW w:w="1418" w:type="dxa"/>
            <w:noWrap/>
            <w:vAlign w:val="center"/>
            <w:hideMark/>
          </w:tcPr>
          <w:p w14:paraId="4222166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448</w:t>
            </w:r>
          </w:p>
        </w:tc>
        <w:tc>
          <w:tcPr>
            <w:tcW w:w="1414" w:type="dxa"/>
            <w:noWrap/>
            <w:vAlign w:val="center"/>
            <w:hideMark/>
          </w:tcPr>
          <w:p w14:paraId="30C1C27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6.8%</w:t>
            </w:r>
          </w:p>
        </w:tc>
      </w:tr>
      <w:tr w:rsidR="00407705" w:rsidRPr="00105FFC" w14:paraId="624AAECD"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1D34371"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10CF089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718947B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7,779</w:t>
            </w:r>
          </w:p>
        </w:tc>
        <w:tc>
          <w:tcPr>
            <w:tcW w:w="1440" w:type="dxa"/>
            <w:noWrap/>
            <w:vAlign w:val="center"/>
            <w:hideMark/>
          </w:tcPr>
          <w:p w14:paraId="3A9146E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2,874</w:t>
            </w:r>
          </w:p>
        </w:tc>
        <w:tc>
          <w:tcPr>
            <w:tcW w:w="1436" w:type="dxa"/>
            <w:noWrap/>
            <w:vAlign w:val="center"/>
            <w:hideMark/>
          </w:tcPr>
          <w:p w14:paraId="72598C2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36.9%</w:t>
            </w:r>
          </w:p>
        </w:tc>
        <w:tc>
          <w:tcPr>
            <w:tcW w:w="1390" w:type="dxa"/>
            <w:noWrap/>
            <w:vAlign w:val="center"/>
            <w:hideMark/>
          </w:tcPr>
          <w:p w14:paraId="70622FD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3,086</w:t>
            </w:r>
          </w:p>
        </w:tc>
        <w:tc>
          <w:tcPr>
            <w:tcW w:w="1387" w:type="dxa"/>
            <w:noWrap/>
            <w:vAlign w:val="center"/>
            <w:hideMark/>
          </w:tcPr>
          <w:p w14:paraId="01D1771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39.7%</w:t>
            </w:r>
          </w:p>
        </w:tc>
        <w:tc>
          <w:tcPr>
            <w:tcW w:w="1418" w:type="dxa"/>
            <w:noWrap/>
            <w:vAlign w:val="center"/>
            <w:hideMark/>
          </w:tcPr>
          <w:p w14:paraId="5BD355B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356</w:t>
            </w:r>
          </w:p>
        </w:tc>
        <w:tc>
          <w:tcPr>
            <w:tcW w:w="1414" w:type="dxa"/>
            <w:noWrap/>
            <w:vAlign w:val="center"/>
            <w:hideMark/>
          </w:tcPr>
          <w:p w14:paraId="558B766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w:t>
            </w:r>
          </w:p>
        </w:tc>
      </w:tr>
      <w:tr w:rsidR="00407705" w:rsidRPr="00105FFC" w14:paraId="0F58FF0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620D6B2"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14D95DE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71F44EB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2,452</w:t>
            </w:r>
          </w:p>
        </w:tc>
        <w:tc>
          <w:tcPr>
            <w:tcW w:w="1440" w:type="dxa"/>
            <w:noWrap/>
            <w:vAlign w:val="center"/>
            <w:hideMark/>
          </w:tcPr>
          <w:p w14:paraId="447BCC1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601</w:t>
            </w:r>
          </w:p>
        </w:tc>
        <w:tc>
          <w:tcPr>
            <w:tcW w:w="1436" w:type="dxa"/>
            <w:noWrap/>
            <w:vAlign w:val="center"/>
            <w:hideMark/>
          </w:tcPr>
          <w:p w14:paraId="5C518ED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24.5%</w:t>
            </w:r>
          </w:p>
        </w:tc>
        <w:tc>
          <w:tcPr>
            <w:tcW w:w="1390" w:type="dxa"/>
            <w:noWrap/>
            <w:vAlign w:val="center"/>
            <w:hideMark/>
          </w:tcPr>
          <w:p w14:paraId="3FE2551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664</w:t>
            </w:r>
          </w:p>
        </w:tc>
        <w:tc>
          <w:tcPr>
            <w:tcW w:w="1387" w:type="dxa"/>
            <w:noWrap/>
            <w:vAlign w:val="center"/>
            <w:hideMark/>
          </w:tcPr>
          <w:p w14:paraId="68E7B5B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27.1%</w:t>
            </w:r>
          </w:p>
        </w:tc>
        <w:tc>
          <w:tcPr>
            <w:tcW w:w="1418" w:type="dxa"/>
            <w:noWrap/>
            <w:vAlign w:val="center"/>
            <w:hideMark/>
          </w:tcPr>
          <w:p w14:paraId="1C32FD3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w:t>
            </w:r>
          </w:p>
        </w:tc>
        <w:tc>
          <w:tcPr>
            <w:tcW w:w="1414" w:type="dxa"/>
            <w:noWrap/>
            <w:vAlign w:val="center"/>
            <w:hideMark/>
          </w:tcPr>
          <w:p w14:paraId="6B2897E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w:t>
            </w:r>
          </w:p>
        </w:tc>
      </w:tr>
      <w:tr w:rsidR="00407705" w:rsidRPr="00105FFC" w14:paraId="64EE4F89"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43C24FA"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7263739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6C557F5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46,273</w:t>
            </w:r>
          </w:p>
        </w:tc>
        <w:tc>
          <w:tcPr>
            <w:tcW w:w="1440" w:type="dxa"/>
            <w:noWrap/>
            <w:vAlign w:val="center"/>
            <w:hideMark/>
          </w:tcPr>
          <w:p w14:paraId="2702AAE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18,321</w:t>
            </w:r>
          </w:p>
        </w:tc>
        <w:tc>
          <w:tcPr>
            <w:tcW w:w="1436" w:type="dxa"/>
            <w:noWrap/>
            <w:vAlign w:val="center"/>
            <w:hideMark/>
          </w:tcPr>
          <w:p w14:paraId="2C62733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39.6%</w:t>
            </w:r>
          </w:p>
        </w:tc>
        <w:tc>
          <w:tcPr>
            <w:tcW w:w="1390" w:type="dxa"/>
            <w:noWrap/>
            <w:vAlign w:val="center"/>
            <w:hideMark/>
          </w:tcPr>
          <w:p w14:paraId="57EA2FD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19,141</w:t>
            </w:r>
          </w:p>
        </w:tc>
        <w:tc>
          <w:tcPr>
            <w:tcW w:w="1387" w:type="dxa"/>
            <w:noWrap/>
            <w:vAlign w:val="center"/>
            <w:hideMark/>
          </w:tcPr>
          <w:p w14:paraId="4E3AFDF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41.4%</w:t>
            </w:r>
          </w:p>
        </w:tc>
        <w:tc>
          <w:tcPr>
            <w:tcW w:w="1418" w:type="dxa"/>
            <w:noWrap/>
            <w:vAlign w:val="center"/>
            <w:hideMark/>
          </w:tcPr>
          <w:p w14:paraId="482CB30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4,197</w:t>
            </w:r>
          </w:p>
        </w:tc>
        <w:tc>
          <w:tcPr>
            <w:tcW w:w="1414" w:type="dxa"/>
            <w:noWrap/>
            <w:vAlign w:val="center"/>
            <w:hideMark/>
          </w:tcPr>
          <w:p w14:paraId="75DE1C3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9.1%</w:t>
            </w:r>
          </w:p>
        </w:tc>
      </w:tr>
      <w:tr w:rsidR="00407705" w:rsidRPr="00105FFC" w14:paraId="02465553"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256E32E2"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Santa Clara</w:t>
            </w:r>
          </w:p>
        </w:tc>
        <w:tc>
          <w:tcPr>
            <w:tcW w:w="1260" w:type="dxa"/>
            <w:noWrap/>
            <w:vAlign w:val="center"/>
            <w:hideMark/>
          </w:tcPr>
          <w:p w14:paraId="0FA2C21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71FD032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22,965</w:t>
            </w:r>
          </w:p>
        </w:tc>
        <w:tc>
          <w:tcPr>
            <w:tcW w:w="1440" w:type="dxa"/>
            <w:noWrap/>
            <w:vAlign w:val="center"/>
            <w:hideMark/>
          </w:tcPr>
          <w:p w14:paraId="1270149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5,219</w:t>
            </w:r>
          </w:p>
        </w:tc>
        <w:tc>
          <w:tcPr>
            <w:tcW w:w="1436" w:type="dxa"/>
            <w:noWrap/>
            <w:vAlign w:val="center"/>
            <w:hideMark/>
          </w:tcPr>
          <w:p w14:paraId="70D1C72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22.7%</w:t>
            </w:r>
          </w:p>
        </w:tc>
        <w:tc>
          <w:tcPr>
            <w:tcW w:w="1390" w:type="dxa"/>
            <w:noWrap/>
            <w:vAlign w:val="center"/>
            <w:hideMark/>
          </w:tcPr>
          <w:p w14:paraId="3AD12FA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5,494</w:t>
            </w:r>
          </w:p>
        </w:tc>
        <w:tc>
          <w:tcPr>
            <w:tcW w:w="1387" w:type="dxa"/>
            <w:noWrap/>
            <w:vAlign w:val="center"/>
            <w:hideMark/>
          </w:tcPr>
          <w:p w14:paraId="061D0A0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23.9%</w:t>
            </w:r>
          </w:p>
        </w:tc>
        <w:tc>
          <w:tcPr>
            <w:tcW w:w="1418" w:type="dxa"/>
            <w:noWrap/>
            <w:vAlign w:val="center"/>
            <w:hideMark/>
          </w:tcPr>
          <w:p w14:paraId="2316A6E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1,609</w:t>
            </w:r>
          </w:p>
        </w:tc>
        <w:tc>
          <w:tcPr>
            <w:tcW w:w="1414" w:type="dxa"/>
            <w:noWrap/>
            <w:vAlign w:val="center"/>
            <w:hideMark/>
          </w:tcPr>
          <w:p w14:paraId="370CD4A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w:t>
            </w:r>
          </w:p>
        </w:tc>
      </w:tr>
      <w:tr w:rsidR="00407705" w:rsidRPr="00105FFC" w14:paraId="154D5ED1"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F43F80A"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4D8F7BE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1490A5A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14,530</w:t>
            </w:r>
          </w:p>
        </w:tc>
        <w:tc>
          <w:tcPr>
            <w:tcW w:w="1440" w:type="dxa"/>
            <w:noWrap/>
            <w:vAlign w:val="center"/>
            <w:hideMark/>
          </w:tcPr>
          <w:p w14:paraId="0C2FF0F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8,188</w:t>
            </w:r>
          </w:p>
        </w:tc>
        <w:tc>
          <w:tcPr>
            <w:tcW w:w="1436" w:type="dxa"/>
            <w:noWrap/>
            <w:vAlign w:val="center"/>
            <w:hideMark/>
          </w:tcPr>
          <w:p w14:paraId="263C839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56.4%</w:t>
            </w:r>
          </w:p>
        </w:tc>
        <w:tc>
          <w:tcPr>
            <w:tcW w:w="1390" w:type="dxa"/>
            <w:noWrap/>
            <w:vAlign w:val="center"/>
            <w:hideMark/>
          </w:tcPr>
          <w:p w14:paraId="7A90C00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8,439</w:t>
            </w:r>
          </w:p>
        </w:tc>
        <w:tc>
          <w:tcPr>
            <w:tcW w:w="1387" w:type="dxa"/>
            <w:noWrap/>
            <w:vAlign w:val="center"/>
            <w:hideMark/>
          </w:tcPr>
          <w:p w14:paraId="1E23784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58.1%</w:t>
            </w:r>
          </w:p>
        </w:tc>
        <w:tc>
          <w:tcPr>
            <w:tcW w:w="1418" w:type="dxa"/>
            <w:noWrap/>
            <w:vAlign w:val="center"/>
            <w:hideMark/>
          </w:tcPr>
          <w:p w14:paraId="51CAFEC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1,411</w:t>
            </w:r>
          </w:p>
        </w:tc>
        <w:tc>
          <w:tcPr>
            <w:tcW w:w="1414" w:type="dxa"/>
            <w:noWrap/>
            <w:vAlign w:val="center"/>
            <w:hideMark/>
          </w:tcPr>
          <w:p w14:paraId="739E270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9.7%</w:t>
            </w:r>
          </w:p>
        </w:tc>
      </w:tr>
      <w:tr w:rsidR="00407705" w:rsidRPr="00105FFC" w14:paraId="37082BFE"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43B2ED9"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7D811A2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5CD4B2B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23,649</w:t>
            </w:r>
          </w:p>
        </w:tc>
        <w:tc>
          <w:tcPr>
            <w:tcW w:w="1440" w:type="dxa"/>
            <w:noWrap/>
            <w:vAlign w:val="center"/>
            <w:hideMark/>
          </w:tcPr>
          <w:p w14:paraId="66D8F60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13,871</w:t>
            </w:r>
          </w:p>
        </w:tc>
        <w:tc>
          <w:tcPr>
            <w:tcW w:w="1436" w:type="dxa"/>
            <w:noWrap/>
            <w:vAlign w:val="center"/>
            <w:hideMark/>
          </w:tcPr>
          <w:p w14:paraId="2C62C1A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58.7%</w:t>
            </w:r>
          </w:p>
        </w:tc>
        <w:tc>
          <w:tcPr>
            <w:tcW w:w="1390" w:type="dxa"/>
            <w:noWrap/>
            <w:vAlign w:val="center"/>
            <w:hideMark/>
          </w:tcPr>
          <w:p w14:paraId="63AB36F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14,242</w:t>
            </w:r>
          </w:p>
        </w:tc>
        <w:tc>
          <w:tcPr>
            <w:tcW w:w="1387" w:type="dxa"/>
            <w:noWrap/>
            <w:vAlign w:val="center"/>
            <w:hideMark/>
          </w:tcPr>
          <w:p w14:paraId="3A67CC9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60.2%</w:t>
            </w:r>
          </w:p>
        </w:tc>
        <w:tc>
          <w:tcPr>
            <w:tcW w:w="1418" w:type="dxa"/>
            <w:noWrap/>
            <w:vAlign w:val="center"/>
            <w:hideMark/>
          </w:tcPr>
          <w:p w14:paraId="3B216FB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1,994</w:t>
            </w:r>
          </w:p>
        </w:tc>
        <w:tc>
          <w:tcPr>
            <w:tcW w:w="1414" w:type="dxa"/>
            <w:noWrap/>
            <w:vAlign w:val="center"/>
            <w:hideMark/>
          </w:tcPr>
          <w:p w14:paraId="0CC685D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8.4%</w:t>
            </w:r>
          </w:p>
        </w:tc>
      </w:tr>
      <w:tr w:rsidR="00407705" w:rsidRPr="00105FFC" w14:paraId="1BB3B69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F8C884A"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5D5550A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2D0310D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21,203</w:t>
            </w:r>
          </w:p>
        </w:tc>
        <w:tc>
          <w:tcPr>
            <w:tcW w:w="1440" w:type="dxa"/>
            <w:noWrap/>
            <w:vAlign w:val="center"/>
            <w:hideMark/>
          </w:tcPr>
          <w:p w14:paraId="69AA1EE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11,966</w:t>
            </w:r>
          </w:p>
        </w:tc>
        <w:tc>
          <w:tcPr>
            <w:tcW w:w="1436" w:type="dxa"/>
            <w:noWrap/>
            <w:vAlign w:val="center"/>
            <w:hideMark/>
          </w:tcPr>
          <w:p w14:paraId="3E71A95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56.4%</w:t>
            </w:r>
          </w:p>
        </w:tc>
        <w:tc>
          <w:tcPr>
            <w:tcW w:w="1390" w:type="dxa"/>
            <w:noWrap/>
            <w:vAlign w:val="center"/>
            <w:hideMark/>
          </w:tcPr>
          <w:p w14:paraId="297950E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12,284</w:t>
            </w:r>
          </w:p>
        </w:tc>
        <w:tc>
          <w:tcPr>
            <w:tcW w:w="1387" w:type="dxa"/>
            <w:noWrap/>
            <w:vAlign w:val="center"/>
            <w:hideMark/>
          </w:tcPr>
          <w:p w14:paraId="2E20BA6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57.9%</w:t>
            </w:r>
          </w:p>
        </w:tc>
        <w:tc>
          <w:tcPr>
            <w:tcW w:w="1418" w:type="dxa"/>
            <w:noWrap/>
            <w:vAlign w:val="center"/>
            <w:hideMark/>
          </w:tcPr>
          <w:p w14:paraId="389AF1A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1,585</w:t>
            </w:r>
          </w:p>
        </w:tc>
        <w:tc>
          <w:tcPr>
            <w:tcW w:w="1414" w:type="dxa"/>
            <w:noWrap/>
            <w:vAlign w:val="center"/>
            <w:hideMark/>
          </w:tcPr>
          <w:p w14:paraId="2B3497E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7.5%</w:t>
            </w:r>
          </w:p>
        </w:tc>
      </w:tr>
      <w:tr w:rsidR="00407705" w:rsidRPr="00105FFC" w14:paraId="1756D1C3"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8713BAA"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0B0ABD0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360382D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20,251</w:t>
            </w:r>
          </w:p>
        </w:tc>
        <w:tc>
          <w:tcPr>
            <w:tcW w:w="1440" w:type="dxa"/>
            <w:noWrap/>
            <w:vAlign w:val="center"/>
            <w:hideMark/>
          </w:tcPr>
          <w:p w14:paraId="3FBEB01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10,519</w:t>
            </w:r>
          </w:p>
        </w:tc>
        <w:tc>
          <w:tcPr>
            <w:tcW w:w="1436" w:type="dxa"/>
            <w:noWrap/>
            <w:vAlign w:val="center"/>
            <w:hideMark/>
          </w:tcPr>
          <w:p w14:paraId="1176619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51.9%</w:t>
            </w:r>
          </w:p>
        </w:tc>
        <w:tc>
          <w:tcPr>
            <w:tcW w:w="1390" w:type="dxa"/>
            <w:noWrap/>
            <w:vAlign w:val="center"/>
            <w:hideMark/>
          </w:tcPr>
          <w:p w14:paraId="058A7B4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10,913</w:t>
            </w:r>
          </w:p>
        </w:tc>
        <w:tc>
          <w:tcPr>
            <w:tcW w:w="1387" w:type="dxa"/>
            <w:noWrap/>
            <w:vAlign w:val="center"/>
            <w:hideMark/>
          </w:tcPr>
          <w:p w14:paraId="2CA9219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53.9%</w:t>
            </w:r>
          </w:p>
        </w:tc>
        <w:tc>
          <w:tcPr>
            <w:tcW w:w="1418" w:type="dxa"/>
            <w:noWrap/>
            <w:vAlign w:val="center"/>
            <w:hideMark/>
          </w:tcPr>
          <w:p w14:paraId="6F79CDC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1,350</w:t>
            </w:r>
          </w:p>
        </w:tc>
        <w:tc>
          <w:tcPr>
            <w:tcW w:w="1414" w:type="dxa"/>
            <w:noWrap/>
            <w:vAlign w:val="center"/>
            <w:hideMark/>
          </w:tcPr>
          <w:p w14:paraId="2ED75EA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w:t>
            </w:r>
          </w:p>
        </w:tc>
      </w:tr>
      <w:tr w:rsidR="00407705" w:rsidRPr="00105FFC" w14:paraId="538D44C1"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8B9D5F1"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0C516FE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2B3F5D7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23,338</w:t>
            </w:r>
          </w:p>
        </w:tc>
        <w:tc>
          <w:tcPr>
            <w:tcW w:w="1440" w:type="dxa"/>
            <w:noWrap/>
            <w:vAlign w:val="center"/>
            <w:hideMark/>
          </w:tcPr>
          <w:p w14:paraId="38F188E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9,829</w:t>
            </w:r>
          </w:p>
        </w:tc>
        <w:tc>
          <w:tcPr>
            <w:tcW w:w="1436" w:type="dxa"/>
            <w:noWrap/>
            <w:vAlign w:val="center"/>
            <w:hideMark/>
          </w:tcPr>
          <w:p w14:paraId="251EDF1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42.1%</w:t>
            </w:r>
          </w:p>
        </w:tc>
        <w:tc>
          <w:tcPr>
            <w:tcW w:w="1390" w:type="dxa"/>
            <w:noWrap/>
            <w:vAlign w:val="center"/>
            <w:hideMark/>
          </w:tcPr>
          <w:p w14:paraId="2C622E6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10,492</w:t>
            </w:r>
          </w:p>
        </w:tc>
        <w:tc>
          <w:tcPr>
            <w:tcW w:w="1387" w:type="dxa"/>
            <w:noWrap/>
            <w:vAlign w:val="center"/>
            <w:hideMark/>
          </w:tcPr>
          <w:p w14:paraId="4D9B219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45.0%</w:t>
            </w:r>
          </w:p>
        </w:tc>
        <w:tc>
          <w:tcPr>
            <w:tcW w:w="1418" w:type="dxa"/>
            <w:noWrap/>
            <w:vAlign w:val="center"/>
            <w:hideMark/>
          </w:tcPr>
          <w:p w14:paraId="5363DD6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1,574</w:t>
            </w:r>
          </w:p>
        </w:tc>
        <w:tc>
          <w:tcPr>
            <w:tcW w:w="1414" w:type="dxa"/>
            <w:noWrap/>
            <w:vAlign w:val="center"/>
            <w:hideMark/>
          </w:tcPr>
          <w:p w14:paraId="3932239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w:t>
            </w:r>
          </w:p>
        </w:tc>
      </w:tr>
      <w:tr w:rsidR="00407705" w:rsidRPr="00105FFC" w14:paraId="1550F878"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D939094"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511E704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17C55C6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7,562</w:t>
            </w:r>
          </w:p>
        </w:tc>
        <w:tc>
          <w:tcPr>
            <w:tcW w:w="1440" w:type="dxa"/>
            <w:noWrap/>
            <w:vAlign w:val="center"/>
            <w:hideMark/>
          </w:tcPr>
          <w:p w14:paraId="0977DA9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2,197</w:t>
            </w:r>
          </w:p>
        </w:tc>
        <w:tc>
          <w:tcPr>
            <w:tcW w:w="1436" w:type="dxa"/>
            <w:noWrap/>
            <w:vAlign w:val="center"/>
            <w:hideMark/>
          </w:tcPr>
          <w:p w14:paraId="560A1C5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29.1%</w:t>
            </w:r>
          </w:p>
        </w:tc>
        <w:tc>
          <w:tcPr>
            <w:tcW w:w="1390" w:type="dxa"/>
            <w:noWrap/>
            <w:vAlign w:val="center"/>
            <w:hideMark/>
          </w:tcPr>
          <w:p w14:paraId="5CEDF9A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2,394</w:t>
            </w:r>
          </w:p>
        </w:tc>
        <w:tc>
          <w:tcPr>
            <w:tcW w:w="1387" w:type="dxa"/>
            <w:noWrap/>
            <w:vAlign w:val="center"/>
            <w:hideMark/>
          </w:tcPr>
          <w:p w14:paraId="308EDFB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31.7%</w:t>
            </w:r>
          </w:p>
        </w:tc>
        <w:tc>
          <w:tcPr>
            <w:tcW w:w="1418" w:type="dxa"/>
            <w:noWrap/>
            <w:vAlign w:val="center"/>
            <w:hideMark/>
          </w:tcPr>
          <w:p w14:paraId="7429793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311</w:t>
            </w:r>
          </w:p>
        </w:tc>
        <w:tc>
          <w:tcPr>
            <w:tcW w:w="1414" w:type="dxa"/>
            <w:noWrap/>
            <w:vAlign w:val="center"/>
            <w:hideMark/>
          </w:tcPr>
          <w:p w14:paraId="761B6DD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w:t>
            </w:r>
          </w:p>
        </w:tc>
      </w:tr>
      <w:tr w:rsidR="00407705" w:rsidRPr="00105FFC" w14:paraId="022BBDF2"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5E58CBB7" w14:textId="77777777" w:rsidR="00407705" w:rsidRPr="00105FFC" w:rsidRDefault="00407705" w:rsidP="00407705">
            <w:pPr>
              <w:rPr>
                <w:rFonts w:asciiTheme="minorHAnsi" w:hAnsiTheme="minorHAnsi" w:cs="Arial"/>
                <w:b w:val="0"/>
                <w:color w:val="555555"/>
                <w:sz w:val="20"/>
                <w:szCs w:val="20"/>
              </w:rPr>
            </w:pPr>
          </w:p>
        </w:tc>
        <w:tc>
          <w:tcPr>
            <w:tcW w:w="1260" w:type="dxa"/>
            <w:noWrap/>
            <w:vAlign w:val="center"/>
            <w:hideMark/>
          </w:tcPr>
          <w:p w14:paraId="0F8C073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09FCC93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133,498</w:t>
            </w:r>
          </w:p>
        </w:tc>
        <w:tc>
          <w:tcPr>
            <w:tcW w:w="1440" w:type="dxa"/>
            <w:noWrap/>
            <w:vAlign w:val="center"/>
            <w:hideMark/>
          </w:tcPr>
          <w:p w14:paraId="41C09B8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61,789</w:t>
            </w:r>
          </w:p>
        </w:tc>
        <w:tc>
          <w:tcPr>
            <w:tcW w:w="1436" w:type="dxa"/>
            <w:noWrap/>
            <w:vAlign w:val="center"/>
            <w:hideMark/>
          </w:tcPr>
          <w:p w14:paraId="151B3B4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46.3%</w:t>
            </w:r>
          </w:p>
        </w:tc>
        <w:tc>
          <w:tcPr>
            <w:tcW w:w="1390" w:type="dxa"/>
            <w:noWrap/>
            <w:vAlign w:val="center"/>
            <w:hideMark/>
          </w:tcPr>
          <w:p w14:paraId="50BDACD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64,258</w:t>
            </w:r>
          </w:p>
        </w:tc>
        <w:tc>
          <w:tcPr>
            <w:tcW w:w="1387" w:type="dxa"/>
            <w:noWrap/>
            <w:vAlign w:val="center"/>
            <w:hideMark/>
          </w:tcPr>
          <w:p w14:paraId="179DA29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48.1%</w:t>
            </w:r>
          </w:p>
        </w:tc>
        <w:tc>
          <w:tcPr>
            <w:tcW w:w="1418" w:type="dxa"/>
            <w:noWrap/>
            <w:vAlign w:val="center"/>
            <w:hideMark/>
          </w:tcPr>
          <w:p w14:paraId="1572F11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9,834</w:t>
            </w:r>
          </w:p>
        </w:tc>
        <w:tc>
          <w:tcPr>
            <w:tcW w:w="1414" w:type="dxa"/>
            <w:noWrap/>
            <w:vAlign w:val="center"/>
            <w:hideMark/>
          </w:tcPr>
          <w:p w14:paraId="7598CE3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7.4%</w:t>
            </w:r>
          </w:p>
        </w:tc>
      </w:tr>
      <w:tr w:rsidR="00407705" w:rsidRPr="00105FFC" w14:paraId="70B76096"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restart"/>
            <w:noWrap/>
            <w:vAlign w:val="center"/>
            <w:hideMark/>
          </w:tcPr>
          <w:p w14:paraId="63229599" w14:textId="77777777" w:rsidR="00407705" w:rsidRPr="00105FFC" w:rsidRDefault="00407705" w:rsidP="00407705">
            <w:pPr>
              <w:jc w:val="center"/>
              <w:rPr>
                <w:rFonts w:asciiTheme="minorHAnsi" w:hAnsiTheme="minorHAnsi" w:cs="Arial"/>
                <w:b w:val="0"/>
                <w:color w:val="555555"/>
                <w:sz w:val="20"/>
                <w:szCs w:val="20"/>
              </w:rPr>
            </w:pPr>
            <w:r w:rsidRPr="00105FFC">
              <w:rPr>
                <w:rFonts w:asciiTheme="minorHAnsi" w:hAnsiTheme="minorHAnsi" w:cs="Arial"/>
                <w:b w:val="0"/>
                <w:color w:val="555555"/>
                <w:sz w:val="20"/>
                <w:szCs w:val="20"/>
              </w:rPr>
              <w:t>South Coast</w:t>
            </w:r>
          </w:p>
        </w:tc>
        <w:tc>
          <w:tcPr>
            <w:tcW w:w="1260" w:type="dxa"/>
            <w:noWrap/>
            <w:vAlign w:val="center"/>
            <w:hideMark/>
          </w:tcPr>
          <w:p w14:paraId="40D200A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1864" w:type="dxa"/>
            <w:noWrap/>
            <w:vAlign w:val="center"/>
            <w:hideMark/>
          </w:tcPr>
          <w:p w14:paraId="536ED62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28,639</w:t>
            </w:r>
          </w:p>
        </w:tc>
        <w:tc>
          <w:tcPr>
            <w:tcW w:w="1440" w:type="dxa"/>
            <w:noWrap/>
            <w:vAlign w:val="center"/>
            <w:hideMark/>
          </w:tcPr>
          <w:p w14:paraId="5E19D8A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5,928</w:t>
            </w:r>
          </w:p>
        </w:tc>
        <w:tc>
          <w:tcPr>
            <w:tcW w:w="1436" w:type="dxa"/>
            <w:noWrap/>
            <w:vAlign w:val="center"/>
            <w:hideMark/>
          </w:tcPr>
          <w:p w14:paraId="209953A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20.7%</w:t>
            </w:r>
          </w:p>
        </w:tc>
        <w:tc>
          <w:tcPr>
            <w:tcW w:w="1390" w:type="dxa"/>
            <w:noWrap/>
            <w:vAlign w:val="center"/>
            <w:hideMark/>
          </w:tcPr>
          <w:p w14:paraId="352A6D4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6,531</w:t>
            </w:r>
          </w:p>
        </w:tc>
        <w:tc>
          <w:tcPr>
            <w:tcW w:w="1387" w:type="dxa"/>
            <w:noWrap/>
            <w:vAlign w:val="center"/>
            <w:hideMark/>
          </w:tcPr>
          <w:p w14:paraId="37B0220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22.8%</w:t>
            </w:r>
          </w:p>
        </w:tc>
        <w:tc>
          <w:tcPr>
            <w:tcW w:w="1418" w:type="dxa"/>
            <w:noWrap/>
            <w:vAlign w:val="center"/>
            <w:hideMark/>
          </w:tcPr>
          <w:p w14:paraId="7B1728F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2,679</w:t>
            </w:r>
          </w:p>
        </w:tc>
        <w:tc>
          <w:tcPr>
            <w:tcW w:w="1414" w:type="dxa"/>
            <w:noWrap/>
            <w:vAlign w:val="center"/>
            <w:hideMark/>
          </w:tcPr>
          <w:p w14:paraId="428B2FD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9.4%</w:t>
            </w:r>
          </w:p>
        </w:tc>
      </w:tr>
      <w:tr w:rsidR="00407705" w:rsidRPr="00105FFC" w14:paraId="71E5B493"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460142A4" w14:textId="77777777" w:rsidR="00407705" w:rsidRPr="00105FFC" w:rsidRDefault="00407705" w:rsidP="00407705">
            <w:pPr>
              <w:rPr>
                <w:rFonts w:asciiTheme="minorHAnsi" w:hAnsiTheme="minorHAnsi" w:cs="Arial"/>
                <w:color w:val="555555"/>
                <w:sz w:val="20"/>
                <w:szCs w:val="20"/>
              </w:rPr>
            </w:pPr>
          </w:p>
        </w:tc>
        <w:tc>
          <w:tcPr>
            <w:tcW w:w="1260" w:type="dxa"/>
            <w:noWrap/>
            <w:vAlign w:val="center"/>
            <w:hideMark/>
          </w:tcPr>
          <w:p w14:paraId="39667A0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1864" w:type="dxa"/>
            <w:noWrap/>
            <w:vAlign w:val="center"/>
            <w:hideMark/>
          </w:tcPr>
          <w:p w14:paraId="2B63257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18,346</w:t>
            </w:r>
          </w:p>
        </w:tc>
        <w:tc>
          <w:tcPr>
            <w:tcW w:w="1440" w:type="dxa"/>
            <w:noWrap/>
            <w:vAlign w:val="center"/>
            <w:hideMark/>
          </w:tcPr>
          <w:p w14:paraId="15A153C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9,587</w:t>
            </w:r>
          </w:p>
        </w:tc>
        <w:tc>
          <w:tcPr>
            <w:tcW w:w="1436" w:type="dxa"/>
            <w:noWrap/>
            <w:vAlign w:val="center"/>
            <w:hideMark/>
          </w:tcPr>
          <w:p w14:paraId="69178AF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52.3%</w:t>
            </w:r>
          </w:p>
        </w:tc>
        <w:tc>
          <w:tcPr>
            <w:tcW w:w="1390" w:type="dxa"/>
            <w:noWrap/>
            <w:vAlign w:val="center"/>
            <w:hideMark/>
          </w:tcPr>
          <w:p w14:paraId="473B6D9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10,075</w:t>
            </w:r>
          </w:p>
        </w:tc>
        <w:tc>
          <w:tcPr>
            <w:tcW w:w="1387" w:type="dxa"/>
            <w:noWrap/>
            <w:vAlign w:val="center"/>
            <w:hideMark/>
          </w:tcPr>
          <w:p w14:paraId="4DE717D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54.9%</w:t>
            </w:r>
          </w:p>
        </w:tc>
        <w:tc>
          <w:tcPr>
            <w:tcW w:w="1418" w:type="dxa"/>
            <w:noWrap/>
            <w:vAlign w:val="center"/>
            <w:hideMark/>
          </w:tcPr>
          <w:p w14:paraId="358B380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2,417</w:t>
            </w:r>
          </w:p>
        </w:tc>
        <w:tc>
          <w:tcPr>
            <w:tcW w:w="1414" w:type="dxa"/>
            <w:noWrap/>
            <w:vAlign w:val="center"/>
            <w:hideMark/>
          </w:tcPr>
          <w:p w14:paraId="38F0331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13.2%</w:t>
            </w:r>
          </w:p>
        </w:tc>
      </w:tr>
      <w:tr w:rsidR="00407705" w:rsidRPr="00105FFC" w14:paraId="7645C1A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144D71D4" w14:textId="77777777" w:rsidR="00407705" w:rsidRPr="00105FFC" w:rsidRDefault="00407705" w:rsidP="00407705">
            <w:pPr>
              <w:rPr>
                <w:rFonts w:asciiTheme="minorHAnsi" w:hAnsiTheme="minorHAnsi" w:cs="Arial"/>
                <w:color w:val="555555"/>
                <w:sz w:val="20"/>
                <w:szCs w:val="20"/>
              </w:rPr>
            </w:pPr>
          </w:p>
        </w:tc>
        <w:tc>
          <w:tcPr>
            <w:tcW w:w="1260" w:type="dxa"/>
            <w:noWrap/>
            <w:vAlign w:val="center"/>
            <w:hideMark/>
          </w:tcPr>
          <w:p w14:paraId="7A14806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1864" w:type="dxa"/>
            <w:noWrap/>
            <w:vAlign w:val="center"/>
            <w:hideMark/>
          </w:tcPr>
          <w:p w14:paraId="7F8E8D3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28,343</w:t>
            </w:r>
          </w:p>
        </w:tc>
        <w:tc>
          <w:tcPr>
            <w:tcW w:w="1440" w:type="dxa"/>
            <w:noWrap/>
            <w:vAlign w:val="center"/>
            <w:hideMark/>
          </w:tcPr>
          <w:p w14:paraId="1ACD426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15,776</w:t>
            </w:r>
          </w:p>
        </w:tc>
        <w:tc>
          <w:tcPr>
            <w:tcW w:w="1436" w:type="dxa"/>
            <w:noWrap/>
            <w:vAlign w:val="center"/>
            <w:hideMark/>
          </w:tcPr>
          <w:p w14:paraId="4F78B91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55.7%</w:t>
            </w:r>
          </w:p>
        </w:tc>
        <w:tc>
          <w:tcPr>
            <w:tcW w:w="1390" w:type="dxa"/>
            <w:noWrap/>
            <w:vAlign w:val="center"/>
            <w:hideMark/>
          </w:tcPr>
          <w:p w14:paraId="65617B2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16,372</w:t>
            </w:r>
          </w:p>
        </w:tc>
        <w:tc>
          <w:tcPr>
            <w:tcW w:w="1387" w:type="dxa"/>
            <w:noWrap/>
            <w:vAlign w:val="center"/>
            <w:hideMark/>
          </w:tcPr>
          <w:p w14:paraId="67BD574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57.8%</w:t>
            </w:r>
          </w:p>
        </w:tc>
        <w:tc>
          <w:tcPr>
            <w:tcW w:w="1418" w:type="dxa"/>
            <w:noWrap/>
            <w:vAlign w:val="center"/>
            <w:hideMark/>
          </w:tcPr>
          <w:p w14:paraId="65CB65F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3,467</w:t>
            </w:r>
          </w:p>
        </w:tc>
        <w:tc>
          <w:tcPr>
            <w:tcW w:w="1414" w:type="dxa"/>
            <w:noWrap/>
            <w:vAlign w:val="center"/>
            <w:hideMark/>
          </w:tcPr>
          <w:p w14:paraId="4714712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12.2%</w:t>
            </w:r>
          </w:p>
        </w:tc>
      </w:tr>
      <w:tr w:rsidR="00407705" w:rsidRPr="00105FFC" w14:paraId="2A2F4698"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6D221CDF" w14:textId="77777777" w:rsidR="00407705" w:rsidRPr="00105FFC" w:rsidRDefault="00407705" w:rsidP="00407705">
            <w:pPr>
              <w:rPr>
                <w:rFonts w:asciiTheme="minorHAnsi" w:hAnsiTheme="minorHAnsi" w:cs="Arial"/>
                <w:color w:val="555555"/>
                <w:sz w:val="20"/>
                <w:szCs w:val="20"/>
              </w:rPr>
            </w:pPr>
          </w:p>
        </w:tc>
        <w:tc>
          <w:tcPr>
            <w:tcW w:w="1260" w:type="dxa"/>
            <w:noWrap/>
            <w:vAlign w:val="center"/>
            <w:hideMark/>
          </w:tcPr>
          <w:p w14:paraId="50BA79B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1864" w:type="dxa"/>
            <w:noWrap/>
            <w:vAlign w:val="center"/>
            <w:hideMark/>
          </w:tcPr>
          <w:p w14:paraId="1CDB5DA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24,760</w:t>
            </w:r>
          </w:p>
        </w:tc>
        <w:tc>
          <w:tcPr>
            <w:tcW w:w="1440" w:type="dxa"/>
            <w:noWrap/>
            <w:vAlign w:val="center"/>
            <w:hideMark/>
          </w:tcPr>
          <w:p w14:paraId="26A5C90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12,921</w:t>
            </w:r>
          </w:p>
        </w:tc>
        <w:tc>
          <w:tcPr>
            <w:tcW w:w="1436" w:type="dxa"/>
            <w:noWrap/>
            <w:vAlign w:val="center"/>
            <w:hideMark/>
          </w:tcPr>
          <w:p w14:paraId="411D21A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52.2%</w:t>
            </w:r>
          </w:p>
        </w:tc>
        <w:tc>
          <w:tcPr>
            <w:tcW w:w="1390" w:type="dxa"/>
            <w:noWrap/>
            <w:vAlign w:val="center"/>
            <w:hideMark/>
          </w:tcPr>
          <w:p w14:paraId="15A1BC6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13,426</w:t>
            </w:r>
          </w:p>
        </w:tc>
        <w:tc>
          <w:tcPr>
            <w:tcW w:w="1387" w:type="dxa"/>
            <w:noWrap/>
            <w:vAlign w:val="center"/>
            <w:hideMark/>
          </w:tcPr>
          <w:p w14:paraId="78C6352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54.2%</w:t>
            </w:r>
          </w:p>
        </w:tc>
        <w:tc>
          <w:tcPr>
            <w:tcW w:w="1418" w:type="dxa"/>
            <w:noWrap/>
            <w:vAlign w:val="center"/>
            <w:hideMark/>
          </w:tcPr>
          <w:p w14:paraId="66F202A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2,705</w:t>
            </w:r>
          </w:p>
        </w:tc>
        <w:tc>
          <w:tcPr>
            <w:tcW w:w="1414" w:type="dxa"/>
            <w:noWrap/>
            <w:vAlign w:val="center"/>
            <w:hideMark/>
          </w:tcPr>
          <w:p w14:paraId="6D5D2A5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10.9%</w:t>
            </w:r>
          </w:p>
        </w:tc>
      </w:tr>
      <w:tr w:rsidR="00407705" w:rsidRPr="00105FFC" w14:paraId="32066F52"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2B4052A" w14:textId="77777777" w:rsidR="00407705" w:rsidRPr="00105FFC" w:rsidRDefault="00407705" w:rsidP="00407705">
            <w:pPr>
              <w:rPr>
                <w:rFonts w:asciiTheme="minorHAnsi" w:hAnsiTheme="minorHAnsi" w:cs="Arial"/>
                <w:color w:val="555555"/>
                <w:sz w:val="20"/>
                <w:szCs w:val="20"/>
              </w:rPr>
            </w:pPr>
          </w:p>
        </w:tc>
        <w:tc>
          <w:tcPr>
            <w:tcW w:w="1260" w:type="dxa"/>
            <w:noWrap/>
            <w:vAlign w:val="center"/>
            <w:hideMark/>
          </w:tcPr>
          <w:p w14:paraId="7F37153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1864" w:type="dxa"/>
            <w:noWrap/>
            <w:vAlign w:val="center"/>
            <w:hideMark/>
          </w:tcPr>
          <w:p w14:paraId="7F34D93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20,985</w:t>
            </w:r>
          </w:p>
        </w:tc>
        <w:tc>
          <w:tcPr>
            <w:tcW w:w="1440" w:type="dxa"/>
            <w:noWrap/>
            <w:vAlign w:val="center"/>
            <w:hideMark/>
          </w:tcPr>
          <w:p w14:paraId="297EA3F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9,082</w:t>
            </w:r>
          </w:p>
        </w:tc>
        <w:tc>
          <w:tcPr>
            <w:tcW w:w="1436" w:type="dxa"/>
            <w:noWrap/>
            <w:vAlign w:val="center"/>
            <w:hideMark/>
          </w:tcPr>
          <w:p w14:paraId="7A6449F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43.3%</w:t>
            </w:r>
          </w:p>
        </w:tc>
        <w:tc>
          <w:tcPr>
            <w:tcW w:w="1390" w:type="dxa"/>
            <w:noWrap/>
            <w:vAlign w:val="center"/>
            <w:hideMark/>
          </w:tcPr>
          <w:p w14:paraId="7476546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9,580</w:t>
            </w:r>
          </w:p>
        </w:tc>
        <w:tc>
          <w:tcPr>
            <w:tcW w:w="1387" w:type="dxa"/>
            <w:noWrap/>
            <w:vAlign w:val="center"/>
            <w:hideMark/>
          </w:tcPr>
          <w:p w14:paraId="7A91054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45.7%</w:t>
            </w:r>
          </w:p>
        </w:tc>
        <w:tc>
          <w:tcPr>
            <w:tcW w:w="1418" w:type="dxa"/>
            <w:noWrap/>
            <w:vAlign w:val="center"/>
            <w:hideMark/>
          </w:tcPr>
          <w:p w14:paraId="28854DF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2,248</w:t>
            </w:r>
          </w:p>
        </w:tc>
        <w:tc>
          <w:tcPr>
            <w:tcW w:w="1414" w:type="dxa"/>
            <w:noWrap/>
            <w:vAlign w:val="center"/>
            <w:hideMark/>
          </w:tcPr>
          <w:p w14:paraId="1D0DB5D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10.7%</w:t>
            </w:r>
          </w:p>
        </w:tc>
      </w:tr>
      <w:tr w:rsidR="00407705" w:rsidRPr="00105FFC" w14:paraId="50F24821"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BE971AF" w14:textId="77777777" w:rsidR="00407705" w:rsidRPr="00105FFC" w:rsidRDefault="00407705" w:rsidP="00407705">
            <w:pPr>
              <w:rPr>
                <w:rFonts w:asciiTheme="minorHAnsi" w:hAnsiTheme="minorHAnsi" w:cs="Arial"/>
                <w:color w:val="555555"/>
                <w:sz w:val="20"/>
                <w:szCs w:val="20"/>
              </w:rPr>
            </w:pPr>
          </w:p>
        </w:tc>
        <w:tc>
          <w:tcPr>
            <w:tcW w:w="1260" w:type="dxa"/>
            <w:noWrap/>
            <w:vAlign w:val="center"/>
            <w:hideMark/>
          </w:tcPr>
          <w:p w14:paraId="05BB18B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1864" w:type="dxa"/>
            <w:noWrap/>
            <w:vAlign w:val="center"/>
            <w:hideMark/>
          </w:tcPr>
          <w:p w14:paraId="75AF417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24,681</w:t>
            </w:r>
          </w:p>
        </w:tc>
        <w:tc>
          <w:tcPr>
            <w:tcW w:w="1440" w:type="dxa"/>
            <w:noWrap/>
            <w:vAlign w:val="center"/>
            <w:hideMark/>
          </w:tcPr>
          <w:p w14:paraId="5F70A75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8,449</w:t>
            </w:r>
          </w:p>
        </w:tc>
        <w:tc>
          <w:tcPr>
            <w:tcW w:w="1436" w:type="dxa"/>
            <w:noWrap/>
            <w:vAlign w:val="center"/>
            <w:hideMark/>
          </w:tcPr>
          <w:p w14:paraId="7FD168E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34.2%</w:t>
            </w:r>
          </w:p>
        </w:tc>
        <w:tc>
          <w:tcPr>
            <w:tcW w:w="1390" w:type="dxa"/>
            <w:noWrap/>
            <w:vAlign w:val="center"/>
            <w:hideMark/>
          </w:tcPr>
          <w:p w14:paraId="1FB383F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9,394</w:t>
            </w:r>
          </w:p>
        </w:tc>
        <w:tc>
          <w:tcPr>
            <w:tcW w:w="1387" w:type="dxa"/>
            <w:noWrap/>
            <w:vAlign w:val="center"/>
            <w:hideMark/>
          </w:tcPr>
          <w:p w14:paraId="44DAB7B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38.1%</w:t>
            </w:r>
          </w:p>
        </w:tc>
        <w:tc>
          <w:tcPr>
            <w:tcW w:w="1418" w:type="dxa"/>
            <w:noWrap/>
            <w:vAlign w:val="center"/>
            <w:hideMark/>
          </w:tcPr>
          <w:p w14:paraId="15C662D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2,470</w:t>
            </w:r>
          </w:p>
        </w:tc>
        <w:tc>
          <w:tcPr>
            <w:tcW w:w="1414" w:type="dxa"/>
            <w:noWrap/>
            <w:vAlign w:val="center"/>
            <w:hideMark/>
          </w:tcPr>
          <w:p w14:paraId="76CA7B8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10.0%</w:t>
            </w:r>
          </w:p>
        </w:tc>
      </w:tr>
      <w:tr w:rsidR="00407705" w:rsidRPr="00105FFC" w14:paraId="3256941C"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79C60283" w14:textId="77777777" w:rsidR="00407705" w:rsidRPr="00105FFC" w:rsidRDefault="00407705" w:rsidP="00407705">
            <w:pPr>
              <w:rPr>
                <w:rFonts w:asciiTheme="minorHAnsi" w:hAnsiTheme="minorHAnsi" w:cs="Arial"/>
                <w:color w:val="555555"/>
                <w:sz w:val="20"/>
                <w:szCs w:val="20"/>
              </w:rPr>
            </w:pPr>
          </w:p>
        </w:tc>
        <w:tc>
          <w:tcPr>
            <w:tcW w:w="1260" w:type="dxa"/>
            <w:noWrap/>
            <w:vAlign w:val="center"/>
            <w:hideMark/>
          </w:tcPr>
          <w:p w14:paraId="3C5B445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1864" w:type="dxa"/>
            <w:noWrap/>
            <w:vAlign w:val="center"/>
            <w:hideMark/>
          </w:tcPr>
          <w:p w14:paraId="1459950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7,085</w:t>
            </w:r>
          </w:p>
        </w:tc>
        <w:tc>
          <w:tcPr>
            <w:tcW w:w="1440" w:type="dxa"/>
            <w:noWrap/>
            <w:vAlign w:val="center"/>
            <w:hideMark/>
          </w:tcPr>
          <w:p w14:paraId="4BB7C63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1,474</w:t>
            </w:r>
          </w:p>
        </w:tc>
        <w:tc>
          <w:tcPr>
            <w:tcW w:w="1436" w:type="dxa"/>
            <w:noWrap/>
            <w:vAlign w:val="center"/>
            <w:hideMark/>
          </w:tcPr>
          <w:p w14:paraId="643C62E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20.8%</w:t>
            </w:r>
          </w:p>
        </w:tc>
        <w:tc>
          <w:tcPr>
            <w:tcW w:w="1390" w:type="dxa"/>
            <w:noWrap/>
            <w:vAlign w:val="center"/>
            <w:hideMark/>
          </w:tcPr>
          <w:p w14:paraId="7BAA3A5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1,831</w:t>
            </w:r>
          </w:p>
        </w:tc>
        <w:tc>
          <w:tcPr>
            <w:tcW w:w="1387" w:type="dxa"/>
            <w:noWrap/>
            <w:vAlign w:val="center"/>
            <w:hideMark/>
          </w:tcPr>
          <w:p w14:paraId="4C8CE4F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25.8%</w:t>
            </w:r>
          </w:p>
        </w:tc>
        <w:tc>
          <w:tcPr>
            <w:tcW w:w="1418" w:type="dxa"/>
            <w:noWrap/>
            <w:vAlign w:val="center"/>
            <w:hideMark/>
          </w:tcPr>
          <w:p w14:paraId="5438849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438</w:t>
            </w:r>
          </w:p>
        </w:tc>
        <w:tc>
          <w:tcPr>
            <w:tcW w:w="1414" w:type="dxa"/>
            <w:noWrap/>
            <w:vAlign w:val="center"/>
            <w:hideMark/>
          </w:tcPr>
          <w:p w14:paraId="17444D4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w:t>
            </w:r>
          </w:p>
        </w:tc>
      </w:tr>
      <w:tr w:rsidR="00407705" w:rsidRPr="00105FFC" w14:paraId="4CFBB2E2" w14:textId="77777777" w:rsidTr="00407705">
        <w:trPr>
          <w:cantSplit/>
          <w:trHeight w:val="315"/>
        </w:trPr>
        <w:tc>
          <w:tcPr>
            <w:cnfStyle w:val="001000000000" w:firstRow="0" w:lastRow="0" w:firstColumn="1" w:lastColumn="0" w:oddVBand="0" w:evenVBand="0" w:oddHBand="0" w:evenHBand="0" w:firstRowFirstColumn="0" w:firstRowLastColumn="0" w:lastRowFirstColumn="0" w:lastRowLastColumn="0"/>
            <w:tcW w:w="1345" w:type="dxa"/>
            <w:vMerge/>
            <w:vAlign w:val="center"/>
            <w:hideMark/>
          </w:tcPr>
          <w:p w14:paraId="3E7CC9CB" w14:textId="77777777" w:rsidR="00407705" w:rsidRPr="00105FFC" w:rsidRDefault="00407705" w:rsidP="00407705">
            <w:pPr>
              <w:rPr>
                <w:rFonts w:asciiTheme="minorHAnsi" w:hAnsiTheme="minorHAnsi" w:cs="Arial"/>
                <w:color w:val="555555"/>
                <w:sz w:val="20"/>
                <w:szCs w:val="20"/>
              </w:rPr>
            </w:pPr>
          </w:p>
        </w:tc>
        <w:tc>
          <w:tcPr>
            <w:tcW w:w="1260" w:type="dxa"/>
            <w:noWrap/>
            <w:vAlign w:val="center"/>
            <w:hideMark/>
          </w:tcPr>
          <w:p w14:paraId="54563F7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1864" w:type="dxa"/>
            <w:noWrap/>
            <w:vAlign w:val="center"/>
            <w:hideMark/>
          </w:tcPr>
          <w:p w14:paraId="0BCEC14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152,839</w:t>
            </w:r>
          </w:p>
        </w:tc>
        <w:tc>
          <w:tcPr>
            <w:tcW w:w="1440" w:type="dxa"/>
            <w:noWrap/>
            <w:vAlign w:val="center"/>
            <w:hideMark/>
          </w:tcPr>
          <w:p w14:paraId="15DAA2D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63,217</w:t>
            </w:r>
          </w:p>
        </w:tc>
        <w:tc>
          <w:tcPr>
            <w:tcW w:w="1436" w:type="dxa"/>
            <w:noWrap/>
            <w:vAlign w:val="center"/>
            <w:hideMark/>
          </w:tcPr>
          <w:p w14:paraId="7FA5828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41.4%</w:t>
            </w:r>
          </w:p>
        </w:tc>
        <w:tc>
          <w:tcPr>
            <w:tcW w:w="1390" w:type="dxa"/>
            <w:noWrap/>
            <w:vAlign w:val="center"/>
            <w:hideMark/>
          </w:tcPr>
          <w:p w14:paraId="0B8D0A8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67,209</w:t>
            </w:r>
          </w:p>
        </w:tc>
        <w:tc>
          <w:tcPr>
            <w:tcW w:w="1387" w:type="dxa"/>
            <w:noWrap/>
            <w:vAlign w:val="center"/>
            <w:hideMark/>
          </w:tcPr>
          <w:p w14:paraId="3CDA7BC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44.0%</w:t>
            </w:r>
          </w:p>
        </w:tc>
        <w:tc>
          <w:tcPr>
            <w:tcW w:w="1418" w:type="dxa"/>
            <w:noWrap/>
            <w:vAlign w:val="center"/>
            <w:hideMark/>
          </w:tcPr>
          <w:p w14:paraId="24CBF9E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16,424</w:t>
            </w:r>
          </w:p>
        </w:tc>
        <w:tc>
          <w:tcPr>
            <w:tcW w:w="1414" w:type="dxa"/>
            <w:noWrap/>
            <w:vAlign w:val="center"/>
            <w:hideMark/>
          </w:tcPr>
          <w:p w14:paraId="403F06F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10.7%</w:t>
            </w:r>
          </w:p>
        </w:tc>
      </w:tr>
      <w:tr w:rsidR="00407705" w:rsidRPr="00105FFC" w14:paraId="0921FFC7" w14:textId="77777777" w:rsidTr="0040770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605" w:type="dxa"/>
            <w:gridSpan w:val="2"/>
            <w:noWrap/>
            <w:vAlign w:val="center"/>
            <w:hideMark/>
          </w:tcPr>
          <w:p w14:paraId="6F0A70EC" w14:textId="77777777" w:rsidR="00407705" w:rsidRPr="00105FFC" w:rsidRDefault="00407705" w:rsidP="00407705">
            <w:pPr>
              <w:jc w:val="center"/>
              <w:rPr>
                <w:rFonts w:asciiTheme="minorHAnsi" w:hAnsiTheme="minorHAnsi" w:cs="Arial"/>
                <w:color w:val="555555"/>
                <w:sz w:val="20"/>
                <w:szCs w:val="20"/>
              </w:rPr>
            </w:pPr>
            <w:r w:rsidRPr="00105FFC">
              <w:rPr>
                <w:rFonts w:asciiTheme="minorHAnsi" w:hAnsiTheme="minorHAnsi" w:cs="Arial"/>
                <w:color w:val="555555"/>
                <w:sz w:val="20"/>
                <w:szCs w:val="20"/>
              </w:rPr>
              <w:t>Grand Total</w:t>
            </w:r>
          </w:p>
        </w:tc>
        <w:tc>
          <w:tcPr>
            <w:tcW w:w="1864" w:type="dxa"/>
            <w:noWrap/>
            <w:vAlign w:val="center"/>
            <w:hideMark/>
          </w:tcPr>
          <w:p w14:paraId="7E9B125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3,916,863</w:t>
            </w:r>
          </w:p>
        </w:tc>
        <w:tc>
          <w:tcPr>
            <w:tcW w:w="1440" w:type="dxa"/>
            <w:noWrap/>
            <w:vAlign w:val="center"/>
            <w:hideMark/>
          </w:tcPr>
          <w:p w14:paraId="1E1C1A6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1,675,172</w:t>
            </w:r>
          </w:p>
        </w:tc>
        <w:tc>
          <w:tcPr>
            <w:tcW w:w="1436" w:type="dxa"/>
            <w:noWrap/>
            <w:vAlign w:val="center"/>
            <w:hideMark/>
          </w:tcPr>
          <w:p w14:paraId="372CD5A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42.8%</w:t>
            </w:r>
          </w:p>
        </w:tc>
        <w:tc>
          <w:tcPr>
            <w:tcW w:w="1390" w:type="dxa"/>
            <w:noWrap/>
            <w:vAlign w:val="center"/>
            <w:hideMark/>
          </w:tcPr>
          <w:p w14:paraId="4E0E30E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1,794,514</w:t>
            </w:r>
          </w:p>
        </w:tc>
        <w:tc>
          <w:tcPr>
            <w:tcW w:w="1387" w:type="dxa"/>
            <w:noWrap/>
            <w:vAlign w:val="center"/>
            <w:hideMark/>
          </w:tcPr>
          <w:p w14:paraId="1176ECB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45.8%</w:t>
            </w:r>
          </w:p>
        </w:tc>
        <w:tc>
          <w:tcPr>
            <w:tcW w:w="1418" w:type="dxa"/>
            <w:noWrap/>
            <w:vAlign w:val="center"/>
            <w:hideMark/>
          </w:tcPr>
          <w:p w14:paraId="1A63869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267,449</w:t>
            </w:r>
          </w:p>
        </w:tc>
        <w:tc>
          <w:tcPr>
            <w:tcW w:w="1414" w:type="dxa"/>
            <w:noWrap/>
            <w:vAlign w:val="center"/>
            <w:hideMark/>
          </w:tcPr>
          <w:p w14:paraId="77300AF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6.8%</w:t>
            </w:r>
          </w:p>
        </w:tc>
      </w:tr>
    </w:tbl>
    <w:p w14:paraId="785E1895" w14:textId="77777777" w:rsidR="00407705" w:rsidRPr="00105FFC" w:rsidRDefault="00407705" w:rsidP="00407705">
      <w:pPr>
        <w:pStyle w:val="Caption"/>
        <w:spacing w:after="0"/>
        <w:rPr>
          <w:rFonts w:asciiTheme="minorHAnsi" w:eastAsiaTheme="minorHAnsi" w:hAnsiTheme="minorHAnsi" w:cstheme="minorBidi"/>
          <w:color w:val="auto"/>
          <w:sz w:val="20"/>
          <w:szCs w:val="20"/>
        </w:rPr>
      </w:pPr>
      <w:r w:rsidRPr="00105FFC">
        <w:rPr>
          <w:rFonts w:asciiTheme="minorHAnsi" w:eastAsiaTheme="minorHAnsi" w:hAnsiTheme="minorHAnsi" w:cstheme="minorBidi"/>
          <w:color w:val="auto"/>
          <w:sz w:val="20"/>
          <w:szCs w:val="20"/>
        </w:rPr>
        <w:t xml:space="preserve">Source: </w:t>
      </w:r>
      <w:r w:rsidRPr="00105FFC">
        <w:rPr>
          <w:rFonts w:asciiTheme="minorHAnsi" w:eastAsiaTheme="minorHAnsi" w:hAnsiTheme="minorHAnsi" w:cstheme="minorBidi"/>
          <w:b w:val="0"/>
          <w:color w:val="auto"/>
          <w:sz w:val="20"/>
          <w:szCs w:val="20"/>
        </w:rPr>
        <w:t>Prepared by DHCS’ Medi-Cal Dental Services Division using data from the MIS/DSS and the Medi-Cal Fiscal Intermediary’s 35c-file of paid claims records</w:t>
      </w:r>
    </w:p>
    <w:p w14:paraId="4CE1FB2C" w14:textId="77777777" w:rsidR="00407705" w:rsidRPr="00105FFC" w:rsidRDefault="00407705" w:rsidP="00407705">
      <w:pPr>
        <w:spacing w:line="276" w:lineRule="auto"/>
        <w:rPr>
          <w:rFonts w:asciiTheme="minorHAnsi" w:eastAsiaTheme="minorHAnsi" w:hAnsiTheme="minorHAnsi"/>
        </w:rPr>
      </w:pPr>
    </w:p>
    <w:p w14:paraId="146DA852" w14:textId="77777777" w:rsidR="00407705" w:rsidRPr="00105FFC" w:rsidRDefault="00407705" w:rsidP="00407705">
      <w:pPr>
        <w:pStyle w:val="Caption"/>
        <w:spacing w:after="0"/>
        <w:rPr>
          <w:rFonts w:asciiTheme="minorHAnsi" w:eastAsiaTheme="minorHAnsi" w:hAnsiTheme="minorHAnsi" w:cstheme="minorBidi"/>
          <w:color w:val="auto"/>
          <w:sz w:val="22"/>
          <w:szCs w:val="22"/>
        </w:rPr>
      </w:pPr>
      <w:bookmarkStart w:id="532" w:name="_Toc458178114"/>
      <w:bookmarkStart w:id="533" w:name="_Toc458783153"/>
      <w:bookmarkStart w:id="534" w:name="_Toc459285199"/>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54</w:t>
      </w:r>
      <w:r w:rsidRPr="00105FFC">
        <w:rPr>
          <w:rFonts w:asciiTheme="minorHAnsi" w:hAnsiTheme="minorHAnsi"/>
          <w:color w:val="auto"/>
          <w:sz w:val="20"/>
          <w:szCs w:val="20"/>
        </w:rPr>
        <w:fldChar w:fldCharType="end"/>
      </w:r>
      <w:r w:rsidRPr="00105FFC">
        <w:rPr>
          <w:rFonts w:asciiTheme="minorHAnsi" w:eastAsiaTheme="minorHAnsi" w:hAnsiTheme="minorHAnsi" w:cstheme="minorBidi"/>
          <w:b w:val="0"/>
          <w:color w:val="auto"/>
          <w:sz w:val="20"/>
          <w:szCs w:val="20"/>
        </w:rPr>
        <w:t>:</w:t>
      </w:r>
      <w:r w:rsidRPr="00105FFC">
        <w:rPr>
          <w:rFonts w:asciiTheme="minorHAnsi" w:eastAsiaTheme="minorHAnsi" w:hAnsiTheme="minorHAnsi" w:cstheme="minorBidi"/>
          <w:color w:val="auto"/>
          <w:sz w:val="20"/>
          <w:szCs w:val="20"/>
        </w:rPr>
        <w:t xml:space="preserve"> </w:t>
      </w:r>
      <w:r w:rsidRPr="00105FFC">
        <w:rPr>
          <w:rFonts w:asciiTheme="minorHAnsi" w:eastAsiaTheme="minorHAnsi" w:hAnsiTheme="minorHAnsi" w:cstheme="minorBidi"/>
          <w:b w:val="0"/>
          <w:color w:val="auto"/>
          <w:sz w:val="20"/>
          <w:szCs w:val="20"/>
        </w:rPr>
        <w:t>Proportion of FFS Medi-Cal Beneficiaries Ages 0-20 Who Received a Preventive Dental Service, Any Dental Service, or a Dental Visit at a Clinic in CY 2015, by Age Group and Geographic Region</w:t>
      </w:r>
      <w:bookmarkEnd w:id="532"/>
      <w:bookmarkEnd w:id="533"/>
      <w:bookmarkEnd w:id="534"/>
    </w:p>
    <w:tbl>
      <w:tblPr>
        <w:tblStyle w:val="GridTable6Colorful-Accent11"/>
        <w:tblW w:w="0" w:type="auto"/>
        <w:tblLook w:val="04A0" w:firstRow="1" w:lastRow="0" w:firstColumn="1" w:lastColumn="0" w:noHBand="0" w:noVBand="1"/>
      </w:tblPr>
      <w:tblGrid>
        <w:gridCol w:w="1864"/>
        <w:gridCol w:w="1116"/>
        <w:gridCol w:w="1631"/>
        <w:gridCol w:w="1447"/>
        <w:gridCol w:w="1444"/>
        <w:gridCol w:w="1410"/>
        <w:gridCol w:w="1407"/>
        <w:gridCol w:w="1430"/>
        <w:gridCol w:w="1427"/>
      </w:tblGrid>
      <w:tr w:rsidR="00407705" w:rsidRPr="00105FFC" w14:paraId="7658177E" w14:textId="77777777" w:rsidTr="00407705">
        <w:trPr>
          <w:cnfStyle w:val="100000000000" w:firstRow="1" w:lastRow="0" w:firstColumn="0" w:lastColumn="0" w:oddVBand="0" w:evenVBand="0" w:oddHBand="0" w:evenHBand="0" w:firstRowFirstColumn="0" w:firstRowLastColumn="0" w:lastRowFirstColumn="0" w:lastRowLastColumn="0"/>
          <w:cantSplit/>
          <w:trHeight w:val="1155"/>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DF0364" w14:textId="77777777" w:rsidR="00407705" w:rsidRPr="00105FFC" w:rsidRDefault="00407705" w:rsidP="00407705">
            <w:pPr>
              <w:jc w:val="center"/>
              <w:rPr>
                <w:rFonts w:asciiTheme="minorHAnsi" w:hAnsiTheme="minorHAnsi" w:cs="Arial"/>
                <w:bCs w:val="0"/>
                <w:color w:val="555555"/>
                <w:sz w:val="20"/>
                <w:szCs w:val="20"/>
              </w:rPr>
            </w:pPr>
            <w:r w:rsidRPr="00105FFC">
              <w:rPr>
                <w:rFonts w:asciiTheme="minorHAnsi" w:hAnsiTheme="minorHAnsi" w:cs="Arial"/>
                <w:bCs w:val="0"/>
                <w:color w:val="555555"/>
                <w:sz w:val="20"/>
                <w:szCs w:val="20"/>
              </w:rPr>
              <w:t>Geographic Region</w:t>
            </w:r>
          </w:p>
        </w:tc>
        <w:tc>
          <w:tcPr>
            <w:tcW w:w="0" w:type="auto"/>
            <w:vAlign w:val="center"/>
            <w:hideMark/>
          </w:tcPr>
          <w:p w14:paraId="7F91F69B" w14:textId="77777777" w:rsidR="00407705" w:rsidRPr="00105FFC" w:rsidRDefault="00407705" w:rsidP="00407705">
            <w:pP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Age Group</w:t>
            </w:r>
          </w:p>
        </w:tc>
        <w:tc>
          <w:tcPr>
            <w:tcW w:w="0" w:type="auto"/>
            <w:vAlign w:val="center"/>
            <w:hideMark/>
          </w:tcPr>
          <w:p w14:paraId="1DAE8C00"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Total Beneficiaries with at least 11 of 12 months eligibility with no more than a one month gap</w:t>
            </w:r>
          </w:p>
        </w:tc>
        <w:tc>
          <w:tcPr>
            <w:tcW w:w="0" w:type="auto"/>
            <w:vAlign w:val="center"/>
            <w:hideMark/>
          </w:tcPr>
          <w:p w14:paraId="4C3DA0DC"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Total Beneficiaries with a Preventive Dental Service</w:t>
            </w:r>
          </w:p>
        </w:tc>
        <w:tc>
          <w:tcPr>
            <w:tcW w:w="0" w:type="auto"/>
            <w:vAlign w:val="center"/>
            <w:hideMark/>
          </w:tcPr>
          <w:p w14:paraId="7350EEFC"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 of Beneficiaries with a Preventive Dental Service</w:t>
            </w:r>
          </w:p>
        </w:tc>
        <w:tc>
          <w:tcPr>
            <w:tcW w:w="0" w:type="auto"/>
            <w:vAlign w:val="center"/>
            <w:hideMark/>
          </w:tcPr>
          <w:p w14:paraId="02ED3C4D"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Total Beneficiaries with Any Dental Service</w:t>
            </w:r>
          </w:p>
        </w:tc>
        <w:tc>
          <w:tcPr>
            <w:tcW w:w="0" w:type="auto"/>
            <w:vAlign w:val="center"/>
            <w:hideMark/>
          </w:tcPr>
          <w:p w14:paraId="622F0819"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 of Beneficiaries with Any Dental Service</w:t>
            </w:r>
          </w:p>
        </w:tc>
        <w:tc>
          <w:tcPr>
            <w:tcW w:w="0" w:type="auto"/>
            <w:vAlign w:val="center"/>
            <w:hideMark/>
          </w:tcPr>
          <w:p w14:paraId="415694C8"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Total Beneficiaries with a Dental Visit at a Clinic</w:t>
            </w:r>
          </w:p>
        </w:tc>
        <w:tc>
          <w:tcPr>
            <w:tcW w:w="0" w:type="auto"/>
            <w:vAlign w:val="center"/>
            <w:hideMark/>
          </w:tcPr>
          <w:p w14:paraId="31968424"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555555"/>
                <w:sz w:val="20"/>
                <w:szCs w:val="20"/>
              </w:rPr>
            </w:pPr>
            <w:r w:rsidRPr="00105FFC">
              <w:rPr>
                <w:rFonts w:asciiTheme="minorHAnsi" w:hAnsiTheme="minorHAnsi" w:cs="Arial"/>
                <w:bCs w:val="0"/>
                <w:color w:val="555555"/>
                <w:sz w:val="20"/>
                <w:szCs w:val="20"/>
              </w:rPr>
              <w:t>% of Beneficiaries with a Dental Visit at a Clinic</w:t>
            </w:r>
          </w:p>
        </w:tc>
      </w:tr>
      <w:tr w:rsidR="00407705" w:rsidRPr="00105FFC" w14:paraId="4F904E2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2C8A2261"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Alameda</w:t>
            </w:r>
          </w:p>
        </w:tc>
        <w:tc>
          <w:tcPr>
            <w:tcW w:w="0" w:type="auto"/>
            <w:noWrap/>
            <w:vAlign w:val="center"/>
            <w:hideMark/>
          </w:tcPr>
          <w:p w14:paraId="4A55A26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524427F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23,004</w:t>
            </w:r>
          </w:p>
        </w:tc>
        <w:tc>
          <w:tcPr>
            <w:tcW w:w="0" w:type="auto"/>
            <w:noWrap/>
            <w:vAlign w:val="center"/>
            <w:hideMark/>
          </w:tcPr>
          <w:p w14:paraId="1BBE848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3,491</w:t>
            </w:r>
          </w:p>
        </w:tc>
        <w:tc>
          <w:tcPr>
            <w:tcW w:w="0" w:type="auto"/>
            <w:noWrap/>
            <w:vAlign w:val="center"/>
            <w:hideMark/>
          </w:tcPr>
          <w:p w14:paraId="76EE04C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15.2%</w:t>
            </w:r>
          </w:p>
        </w:tc>
        <w:tc>
          <w:tcPr>
            <w:tcW w:w="0" w:type="auto"/>
            <w:noWrap/>
            <w:vAlign w:val="center"/>
            <w:hideMark/>
          </w:tcPr>
          <w:p w14:paraId="243B38A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4,433</w:t>
            </w:r>
          </w:p>
        </w:tc>
        <w:tc>
          <w:tcPr>
            <w:tcW w:w="0" w:type="auto"/>
            <w:noWrap/>
            <w:vAlign w:val="center"/>
            <w:hideMark/>
          </w:tcPr>
          <w:p w14:paraId="0EF9A5E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w:t>
            </w:r>
          </w:p>
        </w:tc>
        <w:tc>
          <w:tcPr>
            <w:tcW w:w="0" w:type="auto"/>
            <w:noWrap/>
            <w:vAlign w:val="center"/>
            <w:hideMark/>
          </w:tcPr>
          <w:p w14:paraId="1A5E681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3,836</w:t>
            </w:r>
          </w:p>
        </w:tc>
        <w:tc>
          <w:tcPr>
            <w:tcW w:w="0" w:type="auto"/>
            <w:noWrap/>
            <w:vAlign w:val="center"/>
            <w:hideMark/>
          </w:tcPr>
          <w:p w14:paraId="32CBCD5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16.7%</w:t>
            </w:r>
          </w:p>
        </w:tc>
      </w:tr>
      <w:tr w:rsidR="00407705" w:rsidRPr="00105FFC" w14:paraId="1D56B04A"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E140590"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12650C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05F50E9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14,665</w:t>
            </w:r>
          </w:p>
        </w:tc>
        <w:tc>
          <w:tcPr>
            <w:tcW w:w="0" w:type="auto"/>
            <w:noWrap/>
            <w:vAlign w:val="center"/>
            <w:hideMark/>
          </w:tcPr>
          <w:p w14:paraId="253DE18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4,868</w:t>
            </w:r>
          </w:p>
        </w:tc>
        <w:tc>
          <w:tcPr>
            <w:tcW w:w="0" w:type="auto"/>
            <w:noWrap/>
            <w:vAlign w:val="center"/>
            <w:hideMark/>
          </w:tcPr>
          <w:p w14:paraId="520262C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33.2%</w:t>
            </w:r>
          </w:p>
        </w:tc>
        <w:tc>
          <w:tcPr>
            <w:tcW w:w="0" w:type="auto"/>
            <w:noWrap/>
            <w:vAlign w:val="center"/>
            <w:hideMark/>
          </w:tcPr>
          <w:p w14:paraId="4094E2A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5,334</w:t>
            </w:r>
          </w:p>
        </w:tc>
        <w:tc>
          <w:tcPr>
            <w:tcW w:w="0" w:type="auto"/>
            <w:noWrap/>
            <w:vAlign w:val="center"/>
            <w:hideMark/>
          </w:tcPr>
          <w:p w14:paraId="2AC829D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36.4%</w:t>
            </w:r>
          </w:p>
        </w:tc>
        <w:tc>
          <w:tcPr>
            <w:tcW w:w="0" w:type="auto"/>
            <w:noWrap/>
            <w:vAlign w:val="center"/>
            <w:hideMark/>
          </w:tcPr>
          <w:p w14:paraId="5BFACD2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3,392</w:t>
            </w:r>
          </w:p>
        </w:tc>
        <w:tc>
          <w:tcPr>
            <w:tcW w:w="0" w:type="auto"/>
            <w:noWrap/>
            <w:vAlign w:val="center"/>
            <w:hideMark/>
          </w:tcPr>
          <w:p w14:paraId="3F9DA1D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23.1%</w:t>
            </w:r>
          </w:p>
        </w:tc>
      </w:tr>
      <w:tr w:rsidR="00407705" w:rsidRPr="00105FFC" w14:paraId="73F304FA"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1B5D20A"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747843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6DA8808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23,852</w:t>
            </w:r>
          </w:p>
        </w:tc>
        <w:tc>
          <w:tcPr>
            <w:tcW w:w="0" w:type="auto"/>
            <w:noWrap/>
            <w:vAlign w:val="center"/>
            <w:hideMark/>
          </w:tcPr>
          <w:p w14:paraId="7458BF7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9,111</w:t>
            </w:r>
          </w:p>
        </w:tc>
        <w:tc>
          <w:tcPr>
            <w:tcW w:w="0" w:type="auto"/>
            <w:noWrap/>
            <w:vAlign w:val="center"/>
            <w:hideMark/>
          </w:tcPr>
          <w:p w14:paraId="0BB6506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38.2%</w:t>
            </w:r>
          </w:p>
        </w:tc>
        <w:tc>
          <w:tcPr>
            <w:tcW w:w="0" w:type="auto"/>
            <w:noWrap/>
            <w:vAlign w:val="center"/>
            <w:hideMark/>
          </w:tcPr>
          <w:p w14:paraId="6C37A2A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9,620</w:t>
            </w:r>
          </w:p>
        </w:tc>
        <w:tc>
          <w:tcPr>
            <w:tcW w:w="0" w:type="auto"/>
            <w:noWrap/>
            <w:vAlign w:val="center"/>
            <w:hideMark/>
          </w:tcPr>
          <w:p w14:paraId="2D690BE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40.3%</w:t>
            </w:r>
          </w:p>
        </w:tc>
        <w:tc>
          <w:tcPr>
            <w:tcW w:w="0" w:type="auto"/>
            <w:noWrap/>
            <w:vAlign w:val="center"/>
            <w:hideMark/>
          </w:tcPr>
          <w:p w14:paraId="31FAB8B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4,554</w:t>
            </w:r>
          </w:p>
        </w:tc>
        <w:tc>
          <w:tcPr>
            <w:tcW w:w="0" w:type="auto"/>
            <w:noWrap/>
            <w:vAlign w:val="center"/>
            <w:hideMark/>
          </w:tcPr>
          <w:p w14:paraId="7A8C505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19.1%</w:t>
            </w:r>
          </w:p>
        </w:tc>
      </w:tr>
      <w:tr w:rsidR="00407705" w:rsidRPr="00105FFC" w14:paraId="2336684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D12CFE6"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5BE85B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591DA60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21,709</w:t>
            </w:r>
          </w:p>
        </w:tc>
        <w:tc>
          <w:tcPr>
            <w:tcW w:w="0" w:type="auto"/>
            <w:noWrap/>
            <w:vAlign w:val="center"/>
            <w:hideMark/>
          </w:tcPr>
          <w:p w14:paraId="6177833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7,961</w:t>
            </w:r>
          </w:p>
        </w:tc>
        <w:tc>
          <w:tcPr>
            <w:tcW w:w="0" w:type="auto"/>
            <w:noWrap/>
            <w:vAlign w:val="center"/>
            <w:hideMark/>
          </w:tcPr>
          <w:p w14:paraId="40F15D3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36.7%</w:t>
            </w:r>
          </w:p>
        </w:tc>
        <w:tc>
          <w:tcPr>
            <w:tcW w:w="0" w:type="auto"/>
            <w:noWrap/>
            <w:vAlign w:val="center"/>
            <w:hideMark/>
          </w:tcPr>
          <w:p w14:paraId="06922CC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8,377</w:t>
            </w:r>
          </w:p>
        </w:tc>
        <w:tc>
          <w:tcPr>
            <w:tcW w:w="0" w:type="auto"/>
            <w:noWrap/>
            <w:vAlign w:val="center"/>
            <w:hideMark/>
          </w:tcPr>
          <w:p w14:paraId="30CD66D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38.6%</w:t>
            </w:r>
          </w:p>
        </w:tc>
        <w:tc>
          <w:tcPr>
            <w:tcW w:w="0" w:type="auto"/>
            <w:noWrap/>
            <w:vAlign w:val="center"/>
            <w:hideMark/>
          </w:tcPr>
          <w:p w14:paraId="52EE88E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3,673</w:t>
            </w:r>
          </w:p>
        </w:tc>
        <w:tc>
          <w:tcPr>
            <w:tcW w:w="0" w:type="auto"/>
            <w:noWrap/>
            <w:vAlign w:val="center"/>
            <w:hideMark/>
          </w:tcPr>
          <w:p w14:paraId="24065D4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16.9%</w:t>
            </w:r>
          </w:p>
        </w:tc>
      </w:tr>
      <w:tr w:rsidR="00407705" w:rsidRPr="00105FFC" w14:paraId="02003DD3"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4C528C"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007B96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435F5CB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19,770</w:t>
            </w:r>
          </w:p>
        </w:tc>
        <w:tc>
          <w:tcPr>
            <w:tcW w:w="0" w:type="auto"/>
            <w:noWrap/>
            <w:vAlign w:val="center"/>
            <w:hideMark/>
          </w:tcPr>
          <w:p w14:paraId="3C756F5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6,534</w:t>
            </w:r>
          </w:p>
        </w:tc>
        <w:tc>
          <w:tcPr>
            <w:tcW w:w="0" w:type="auto"/>
            <w:noWrap/>
            <w:vAlign w:val="center"/>
            <w:hideMark/>
          </w:tcPr>
          <w:p w14:paraId="003E2CD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33.1%</w:t>
            </w:r>
          </w:p>
        </w:tc>
        <w:tc>
          <w:tcPr>
            <w:tcW w:w="0" w:type="auto"/>
            <w:noWrap/>
            <w:vAlign w:val="center"/>
            <w:hideMark/>
          </w:tcPr>
          <w:p w14:paraId="6C49DBD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7,061</w:t>
            </w:r>
          </w:p>
        </w:tc>
        <w:tc>
          <w:tcPr>
            <w:tcW w:w="0" w:type="auto"/>
            <w:noWrap/>
            <w:vAlign w:val="center"/>
            <w:hideMark/>
          </w:tcPr>
          <w:p w14:paraId="68847EE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35.7%</w:t>
            </w:r>
          </w:p>
        </w:tc>
        <w:tc>
          <w:tcPr>
            <w:tcW w:w="0" w:type="auto"/>
            <w:noWrap/>
            <w:vAlign w:val="center"/>
            <w:hideMark/>
          </w:tcPr>
          <w:p w14:paraId="3E0484F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2,777</w:t>
            </w:r>
          </w:p>
        </w:tc>
        <w:tc>
          <w:tcPr>
            <w:tcW w:w="0" w:type="auto"/>
            <w:noWrap/>
            <w:vAlign w:val="center"/>
            <w:hideMark/>
          </w:tcPr>
          <w:p w14:paraId="4E6E8C1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14.0%</w:t>
            </w:r>
          </w:p>
        </w:tc>
      </w:tr>
      <w:tr w:rsidR="00407705" w:rsidRPr="00105FFC" w14:paraId="7D259756"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E506C5E"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E5A2C2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745C315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24,628</w:t>
            </w:r>
          </w:p>
        </w:tc>
        <w:tc>
          <w:tcPr>
            <w:tcW w:w="0" w:type="auto"/>
            <w:noWrap/>
            <w:vAlign w:val="center"/>
            <w:hideMark/>
          </w:tcPr>
          <w:p w14:paraId="0FDD2B9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7,065</w:t>
            </w:r>
          </w:p>
        </w:tc>
        <w:tc>
          <w:tcPr>
            <w:tcW w:w="0" w:type="auto"/>
            <w:noWrap/>
            <w:vAlign w:val="center"/>
            <w:hideMark/>
          </w:tcPr>
          <w:p w14:paraId="32DE5C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28.7%</w:t>
            </w:r>
          </w:p>
        </w:tc>
        <w:tc>
          <w:tcPr>
            <w:tcW w:w="0" w:type="auto"/>
            <w:noWrap/>
            <w:vAlign w:val="center"/>
            <w:hideMark/>
          </w:tcPr>
          <w:p w14:paraId="17909FF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7,948</w:t>
            </w:r>
          </w:p>
        </w:tc>
        <w:tc>
          <w:tcPr>
            <w:tcW w:w="0" w:type="auto"/>
            <w:noWrap/>
            <w:vAlign w:val="center"/>
            <w:hideMark/>
          </w:tcPr>
          <w:p w14:paraId="22561A1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32.3%</w:t>
            </w:r>
          </w:p>
        </w:tc>
        <w:tc>
          <w:tcPr>
            <w:tcW w:w="0" w:type="auto"/>
            <w:noWrap/>
            <w:vAlign w:val="center"/>
            <w:hideMark/>
          </w:tcPr>
          <w:p w14:paraId="5C3440F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2,347</w:t>
            </w:r>
          </w:p>
        </w:tc>
        <w:tc>
          <w:tcPr>
            <w:tcW w:w="0" w:type="auto"/>
            <w:noWrap/>
            <w:vAlign w:val="center"/>
            <w:hideMark/>
          </w:tcPr>
          <w:p w14:paraId="5BAC542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9.5%</w:t>
            </w:r>
          </w:p>
        </w:tc>
      </w:tr>
      <w:tr w:rsidR="00407705" w:rsidRPr="00105FFC" w14:paraId="0443E07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62BB468"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5B4BE7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31FCB0E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9,693</w:t>
            </w:r>
          </w:p>
        </w:tc>
        <w:tc>
          <w:tcPr>
            <w:tcW w:w="0" w:type="auto"/>
            <w:noWrap/>
            <w:vAlign w:val="center"/>
            <w:hideMark/>
          </w:tcPr>
          <w:p w14:paraId="461B728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1,893</w:t>
            </w:r>
          </w:p>
        </w:tc>
        <w:tc>
          <w:tcPr>
            <w:tcW w:w="0" w:type="auto"/>
            <w:noWrap/>
            <w:vAlign w:val="center"/>
            <w:hideMark/>
          </w:tcPr>
          <w:p w14:paraId="26063C8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19.5%</w:t>
            </w:r>
          </w:p>
        </w:tc>
        <w:tc>
          <w:tcPr>
            <w:tcW w:w="0" w:type="auto"/>
            <w:noWrap/>
            <w:vAlign w:val="center"/>
            <w:hideMark/>
          </w:tcPr>
          <w:p w14:paraId="584CCE7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2,285</w:t>
            </w:r>
          </w:p>
        </w:tc>
        <w:tc>
          <w:tcPr>
            <w:tcW w:w="0" w:type="auto"/>
            <w:noWrap/>
            <w:vAlign w:val="center"/>
            <w:hideMark/>
          </w:tcPr>
          <w:p w14:paraId="1598EF9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23.6%</w:t>
            </w:r>
          </w:p>
        </w:tc>
        <w:tc>
          <w:tcPr>
            <w:tcW w:w="0" w:type="auto"/>
            <w:noWrap/>
            <w:vAlign w:val="center"/>
            <w:hideMark/>
          </w:tcPr>
          <w:p w14:paraId="272C373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522</w:t>
            </w:r>
          </w:p>
        </w:tc>
        <w:tc>
          <w:tcPr>
            <w:tcW w:w="0" w:type="auto"/>
            <w:noWrap/>
            <w:vAlign w:val="center"/>
            <w:hideMark/>
          </w:tcPr>
          <w:p w14:paraId="664F1E2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w:t>
            </w:r>
          </w:p>
        </w:tc>
      </w:tr>
      <w:tr w:rsidR="00407705" w:rsidRPr="00105FFC" w14:paraId="1B628C8B"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B05D33F"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985F85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539432D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137,321</w:t>
            </w:r>
          </w:p>
        </w:tc>
        <w:tc>
          <w:tcPr>
            <w:tcW w:w="0" w:type="auto"/>
            <w:noWrap/>
            <w:vAlign w:val="center"/>
            <w:hideMark/>
          </w:tcPr>
          <w:p w14:paraId="7770104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40,923</w:t>
            </w:r>
          </w:p>
        </w:tc>
        <w:tc>
          <w:tcPr>
            <w:tcW w:w="0" w:type="auto"/>
            <w:noWrap/>
            <w:vAlign w:val="center"/>
            <w:hideMark/>
          </w:tcPr>
          <w:p w14:paraId="212DD61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29.8%</w:t>
            </w:r>
          </w:p>
        </w:tc>
        <w:tc>
          <w:tcPr>
            <w:tcW w:w="0" w:type="auto"/>
            <w:noWrap/>
            <w:vAlign w:val="center"/>
            <w:hideMark/>
          </w:tcPr>
          <w:p w14:paraId="767A860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45,058</w:t>
            </w:r>
          </w:p>
        </w:tc>
        <w:tc>
          <w:tcPr>
            <w:tcW w:w="0" w:type="auto"/>
            <w:noWrap/>
            <w:vAlign w:val="center"/>
            <w:hideMark/>
          </w:tcPr>
          <w:p w14:paraId="557455F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32.8%</w:t>
            </w:r>
          </w:p>
        </w:tc>
        <w:tc>
          <w:tcPr>
            <w:tcW w:w="0" w:type="auto"/>
            <w:noWrap/>
            <w:vAlign w:val="center"/>
            <w:hideMark/>
          </w:tcPr>
          <w:p w14:paraId="6B12D12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21,101</w:t>
            </w:r>
          </w:p>
        </w:tc>
        <w:tc>
          <w:tcPr>
            <w:tcW w:w="0" w:type="auto"/>
            <w:noWrap/>
            <w:vAlign w:val="center"/>
            <w:hideMark/>
          </w:tcPr>
          <w:p w14:paraId="4BEE98A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15.4%</w:t>
            </w:r>
          </w:p>
        </w:tc>
      </w:tr>
      <w:tr w:rsidR="00407705" w:rsidRPr="00105FFC" w14:paraId="264FF56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2EB6767B"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Central Coast</w:t>
            </w:r>
          </w:p>
        </w:tc>
        <w:tc>
          <w:tcPr>
            <w:tcW w:w="0" w:type="auto"/>
            <w:noWrap/>
            <w:vAlign w:val="center"/>
            <w:hideMark/>
          </w:tcPr>
          <w:p w14:paraId="28EC193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048F0B6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20,207</w:t>
            </w:r>
          </w:p>
        </w:tc>
        <w:tc>
          <w:tcPr>
            <w:tcW w:w="0" w:type="auto"/>
            <w:noWrap/>
            <w:vAlign w:val="center"/>
            <w:hideMark/>
          </w:tcPr>
          <w:p w14:paraId="7EB4198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6,534</w:t>
            </w:r>
          </w:p>
        </w:tc>
        <w:tc>
          <w:tcPr>
            <w:tcW w:w="0" w:type="auto"/>
            <w:noWrap/>
            <w:vAlign w:val="center"/>
            <w:hideMark/>
          </w:tcPr>
          <w:p w14:paraId="5E44E82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32.3%</w:t>
            </w:r>
          </w:p>
        </w:tc>
        <w:tc>
          <w:tcPr>
            <w:tcW w:w="0" w:type="auto"/>
            <w:noWrap/>
            <w:vAlign w:val="center"/>
            <w:hideMark/>
          </w:tcPr>
          <w:p w14:paraId="1489EC9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7,139</w:t>
            </w:r>
          </w:p>
        </w:tc>
        <w:tc>
          <w:tcPr>
            <w:tcW w:w="0" w:type="auto"/>
            <w:noWrap/>
            <w:vAlign w:val="center"/>
            <w:hideMark/>
          </w:tcPr>
          <w:p w14:paraId="0A45417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35.3%</w:t>
            </w:r>
          </w:p>
        </w:tc>
        <w:tc>
          <w:tcPr>
            <w:tcW w:w="0" w:type="auto"/>
            <w:noWrap/>
            <w:vAlign w:val="center"/>
            <w:hideMark/>
          </w:tcPr>
          <w:p w14:paraId="1DECE39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2,565</w:t>
            </w:r>
          </w:p>
        </w:tc>
        <w:tc>
          <w:tcPr>
            <w:tcW w:w="0" w:type="auto"/>
            <w:noWrap/>
            <w:vAlign w:val="center"/>
            <w:hideMark/>
          </w:tcPr>
          <w:p w14:paraId="23E5147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12.7%</w:t>
            </w:r>
          </w:p>
        </w:tc>
      </w:tr>
      <w:tr w:rsidR="00407705" w:rsidRPr="00105FFC" w14:paraId="3005E08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4870D4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C15E70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5F4C461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12,729</w:t>
            </w:r>
          </w:p>
        </w:tc>
        <w:tc>
          <w:tcPr>
            <w:tcW w:w="0" w:type="auto"/>
            <w:noWrap/>
            <w:vAlign w:val="center"/>
            <w:hideMark/>
          </w:tcPr>
          <w:p w14:paraId="0C29BEB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7,061</w:t>
            </w:r>
          </w:p>
        </w:tc>
        <w:tc>
          <w:tcPr>
            <w:tcW w:w="0" w:type="auto"/>
            <w:noWrap/>
            <w:vAlign w:val="center"/>
            <w:hideMark/>
          </w:tcPr>
          <w:p w14:paraId="38855A1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55.5%</w:t>
            </w:r>
          </w:p>
        </w:tc>
        <w:tc>
          <w:tcPr>
            <w:tcW w:w="0" w:type="auto"/>
            <w:noWrap/>
            <w:vAlign w:val="center"/>
            <w:hideMark/>
          </w:tcPr>
          <w:p w14:paraId="6EDD799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7,512</w:t>
            </w:r>
          </w:p>
        </w:tc>
        <w:tc>
          <w:tcPr>
            <w:tcW w:w="0" w:type="auto"/>
            <w:noWrap/>
            <w:vAlign w:val="center"/>
            <w:hideMark/>
          </w:tcPr>
          <w:p w14:paraId="418DBAB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59.0%</w:t>
            </w:r>
          </w:p>
        </w:tc>
        <w:tc>
          <w:tcPr>
            <w:tcW w:w="0" w:type="auto"/>
            <w:noWrap/>
            <w:vAlign w:val="center"/>
            <w:hideMark/>
          </w:tcPr>
          <w:p w14:paraId="7541E9A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1,944</w:t>
            </w:r>
          </w:p>
        </w:tc>
        <w:tc>
          <w:tcPr>
            <w:tcW w:w="0" w:type="auto"/>
            <w:noWrap/>
            <w:vAlign w:val="center"/>
            <w:hideMark/>
          </w:tcPr>
          <w:p w14:paraId="7CADBBA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15.3%</w:t>
            </w:r>
          </w:p>
        </w:tc>
      </w:tr>
      <w:tr w:rsidR="00407705" w:rsidRPr="00105FFC" w14:paraId="4CB7E7E4"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C8428B5"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51A9D6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0914E61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19,948</w:t>
            </w:r>
          </w:p>
        </w:tc>
        <w:tc>
          <w:tcPr>
            <w:tcW w:w="0" w:type="auto"/>
            <w:noWrap/>
            <w:vAlign w:val="center"/>
            <w:hideMark/>
          </w:tcPr>
          <w:p w14:paraId="01CABA6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11,271</w:t>
            </w:r>
          </w:p>
        </w:tc>
        <w:tc>
          <w:tcPr>
            <w:tcW w:w="0" w:type="auto"/>
            <w:noWrap/>
            <w:vAlign w:val="center"/>
            <w:hideMark/>
          </w:tcPr>
          <w:p w14:paraId="595D929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56.5%</w:t>
            </w:r>
          </w:p>
        </w:tc>
        <w:tc>
          <w:tcPr>
            <w:tcW w:w="0" w:type="auto"/>
            <w:noWrap/>
            <w:vAlign w:val="center"/>
            <w:hideMark/>
          </w:tcPr>
          <w:p w14:paraId="75CD021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11,718</w:t>
            </w:r>
          </w:p>
        </w:tc>
        <w:tc>
          <w:tcPr>
            <w:tcW w:w="0" w:type="auto"/>
            <w:noWrap/>
            <w:vAlign w:val="center"/>
            <w:hideMark/>
          </w:tcPr>
          <w:p w14:paraId="54D64AC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58.7%</w:t>
            </w:r>
          </w:p>
        </w:tc>
        <w:tc>
          <w:tcPr>
            <w:tcW w:w="0" w:type="auto"/>
            <w:noWrap/>
            <w:vAlign w:val="center"/>
            <w:hideMark/>
          </w:tcPr>
          <w:p w14:paraId="3BFEA7A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2,893</w:t>
            </w:r>
          </w:p>
        </w:tc>
        <w:tc>
          <w:tcPr>
            <w:tcW w:w="0" w:type="auto"/>
            <w:noWrap/>
            <w:vAlign w:val="center"/>
            <w:hideMark/>
          </w:tcPr>
          <w:p w14:paraId="33728DD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14.5%</w:t>
            </w:r>
          </w:p>
        </w:tc>
      </w:tr>
      <w:tr w:rsidR="00407705" w:rsidRPr="00105FFC" w14:paraId="51E41BF9"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647E28E"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ECB3B6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65B3964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18,130</w:t>
            </w:r>
          </w:p>
        </w:tc>
        <w:tc>
          <w:tcPr>
            <w:tcW w:w="0" w:type="auto"/>
            <w:noWrap/>
            <w:vAlign w:val="center"/>
            <w:hideMark/>
          </w:tcPr>
          <w:p w14:paraId="3598AE7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9,612</w:t>
            </w:r>
          </w:p>
        </w:tc>
        <w:tc>
          <w:tcPr>
            <w:tcW w:w="0" w:type="auto"/>
            <w:noWrap/>
            <w:vAlign w:val="center"/>
            <w:hideMark/>
          </w:tcPr>
          <w:p w14:paraId="3D698CB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53.0%</w:t>
            </w:r>
          </w:p>
        </w:tc>
        <w:tc>
          <w:tcPr>
            <w:tcW w:w="0" w:type="auto"/>
            <w:noWrap/>
            <w:vAlign w:val="center"/>
            <w:hideMark/>
          </w:tcPr>
          <w:p w14:paraId="1548ADB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10,008</w:t>
            </w:r>
          </w:p>
        </w:tc>
        <w:tc>
          <w:tcPr>
            <w:tcW w:w="0" w:type="auto"/>
            <w:noWrap/>
            <w:vAlign w:val="center"/>
            <w:hideMark/>
          </w:tcPr>
          <w:p w14:paraId="203C04E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55.2%</w:t>
            </w:r>
          </w:p>
        </w:tc>
        <w:tc>
          <w:tcPr>
            <w:tcW w:w="0" w:type="auto"/>
            <w:noWrap/>
            <w:vAlign w:val="center"/>
            <w:hideMark/>
          </w:tcPr>
          <w:p w14:paraId="399565E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2,440</w:t>
            </w:r>
          </w:p>
        </w:tc>
        <w:tc>
          <w:tcPr>
            <w:tcW w:w="0" w:type="auto"/>
            <w:noWrap/>
            <w:vAlign w:val="center"/>
            <w:hideMark/>
          </w:tcPr>
          <w:p w14:paraId="3372B05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13.5%</w:t>
            </w:r>
          </w:p>
        </w:tc>
      </w:tr>
      <w:tr w:rsidR="00407705" w:rsidRPr="00105FFC" w14:paraId="78A2C889"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71210E6"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B1F218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0456B11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15,382</w:t>
            </w:r>
          </w:p>
        </w:tc>
        <w:tc>
          <w:tcPr>
            <w:tcW w:w="0" w:type="auto"/>
            <w:noWrap/>
            <w:vAlign w:val="center"/>
            <w:hideMark/>
          </w:tcPr>
          <w:p w14:paraId="0CD529F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7,291</w:t>
            </w:r>
          </w:p>
        </w:tc>
        <w:tc>
          <w:tcPr>
            <w:tcW w:w="0" w:type="auto"/>
            <w:noWrap/>
            <w:vAlign w:val="center"/>
            <w:hideMark/>
          </w:tcPr>
          <w:p w14:paraId="68B76AF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47.4%</w:t>
            </w:r>
          </w:p>
        </w:tc>
        <w:tc>
          <w:tcPr>
            <w:tcW w:w="0" w:type="auto"/>
            <w:noWrap/>
            <w:vAlign w:val="center"/>
            <w:hideMark/>
          </w:tcPr>
          <w:p w14:paraId="5F8FE3E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7,757</w:t>
            </w:r>
          </w:p>
        </w:tc>
        <w:tc>
          <w:tcPr>
            <w:tcW w:w="0" w:type="auto"/>
            <w:noWrap/>
            <w:vAlign w:val="center"/>
            <w:hideMark/>
          </w:tcPr>
          <w:p w14:paraId="2E26915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50.4%</w:t>
            </w:r>
          </w:p>
        </w:tc>
        <w:tc>
          <w:tcPr>
            <w:tcW w:w="0" w:type="auto"/>
            <w:noWrap/>
            <w:vAlign w:val="center"/>
            <w:hideMark/>
          </w:tcPr>
          <w:p w14:paraId="18A1DB6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1,837</w:t>
            </w:r>
          </w:p>
        </w:tc>
        <w:tc>
          <w:tcPr>
            <w:tcW w:w="0" w:type="auto"/>
            <w:noWrap/>
            <w:vAlign w:val="center"/>
            <w:hideMark/>
          </w:tcPr>
          <w:p w14:paraId="146B6F8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11.9%</w:t>
            </w:r>
          </w:p>
        </w:tc>
      </w:tr>
      <w:tr w:rsidR="00407705" w:rsidRPr="00105FFC" w14:paraId="44C9EE74"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7F433F2"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E798E4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6853F89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17,264</w:t>
            </w:r>
          </w:p>
        </w:tc>
        <w:tc>
          <w:tcPr>
            <w:tcW w:w="0" w:type="auto"/>
            <w:noWrap/>
            <w:vAlign w:val="center"/>
            <w:hideMark/>
          </w:tcPr>
          <w:p w14:paraId="78744E3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6,253</w:t>
            </w:r>
          </w:p>
        </w:tc>
        <w:tc>
          <w:tcPr>
            <w:tcW w:w="0" w:type="auto"/>
            <w:noWrap/>
            <w:vAlign w:val="center"/>
            <w:hideMark/>
          </w:tcPr>
          <w:p w14:paraId="20E93E8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36.2%</w:t>
            </w:r>
          </w:p>
        </w:tc>
        <w:tc>
          <w:tcPr>
            <w:tcW w:w="0" w:type="auto"/>
            <w:noWrap/>
            <w:vAlign w:val="center"/>
            <w:hideMark/>
          </w:tcPr>
          <w:p w14:paraId="2F11149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7,027</w:t>
            </w:r>
          </w:p>
        </w:tc>
        <w:tc>
          <w:tcPr>
            <w:tcW w:w="0" w:type="auto"/>
            <w:noWrap/>
            <w:vAlign w:val="center"/>
            <w:hideMark/>
          </w:tcPr>
          <w:p w14:paraId="3D4ECFC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40.7%</w:t>
            </w:r>
          </w:p>
        </w:tc>
        <w:tc>
          <w:tcPr>
            <w:tcW w:w="0" w:type="auto"/>
            <w:noWrap/>
            <w:vAlign w:val="center"/>
            <w:hideMark/>
          </w:tcPr>
          <w:p w14:paraId="1384C0C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1,710</w:t>
            </w:r>
          </w:p>
        </w:tc>
        <w:tc>
          <w:tcPr>
            <w:tcW w:w="0" w:type="auto"/>
            <w:noWrap/>
            <w:vAlign w:val="center"/>
            <w:hideMark/>
          </w:tcPr>
          <w:p w14:paraId="66E39B4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9.9%</w:t>
            </w:r>
          </w:p>
        </w:tc>
      </w:tr>
      <w:tr w:rsidR="00407705" w:rsidRPr="00105FFC" w14:paraId="4741D33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1CDC04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D56C32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24899B1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6,305</w:t>
            </w:r>
          </w:p>
        </w:tc>
        <w:tc>
          <w:tcPr>
            <w:tcW w:w="0" w:type="auto"/>
            <w:noWrap/>
            <w:vAlign w:val="center"/>
            <w:hideMark/>
          </w:tcPr>
          <w:p w14:paraId="4E0EA43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1,267</w:t>
            </w:r>
          </w:p>
        </w:tc>
        <w:tc>
          <w:tcPr>
            <w:tcW w:w="0" w:type="auto"/>
            <w:noWrap/>
            <w:vAlign w:val="center"/>
            <w:hideMark/>
          </w:tcPr>
          <w:p w14:paraId="22BF491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20.1%</w:t>
            </w:r>
          </w:p>
        </w:tc>
        <w:tc>
          <w:tcPr>
            <w:tcW w:w="0" w:type="auto"/>
            <w:noWrap/>
            <w:vAlign w:val="center"/>
            <w:hideMark/>
          </w:tcPr>
          <w:p w14:paraId="1F63F98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1,568</w:t>
            </w:r>
          </w:p>
        </w:tc>
        <w:tc>
          <w:tcPr>
            <w:tcW w:w="0" w:type="auto"/>
            <w:noWrap/>
            <w:vAlign w:val="center"/>
            <w:hideMark/>
          </w:tcPr>
          <w:p w14:paraId="5967B74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24.9%</w:t>
            </w:r>
          </w:p>
        </w:tc>
        <w:tc>
          <w:tcPr>
            <w:tcW w:w="0" w:type="auto"/>
            <w:noWrap/>
            <w:vAlign w:val="center"/>
            <w:hideMark/>
          </w:tcPr>
          <w:p w14:paraId="7AEE404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463</w:t>
            </w:r>
          </w:p>
        </w:tc>
        <w:tc>
          <w:tcPr>
            <w:tcW w:w="0" w:type="auto"/>
            <w:noWrap/>
            <w:vAlign w:val="center"/>
            <w:hideMark/>
          </w:tcPr>
          <w:p w14:paraId="2125EEA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7.3%</w:t>
            </w:r>
          </w:p>
        </w:tc>
      </w:tr>
      <w:tr w:rsidR="00407705" w:rsidRPr="00105FFC" w14:paraId="41C1651D"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34FB3B3"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3ADBD0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1B38CD8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109,965</w:t>
            </w:r>
          </w:p>
        </w:tc>
        <w:tc>
          <w:tcPr>
            <w:tcW w:w="0" w:type="auto"/>
            <w:noWrap/>
            <w:vAlign w:val="center"/>
            <w:hideMark/>
          </w:tcPr>
          <w:p w14:paraId="6D3222D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49,289</w:t>
            </w:r>
          </w:p>
        </w:tc>
        <w:tc>
          <w:tcPr>
            <w:tcW w:w="0" w:type="auto"/>
            <w:noWrap/>
            <w:vAlign w:val="center"/>
            <w:hideMark/>
          </w:tcPr>
          <w:p w14:paraId="376F67A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44.8%</w:t>
            </w:r>
          </w:p>
        </w:tc>
        <w:tc>
          <w:tcPr>
            <w:tcW w:w="0" w:type="auto"/>
            <w:noWrap/>
            <w:vAlign w:val="center"/>
            <w:hideMark/>
          </w:tcPr>
          <w:p w14:paraId="47E91C1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52,729</w:t>
            </w:r>
          </w:p>
        </w:tc>
        <w:tc>
          <w:tcPr>
            <w:tcW w:w="0" w:type="auto"/>
            <w:noWrap/>
            <w:vAlign w:val="center"/>
            <w:hideMark/>
          </w:tcPr>
          <w:p w14:paraId="54E823D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48.0%</w:t>
            </w:r>
          </w:p>
        </w:tc>
        <w:tc>
          <w:tcPr>
            <w:tcW w:w="0" w:type="auto"/>
            <w:noWrap/>
            <w:vAlign w:val="center"/>
            <w:hideMark/>
          </w:tcPr>
          <w:p w14:paraId="68B45F8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13,852</w:t>
            </w:r>
          </w:p>
        </w:tc>
        <w:tc>
          <w:tcPr>
            <w:tcW w:w="0" w:type="auto"/>
            <w:noWrap/>
            <w:vAlign w:val="center"/>
            <w:hideMark/>
          </w:tcPr>
          <w:p w14:paraId="6AC279A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12.6%</w:t>
            </w:r>
          </w:p>
        </w:tc>
      </w:tr>
      <w:tr w:rsidR="00407705" w:rsidRPr="00105FFC" w14:paraId="46B3780A"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3350EFE3"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Central Valley</w:t>
            </w:r>
          </w:p>
        </w:tc>
        <w:tc>
          <w:tcPr>
            <w:tcW w:w="0" w:type="auto"/>
            <w:noWrap/>
            <w:vAlign w:val="center"/>
            <w:hideMark/>
          </w:tcPr>
          <w:p w14:paraId="430FB5F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4CC406F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65,113</w:t>
            </w:r>
          </w:p>
        </w:tc>
        <w:tc>
          <w:tcPr>
            <w:tcW w:w="0" w:type="auto"/>
            <w:noWrap/>
            <w:vAlign w:val="center"/>
            <w:hideMark/>
          </w:tcPr>
          <w:p w14:paraId="174CFE5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10,625</w:t>
            </w:r>
          </w:p>
        </w:tc>
        <w:tc>
          <w:tcPr>
            <w:tcW w:w="0" w:type="auto"/>
            <w:noWrap/>
            <w:vAlign w:val="center"/>
            <w:hideMark/>
          </w:tcPr>
          <w:p w14:paraId="7FC60EB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16.3%</w:t>
            </w:r>
          </w:p>
        </w:tc>
        <w:tc>
          <w:tcPr>
            <w:tcW w:w="0" w:type="auto"/>
            <w:noWrap/>
            <w:vAlign w:val="center"/>
            <w:hideMark/>
          </w:tcPr>
          <w:p w14:paraId="6C2E9A4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12,570</w:t>
            </w:r>
          </w:p>
        </w:tc>
        <w:tc>
          <w:tcPr>
            <w:tcW w:w="0" w:type="auto"/>
            <w:noWrap/>
            <w:vAlign w:val="center"/>
            <w:hideMark/>
          </w:tcPr>
          <w:p w14:paraId="52E0967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w:t>
            </w:r>
          </w:p>
        </w:tc>
        <w:tc>
          <w:tcPr>
            <w:tcW w:w="0" w:type="auto"/>
            <w:noWrap/>
            <w:vAlign w:val="center"/>
            <w:hideMark/>
          </w:tcPr>
          <w:p w14:paraId="0CFA226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3,032</w:t>
            </w:r>
          </w:p>
        </w:tc>
        <w:tc>
          <w:tcPr>
            <w:tcW w:w="0" w:type="auto"/>
            <w:noWrap/>
            <w:vAlign w:val="center"/>
            <w:hideMark/>
          </w:tcPr>
          <w:p w14:paraId="7305F5C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w:t>
            </w:r>
          </w:p>
        </w:tc>
      </w:tr>
      <w:tr w:rsidR="00407705" w:rsidRPr="00105FFC" w14:paraId="0664C48D"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E10E4E2"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929965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6B79FC6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41,784</w:t>
            </w:r>
          </w:p>
        </w:tc>
        <w:tc>
          <w:tcPr>
            <w:tcW w:w="0" w:type="auto"/>
            <w:noWrap/>
            <w:vAlign w:val="center"/>
            <w:hideMark/>
          </w:tcPr>
          <w:p w14:paraId="41D498A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18,699</w:t>
            </w:r>
          </w:p>
        </w:tc>
        <w:tc>
          <w:tcPr>
            <w:tcW w:w="0" w:type="auto"/>
            <w:noWrap/>
            <w:vAlign w:val="center"/>
            <w:hideMark/>
          </w:tcPr>
          <w:p w14:paraId="13F09F6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44.8%</w:t>
            </w:r>
          </w:p>
        </w:tc>
        <w:tc>
          <w:tcPr>
            <w:tcW w:w="0" w:type="auto"/>
            <w:noWrap/>
            <w:vAlign w:val="center"/>
            <w:hideMark/>
          </w:tcPr>
          <w:p w14:paraId="1120D5E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20,283</w:t>
            </w:r>
          </w:p>
        </w:tc>
        <w:tc>
          <w:tcPr>
            <w:tcW w:w="0" w:type="auto"/>
            <w:noWrap/>
            <w:vAlign w:val="center"/>
            <w:hideMark/>
          </w:tcPr>
          <w:p w14:paraId="33BA55A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48.5%</w:t>
            </w:r>
          </w:p>
        </w:tc>
        <w:tc>
          <w:tcPr>
            <w:tcW w:w="0" w:type="auto"/>
            <w:noWrap/>
            <w:vAlign w:val="center"/>
            <w:hideMark/>
          </w:tcPr>
          <w:p w14:paraId="0E73FE7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3,020</w:t>
            </w:r>
          </w:p>
        </w:tc>
        <w:tc>
          <w:tcPr>
            <w:tcW w:w="0" w:type="auto"/>
            <w:noWrap/>
            <w:vAlign w:val="center"/>
            <w:hideMark/>
          </w:tcPr>
          <w:p w14:paraId="12F61A8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w:t>
            </w:r>
          </w:p>
        </w:tc>
      </w:tr>
      <w:tr w:rsidR="00407705" w:rsidRPr="00105FFC" w14:paraId="122A4797"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2D51356"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353BA5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5E2044E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65,146</w:t>
            </w:r>
          </w:p>
        </w:tc>
        <w:tc>
          <w:tcPr>
            <w:tcW w:w="0" w:type="auto"/>
            <w:noWrap/>
            <w:vAlign w:val="center"/>
            <w:hideMark/>
          </w:tcPr>
          <w:p w14:paraId="16FFBBE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31,984</w:t>
            </w:r>
          </w:p>
        </w:tc>
        <w:tc>
          <w:tcPr>
            <w:tcW w:w="0" w:type="auto"/>
            <w:noWrap/>
            <w:vAlign w:val="center"/>
            <w:hideMark/>
          </w:tcPr>
          <w:p w14:paraId="6BD7E43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49.1%</w:t>
            </w:r>
          </w:p>
        </w:tc>
        <w:tc>
          <w:tcPr>
            <w:tcW w:w="0" w:type="auto"/>
            <w:noWrap/>
            <w:vAlign w:val="center"/>
            <w:hideMark/>
          </w:tcPr>
          <w:p w14:paraId="545B936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33,854</w:t>
            </w:r>
          </w:p>
        </w:tc>
        <w:tc>
          <w:tcPr>
            <w:tcW w:w="0" w:type="auto"/>
            <w:noWrap/>
            <w:vAlign w:val="center"/>
            <w:hideMark/>
          </w:tcPr>
          <w:p w14:paraId="5833E7A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52.0%</w:t>
            </w:r>
          </w:p>
        </w:tc>
        <w:tc>
          <w:tcPr>
            <w:tcW w:w="0" w:type="auto"/>
            <w:noWrap/>
            <w:vAlign w:val="center"/>
            <w:hideMark/>
          </w:tcPr>
          <w:p w14:paraId="5A4B0C2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4,719</w:t>
            </w:r>
          </w:p>
        </w:tc>
        <w:tc>
          <w:tcPr>
            <w:tcW w:w="0" w:type="auto"/>
            <w:noWrap/>
            <w:vAlign w:val="center"/>
            <w:hideMark/>
          </w:tcPr>
          <w:p w14:paraId="0C1EBC4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w:t>
            </w:r>
          </w:p>
        </w:tc>
      </w:tr>
      <w:tr w:rsidR="00407705" w:rsidRPr="00105FFC" w14:paraId="054A48B2"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B092420"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8BBC94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472560C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61,584</w:t>
            </w:r>
          </w:p>
        </w:tc>
        <w:tc>
          <w:tcPr>
            <w:tcW w:w="0" w:type="auto"/>
            <w:noWrap/>
            <w:vAlign w:val="center"/>
            <w:hideMark/>
          </w:tcPr>
          <w:p w14:paraId="7FFE0CF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27,836</w:t>
            </w:r>
          </w:p>
        </w:tc>
        <w:tc>
          <w:tcPr>
            <w:tcW w:w="0" w:type="auto"/>
            <w:noWrap/>
            <w:vAlign w:val="center"/>
            <w:hideMark/>
          </w:tcPr>
          <w:p w14:paraId="5044C17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45.2%</w:t>
            </w:r>
          </w:p>
        </w:tc>
        <w:tc>
          <w:tcPr>
            <w:tcW w:w="0" w:type="auto"/>
            <w:noWrap/>
            <w:vAlign w:val="center"/>
            <w:hideMark/>
          </w:tcPr>
          <w:p w14:paraId="78BFBD3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29,802</w:t>
            </w:r>
          </w:p>
        </w:tc>
        <w:tc>
          <w:tcPr>
            <w:tcW w:w="0" w:type="auto"/>
            <w:noWrap/>
            <w:vAlign w:val="center"/>
            <w:hideMark/>
          </w:tcPr>
          <w:p w14:paraId="6EC9C00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48.4%</w:t>
            </w:r>
          </w:p>
        </w:tc>
        <w:tc>
          <w:tcPr>
            <w:tcW w:w="0" w:type="auto"/>
            <w:noWrap/>
            <w:vAlign w:val="center"/>
            <w:hideMark/>
          </w:tcPr>
          <w:p w14:paraId="4CD9252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4,524</w:t>
            </w:r>
          </w:p>
        </w:tc>
        <w:tc>
          <w:tcPr>
            <w:tcW w:w="0" w:type="auto"/>
            <w:noWrap/>
            <w:vAlign w:val="center"/>
            <w:hideMark/>
          </w:tcPr>
          <w:p w14:paraId="4173748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7.3%</w:t>
            </w:r>
          </w:p>
        </w:tc>
      </w:tr>
      <w:tr w:rsidR="00407705" w:rsidRPr="00105FFC" w14:paraId="17660048"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DD38C7D"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7C1574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1F3D02C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55,216</w:t>
            </w:r>
          </w:p>
        </w:tc>
        <w:tc>
          <w:tcPr>
            <w:tcW w:w="0" w:type="auto"/>
            <w:noWrap/>
            <w:vAlign w:val="center"/>
            <w:hideMark/>
          </w:tcPr>
          <w:p w14:paraId="02A1301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21,374</w:t>
            </w:r>
          </w:p>
        </w:tc>
        <w:tc>
          <w:tcPr>
            <w:tcW w:w="0" w:type="auto"/>
            <w:noWrap/>
            <w:vAlign w:val="center"/>
            <w:hideMark/>
          </w:tcPr>
          <w:p w14:paraId="7CBDBB7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38.7%</w:t>
            </w:r>
          </w:p>
        </w:tc>
        <w:tc>
          <w:tcPr>
            <w:tcW w:w="0" w:type="auto"/>
            <w:noWrap/>
            <w:vAlign w:val="center"/>
            <w:hideMark/>
          </w:tcPr>
          <w:p w14:paraId="15CE96E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23,927</w:t>
            </w:r>
          </w:p>
        </w:tc>
        <w:tc>
          <w:tcPr>
            <w:tcW w:w="0" w:type="auto"/>
            <w:noWrap/>
            <w:vAlign w:val="center"/>
            <w:hideMark/>
          </w:tcPr>
          <w:p w14:paraId="318033C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43.3%</w:t>
            </w:r>
          </w:p>
        </w:tc>
        <w:tc>
          <w:tcPr>
            <w:tcW w:w="0" w:type="auto"/>
            <w:noWrap/>
            <w:vAlign w:val="center"/>
            <w:hideMark/>
          </w:tcPr>
          <w:p w14:paraId="1E4FFA1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3,811</w:t>
            </w:r>
          </w:p>
        </w:tc>
        <w:tc>
          <w:tcPr>
            <w:tcW w:w="0" w:type="auto"/>
            <w:noWrap/>
            <w:vAlign w:val="center"/>
            <w:hideMark/>
          </w:tcPr>
          <w:p w14:paraId="7D3939A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w:t>
            </w:r>
          </w:p>
        </w:tc>
      </w:tr>
      <w:tr w:rsidR="00407705" w:rsidRPr="00105FFC" w14:paraId="4A3A74E9"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F25959C"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FE9582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55E7281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66,345</w:t>
            </w:r>
          </w:p>
        </w:tc>
        <w:tc>
          <w:tcPr>
            <w:tcW w:w="0" w:type="auto"/>
            <w:noWrap/>
            <w:vAlign w:val="center"/>
            <w:hideMark/>
          </w:tcPr>
          <w:p w14:paraId="1FF980A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20,734</w:t>
            </w:r>
          </w:p>
        </w:tc>
        <w:tc>
          <w:tcPr>
            <w:tcW w:w="0" w:type="auto"/>
            <w:noWrap/>
            <w:vAlign w:val="center"/>
            <w:hideMark/>
          </w:tcPr>
          <w:p w14:paraId="41C9440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31.3%</w:t>
            </w:r>
          </w:p>
        </w:tc>
        <w:tc>
          <w:tcPr>
            <w:tcW w:w="0" w:type="auto"/>
            <w:noWrap/>
            <w:vAlign w:val="center"/>
            <w:hideMark/>
          </w:tcPr>
          <w:p w14:paraId="6143DE0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25,146</w:t>
            </w:r>
          </w:p>
        </w:tc>
        <w:tc>
          <w:tcPr>
            <w:tcW w:w="0" w:type="auto"/>
            <w:noWrap/>
            <w:vAlign w:val="center"/>
            <w:hideMark/>
          </w:tcPr>
          <w:p w14:paraId="03AA1E7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37.9%</w:t>
            </w:r>
          </w:p>
        </w:tc>
        <w:tc>
          <w:tcPr>
            <w:tcW w:w="0" w:type="auto"/>
            <w:noWrap/>
            <w:vAlign w:val="center"/>
            <w:hideMark/>
          </w:tcPr>
          <w:p w14:paraId="3060A11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3,929</w:t>
            </w:r>
          </w:p>
        </w:tc>
        <w:tc>
          <w:tcPr>
            <w:tcW w:w="0" w:type="auto"/>
            <w:noWrap/>
            <w:vAlign w:val="center"/>
            <w:hideMark/>
          </w:tcPr>
          <w:p w14:paraId="0610B69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w:t>
            </w:r>
          </w:p>
        </w:tc>
      </w:tr>
      <w:tr w:rsidR="00407705" w:rsidRPr="00105FFC" w14:paraId="5AA920C9"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FA3DA3F"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BF8874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586B0B0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26,364</w:t>
            </w:r>
          </w:p>
        </w:tc>
        <w:tc>
          <w:tcPr>
            <w:tcW w:w="0" w:type="auto"/>
            <w:noWrap/>
            <w:vAlign w:val="center"/>
            <w:hideMark/>
          </w:tcPr>
          <w:p w14:paraId="1D921F8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5,258</w:t>
            </w:r>
          </w:p>
        </w:tc>
        <w:tc>
          <w:tcPr>
            <w:tcW w:w="0" w:type="auto"/>
            <w:noWrap/>
            <w:vAlign w:val="center"/>
            <w:hideMark/>
          </w:tcPr>
          <w:p w14:paraId="09CF27D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19.9%</w:t>
            </w:r>
          </w:p>
        </w:tc>
        <w:tc>
          <w:tcPr>
            <w:tcW w:w="0" w:type="auto"/>
            <w:noWrap/>
            <w:vAlign w:val="center"/>
            <w:hideMark/>
          </w:tcPr>
          <w:p w14:paraId="6B37979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7,034</w:t>
            </w:r>
          </w:p>
        </w:tc>
        <w:tc>
          <w:tcPr>
            <w:tcW w:w="0" w:type="auto"/>
            <w:noWrap/>
            <w:vAlign w:val="center"/>
            <w:hideMark/>
          </w:tcPr>
          <w:p w14:paraId="4EBEDF0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26.7%</w:t>
            </w:r>
          </w:p>
        </w:tc>
        <w:tc>
          <w:tcPr>
            <w:tcW w:w="0" w:type="auto"/>
            <w:noWrap/>
            <w:vAlign w:val="center"/>
            <w:hideMark/>
          </w:tcPr>
          <w:p w14:paraId="0B7E2C4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1,056</w:t>
            </w:r>
          </w:p>
        </w:tc>
        <w:tc>
          <w:tcPr>
            <w:tcW w:w="0" w:type="auto"/>
            <w:noWrap/>
            <w:vAlign w:val="center"/>
            <w:hideMark/>
          </w:tcPr>
          <w:p w14:paraId="0274ECB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w:t>
            </w:r>
          </w:p>
        </w:tc>
      </w:tr>
      <w:tr w:rsidR="00407705" w:rsidRPr="00105FFC" w14:paraId="1C1ACF12"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55B9ABC"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64BF55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6B10CD2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381,552</w:t>
            </w:r>
          </w:p>
        </w:tc>
        <w:tc>
          <w:tcPr>
            <w:tcW w:w="0" w:type="auto"/>
            <w:noWrap/>
            <w:vAlign w:val="center"/>
            <w:hideMark/>
          </w:tcPr>
          <w:p w14:paraId="7E9BE96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136,510</w:t>
            </w:r>
          </w:p>
        </w:tc>
        <w:tc>
          <w:tcPr>
            <w:tcW w:w="0" w:type="auto"/>
            <w:noWrap/>
            <w:vAlign w:val="center"/>
            <w:hideMark/>
          </w:tcPr>
          <w:p w14:paraId="3E55D4C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35.8%</w:t>
            </w:r>
          </w:p>
        </w:tc>
        <w:tc>
          <w:tcPr>
            <w:tcW w:w="0" w:type="auto"/>
            <w:noWrap/>
            <w:vAlign w:val="center"/>
            <w:hideMark/>
          </w:tcPr>
          <w:p w14:paraId="7DD0D7B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152,616</w:t>
            </w:r>
          </w:p>
        </w:tc>
        <w:tc>
          <w:tcPr>
            <w:tcW w:w="0" w:type="auto"/>
            <w:noWrap/>
            <w:vAlign w:val="center"/>
            <w:hideMark/>
          </w:tcPr>
          <w:p w14:paraId="4FEF95B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40.0%</w:t>
            </w:r>
          </w:p>
        </w:tc>
        <w:tc>
          <w:tcPr>
            <w:tcW w:w="0" w:type="auto"/>
            <w:noWrap/>
            <w:vAlign w:val="center"/>
            <w:hideMark/>
          </w:tcPr>
          <w:p w14:paraId="355057F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24,091</w:t>
            </w:r>
          </w:p>
        </w:tc>
        <w:tc>
          <w:tcPr>
            <w:tcW w:w="0" w:type="auto"/>
            <w:noWrap/>
            <w:vAlign w:val="center"/>
            <w:hideMark/>
          </w:tcPr>
          <w:p w14:paraId="664C671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6.3%</w:t>
            </w:r>
          </w:p>
        </w:tc>
      </w:tr>
      <w:tr w:rsidR="00407705" w:rsidRPr="00105FFC" w14:paraId="09DF744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4B869B7D"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Contra Costa</w:t>
            </w:r>
          </w:p>
        </w:tc>
        <w:tc>
          <w:tcPr>
            <w:tcW w:w="0" w:type="auto"/>
            <w:noWrap/>
            <w:vAlign w:val="center"/>
            <w:hideMark/>
          </w:tcPr>
          <w:p w14:paraId="0607DBD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768A4B6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16,171</w:t>
            </w:r>
          </w:p>
        </w:tc>
        <w:tc>
          <w:tcPr>
            <w:tcW w:w="0" w:type="auto"/>
            <w:noWrap/>
            <w:vAlign w:val="center"/>
            <w:hideMark/>
          </w:tcPr>
          <w:p w14:paraId="327BAF5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1,894</w:t>
            </w:r>
          </w:p>
        </w:tc>
        <w:tc>
          <w:tcPr>
            <w:tcW w:w="0" w:type="auto"/>
            <w:noWrap/>
            <w:vAlign w:val="center"/>
            <w:hideMark/>
          </w:tcPr>
          <w:p w14:paraId="4E039A3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11.7%</w:t>
            </w:r>
          </w:p>
        </w:tc>
        <w:tc>
          <w:tcPr>
            <w:tcW w:w="0" w:type="auto"/>
            <w:noWrap/>
            <w:vAlign w:val="center"/>
            <w:hideMark/>
          </w:tcPr>
          <w:p w14:paraId="7B400D7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2,614</w:t>
            </w:r>
          </w:p>
        </w:tc>
        <w:tc>
          <w:tcPr>
            <w:tcW w:w="0" w:type="auto"/>
            <w:noWrap/>
            <w:vAlign w:val="center"/>
            <w:hideMark/>
          </w:tcPr>
          <w:p w14:paraId="6352689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16.2%</w:t>
            </w:r>
          </w:p>
        </w:tc>
        <w:tc>
          <w:tcPr>
            <w:tcW w:w="0" w:type="auto"/>
            <w:noWrap/>
            <w:vAlign w:val="center"/>
            <w:hideMark/>
          </w:tcPr>
          <w:p w14:paraId="6B84917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1,315</w:t>
            </w:r>
          </w:p>
        </w:tc>
        <w:tc>
          <w:tcPr>
            <w:tcW w:w="0" w:type="auto"/>
            <w:noWrap/>
            <w:vAlign w:val="center"/>
            <w:hideMark/>
          </w:tcPr>
          <w:p w14:paraId="57CDB68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8.1%</w:t>
            </w:r>
          </w:p>
        </w:tc>
      </w:tr>
      <w:tr w:rsidR="00407705" w:rsidRPr="00105FFC" w14:paraId="383672D1"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C7C22C7"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14F107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7137C62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10,226</w:t>
            </w:r>
          </w:p>
        </w:tc>
        <w:tc>
          <w:tcPr>
            <w:tcW w:w="0" w:type="auto"/>
            <w:noWrap/>
            <w:vAlign w:val="center"/>
            <w:hideMark/>
          </w:tcPr>
          <w:p w14:paraId="03BA8C7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3,241</w:t>
            </w:r>
          </w:p>
        </w:tc>
        <w:tc>
          <w:tcPr>
            <w:tcW w:w="0" w:type="auto"/>
            <w:noWrap/>
            <w:vAlign w:val="center"/>
            <w:hideMark/>
          </w:tcPr>
          <w:p w14:paraId="26AC265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31.7%</w:t>
            </w:r>
          </w:p>
        </w:tc>
        <w:tc>
          <w:tcPr>
            <w:tcW w:w="0" w:type="auto"/>
            <w:noWrap/>
            <w:vAlign w:val="center"/>
            <w:hideMark/>
          </w:tcPr>
          <w:p w14:paraId="3546F74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3,780</w:t>
            </w:r>
          </w:p>
        </w:tc>
        <w:tc>
          <w:tcPr>
            <w:tcW w:w="0" w:type="auto"/>
            <w:noWrap/>
            <w:vAlign w:val="center"/>
            <w:hideMark/>
          </w:tcPr>
          <w:p w14:paraId="7E88157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37.0%</w:t>
            </w:r>
          </w:p>
        </w:tc>
        <w:tc>
          <w:tcPr>
            <w:tcW w:w="0" w:type="auto"/>
            <w:noWrap/>
            <w:vAlign w:val="center"/>
            <w:hideMark/>
          </w:tcPr>
          <w:p w14:paraId="45AC271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1,483</w:t>
            </w:r>
          </w:p>
        </w:tc>
        <w:tc>
          <w:tcPr>
            <w:tcW w:w="0" w:type="auto"/>
            <w:noWrap/>
            <w:vAlign w:val="center"/>
            <w:hideMark/>
          </w:tcPr>
          <w:p w14:paraId="78643AF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14.5%</w:t>
            </w:r>
          </w:p>
        </w:tc>
      </w:tr>
      <w:tr w:rsidR="00407705" w:rsidRPr="00105FFC" w14:paraId="06A5B0D1"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BDF7D31"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7D27C4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10F72BA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16,311</w:t>
            </w:r>
          </w:p>
        </w:tc>
        <w:tc>
          <w:tcPr>
            <w:tcW w:w="0" w:type="auto"/>
            <w:noWrap/>
            <w:vAlign w:val="center"/>
            <w:hideMark/>
          </w:tcPr>
          <w:p w14:paraId="755185E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5,875</w:t>
            </w:r>
          </w:p>
        </w:tc>
        <w:tc>
          <w:tcPr>
            <w:tcW w:w="0" w:type="auto"/>
            <w:noWrap/>
            <w:vAlign w:val="center"/>
            <w:hideMark/>
          </w:tcPr>
          <w:p w14:paraId="538B7EA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36.0%</w:t>
            </w:r>
          </w:p>
        </w:tc>
        <w:tc>
          <w:tcPr>
            <w:tcW w:w="0" w:type="auto"/>
            <w:noWrap/>
            <w:vAlign w:val="center"/>
            <w:hideMark/>
          </w:tcPr>
          <w:p w14:paraId="2987D23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6,454</w:t>
            </w:r>
          </w:p>
        </w:tc>
        <w:tc>
          <w:tcPr>
            <w:tcW w:w="0" w:type="auto"/>
            <w:noWrap/>
            <w:vAlign w:val="center"/>
            <w:hideMark/>
          </w:tcPr>
          <w:p w14:paraId="5A98959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39.6%</w:t>
            </w:r>
          </w:p>
        </w:tc>
        <w:tc>
          <w:tcPr>
            <w:tcW w:w="0" w:type="auto"/>
            <w:noWrap/>
            <w:vAlign w:val="center"/>
            <w:hideMark/>
          </w:tcPr>
          <w:p w14:paraId="2AAFCD9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2,380</w:t>
            </w:r>
          </w:p>
        </w:tc>
        <w:tc>
          <w:tcPr>
            <w:tcW w:w="0" w:type="auto"/>
            <w:noWrap/>
            <w:vAlign w:val="center"/>
            <w:hideMark/>
          </w:tcPr>
          <w:p w14:paraId="356F373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14.6%</w:t>
            </w:r>
          </w:p>
        </w:tc>
      </w:tr>
      <w:tr w:rsidR="00407705" w:rsidRPr="00105FFC" w14:paraId="4BA7BBF8"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D7CFD1F"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F0754C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374BE07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15,526</w:t>
            </w:r>
          </w:p>
        </w:tc>
        <w:tc>
          <w:tcPr>
            <w:tcW w:w="0" w:type="auto"/>
            <w:noWrap/>
            <w:vAlign w:val="center"/>
            <w:hideMark/>
          </w:tcPr>
          <w:p w14:paraId="74EFC37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5,549</w:t>
            </w:r>
          </w:p>
        </w:tc>
        <w:tc>
          <w:tcPr>
            <w:tcW w:w="0" w:type="auto"/>
            <w:noWrap/>
            <w:vAlign w:val="center"/>
            <w:hideMark/>
          </w:tcPr>
          <w:p w14:paraId="2D2BBFC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35.7%</w:t>
            </w:r>
          </w:p>
        </w:tc>
        <w:tc>
          <w:tcPr>
            <w:tcW w:w="0" w:type="auto"/>
            <w:noWrap/>
            <w:vAlign w:val="center"/>
            <w:hideMark/>
          </w:tcPr>
          <w:p w14:paraId="0269B4E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6,025</w:t>
            </w:r>
          </w:p>
        </w:tc>
        <w:tc>
          <w:tcPr>
            <w:tcW w:w="0" w:type="auto"/>
            <w:noWrap/>
            <w:vAlign w:val="center"/>
            <w:hideMark/>
          </w:tcPr>
          <w:p w14:paraId="2C4CBEF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38.8%</w:t>
            </w:r>
          </w:p>
        </w:tc>
        <w:tc>
          <w:tcPr>
            <w:tcW w:w="0" w:type="auto"/>
            <w:noWrap/>
            <w:vAlign w:val="center"/>
            <w:hideMark/>
          </w:tcPr>
          <w:p w14:paraId="17467EB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1,957</w:t>
            </w:r>
          </w:p>
        </w:tc>
        <w:tc>
          <w:tcPr>
            <w:tcW w:w="0" w:type="auto"/>
            <w:noWrap/>
            <w:vAlign w:val="center"/>
            <w:hideMark/>
          </w:tcPr>
          <w:p w14:paraId="06782EC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12.6%</w:t>
            </w:r>
          </w:p>
        </w:tc>
      </w:tr>
      <w:tr w:rsidR="00407705" w:rsidRPr="00105FFC" w14:paraId="683F66C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CE308F5"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CDBA67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018E596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14,389</w:t>
            </w:r>
          </w:p>
        </w:tc>
        <w:tc>
          <w:tcPr>
            <w:tcW w:w="0" w:type="auto"/>
            <w:noWrap/>
            <w:vAlign w:val="center"/>
            <w:hideMark/>
          </w:tcPr>
          <w:p w14:paraId="4D07CDE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4,752</w:t>
            </w:r>
          </w:p>
        </w:tc>
        <w:tc>
          <w:tcPr>
            <w:tcW w:w="0" w:type="auto"/>
            <w:noWrap/>
            <w:vAlign w:val="center"/>
            <w:hideMark/>
          </w:tcPr>
          <w:p w14:paraId="3F72234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33.0%</w:t>
            </w:r>
          </w:p>
        </w:tc>
        <w:tc>
          <w:tcPr>
            <w:tcW w:w="0" w:type="auto"/>
            <w:noWrap/>
            <w:vAlign w:val="center"/>
            <w:hideMark/>
          </w:tcPr>
          <w:p w14:paraId="18C1423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5,301</w:t>
            </w:r>
          </w:p>
        </w:tc>
        <w:tc>
          <w:tcPr>
            <w:tcW w:w="0" w:type="auto"/>
            <w:noWrap/>
            <w:vAlign w:val="center"/>
            <w:hideMark/>
          </w:tcPr>
          <w:p w14:paraId="49166B3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36.8%</w:t>
            </w:r>
          </w:p>
        </w:tc>
        <w:tc>
          <w:tcPr>
            <w:tcW w:w="0" w:type="auto"/>
            <w:noWrap/>
            <w:vAlign w:val="center"/>
            <w:hideMark/>
          </w:tcPr>
          <w:p w14:paraId="7C1BBCA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1,297</w:t>
            </w:r>
          </w:p>
        </w:tc>
        <w:tc>
          <w:tcPr>
            <w:tcW w:w="0" w:type="auto"/>
            <w:noWrap/>
            <w:vAlign w:val="center"/>
            <w:hideMark/>
          </w:tcPr>
          <w:p w14:paraId="4F220C5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9.0%</w:t>
            </w:r>
          </w:p>
        </w:tc>
      </w:tr>
      <w:tr w:rsidR="00407705" w:rsidRPr="00105FFC" w14:paraId="2381B5A2"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355C018"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BB74B9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71DB7E6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17,562</w:t>
            </w:r>
          </w:p>
        </w:tc>
        <w:tc>
          <w:tcPr>
            <w:tcW w:w="0" w:type="auto"/>
            <w:noWrap/>
            <w:vAlign w:val="center"/>
            <w:hideMark/>
          </w:tcPr>
          <w:p w14:paraId="0C8DF9A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4,771</w:t>
            </w:r>
          </w:p>
        </w:tc>
        <w:tc>
          <w:tcPr>
            <w:tcW w:w="0" w:type="auto"/>
            <w:noWrap/>
            <w:vAlign w:val="center"/>
            <w:hideMark/>
          </w:tcPr>
          <w:p w14:paraId="3DAE943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27.2%</w:t>
            </w:r>
          </w:p>
        </w:tc>
        <w:tc>
          <w:tcPr>
            <w:tcW w:w="0" w:type="auto"/>
            <w:noWrap/>
            <w:vAlign w:val="center"/>
            <w:hideMark/>
          </w:tcPr>
          <w:p w14:paraId="6D77FB8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5,705</w:t>
            </w:r>
          </w:p>
        </w:tc>
        <w:tc>
          <w:tcPr>
            <w:tcW w:w="0" w:type="auto"/>
            <w:noWrap/>
            <w:vAlign w:val="center"/>
            <w:hideMark/>
          </w:tcPr>
          <w:p w14:paraId="2EFA7C0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32.5%</w:t>
            </w:r>
          </w:p>
        </w:tc>
        <w:tc>
          <w:tcPr>
            <w:tcW w:w="0" w:type="auto"/>
            <w:noWrap/>
            <w:vAlign w:val="center"/>
            <w:hideMark/>
          </w:tcPr>
          <w:p w14:paraId="5A752C1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1,171</w:t>
            </w:r>
          </w:p>
        </w:tc>
        <w:tc>
          <w:tcPr>
            <w:tcW w:w="0" w:type="auto"/>
            <w:noWrap/>
            <w:vAlign w:val="center"/>
            <w:hideMark/>
          </w:tcPr>
          <w:p w14:paraId="5C28C7B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w:t>
            </w:r>
          </w:p>
        </w:tc>
      </w:tr>
      <w:tr w:rsidR="00407705" w:rsidRPr="00105FFC" w14:paraId="4BBA5576"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221C3A5"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45B68D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61D18FB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7,025</w:t>
            </w:r>
          </w:p>
        </w:tc>
        <w:tc>
          <w:tcPr>
            <w:tcW w:w="0" w:type="auto"/>
            <w:noWrap/>
            <w:vAlign w:val="center"/>
            <w:hideMark/>
          </w:tcPr>
          <w:p w14:paraId="3F824AC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1,216</w:t>
            </w:r>
          </w:p>
        </w:tc>
        <w:tc>
          <w:tcPr>
            <w:tcW w:w="0" w:type="auto"/>
            <w:noWrap/>
            <w:vAlign w:val="center"/>
            <w:hideMark/>
          </w:tcPr>
          <w:p w14:paraId="047A6C3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17.3%</w:t>
            </w:r>
          </w:p>
        </w:tc>
        <w:tc>
          <w:tcPr>
            <w:tcW w:w="0" w:type="auto"/>
            <w:noWrap/>
            <w:vAlign w:val="center"/>
            <w:hideMark/>
          </w:tcPr>
          <w:p w14:paraId="6797146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1,599</w:t>
            </w:r>
          </w:p>
        </w:tc>
        <w:tc>
          <w:tcPr>
            <w:tcW w:w="0" w:type="auto"/>
            <w:noWrap/>
            <w:vAlign w:val="center"/>
            <w:hideMark/>
          </w:tcPr>
          <w:p w14:paraId="29F5E49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22.8%</w:t>
            </w:r>
          </w:p>
        </w:tc>
        <w:tc>
          <w:tcPr>
            <w:tcW w:w="0" w:type="auto"/>
            <w:noWrap/>
            <w:vAlign w:val="center"/>
            <w:hideMark/>
          </w:tcPr>
          <w:p w14:paraId="594F71C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239</w:t>
            </w:r>
          </w:p>
        </w:tc>
        <w:tc>
          <w:tcPr>
            <w:tcW w:w="0" w:type="auto"/>
            <w:noWrap/>
            <w:vAlign w:val="center"/>
            <w:hideMark/>
          </w:tcPr>
          <w:p w14:paraId="57CC17C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w:t>
            </w:r>
          </w:p>
        </w:tc>
      </w:tr>
      <w:tr w:rsidR="00407705" w:rsidRPr="00105FFC" w14:paraId="4EA23771"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66D73F9"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006E4B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5380D80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97,210</w:t>
            </w:r>
          </w:p>
        </w:tc>
        <w:tc>
          <w:tcPr>
            <w:tcW w:w="0" w:type="auto"/>
            <w:noWrap/>
            <w:vAlign w:val="center"/>
            <w:hideMark/>
          </w:tcPr>
          <w:p w14:paraId="10EBA01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27,298</w:t>
            </w:r>
          </w:p>
        </w:tc>
        <w:tc>
          <w:tcPr>
            <w:tcW w:w="0" w:type="auto"/>
            <w:noWrap/>
            <w:vAlign w:val="center"/>
            <w:hideMark/>
          </w:tcPr>
          <w:p w14:paraId="3A686FC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28.1%</w:t>
            </w:r>
          </w:p>
        </w:tc>
        <w:tc>
          <w:tcPr>
            <w:tcW w:w="0" w:type="auto"/>
            <w:noWrap/>
            <w:vAlign w:val="center"/>
            <w:hideMark/>
          </w:tcPr>
          <w:p w14:paraId="53945F8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31,478</w:t>
            </w:r>
          </w:p>
        </w:tc>
        <w:tc>
          <w:tcPr>
            <w:tcW w:w="0" w:type="auto"/>
            <w:noWrap/>
            <w:vAlign w:val="center"/>
            <w:hideMark/>
          </w:tcPr>
          <w:p w14:paraId="7E21E07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32.4%</w:t>
            </w:r>
          </w:p>
        </w:tc>
        <w:tc>
          <w:tcPr>
            <w:tcW w:w="0" w:type="auto"/>
            <w:noWrap/>
            <w:vAlign w:val="center"/>
            <w:hideMark/>
          </w:tcPr>
          <w:p w14:paraId="74ADED7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9,842</w:t>
            </w:r>
          </w:p>
        </w:tc>
        <w:tc>
          <w:tcPr>
            <w:tcW w:w="0" w:type="auto"/>
            <w:noWrap/>
            <w:vAlign w:val="center"/>
            <w:hideMark/>
          </w:tcPr>
          <w:p w14:paraId="4F7B777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10.1%</w:t>
            </w:r>
          </w:p>
        </w:tc>
      </w:tr>
      <w:tr w:rsidR="00407705" w:rsidRPr="00105FFC" w14:paraId="0C2A6374"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4035BA86"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Greater Fresno</w:t>
            </w:r>
          </w:p>
        </w:tc>
        <w:tc>
          <w:tcPr>
            <w:tcW w:w="0" w:type="auto"/>
            <w:noWrap/>
            <w:vAlign w:val="center"/>
            <w:hideMark/>
          </w:tcPr>
          <w:p w14:paraId="684183A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3464FA8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45,569</w:t>
            </w:r>
          </w:p>
        </w:tc>
        <w:tc>
          <w:tcPr>
            <w:tcW w:w="0" w:type="auto"/>
            <w:noWrap/>
            <w:vAlign w:val="center"/>
            <w:hideMark/>
          </w:tcPr>
          <w:p w14:paraId="20ED05B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8,804</w:t>
            </w:r>
          </w:p>
        </w:tc>
        <w:tc>
          <w:tcPr>
            <w:tcW w:w="0" w:type="auto"/>
            <w:noWrap/>
            <w:vAlign w:val="center"/>
            <w:hideMark/>
          </w:tcPr>
          <w:p w14:paraId="4000CEB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w:t>
            </w:r>
          </w:p>
        </w:tc>
        <w:tc>
          <w:tcPr>
            <w:tcW w:w="0" w:type="auto"/>
            <w:noWrap/>
            <w:vAlign w:val="center"/>
            <w:hideMark/>
          </w:tcPr>
          <w:p w14:paraId="7A0713C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10,104</w:t>
            </w:r>
          </w:p>
        </w:tc>
        <w:tc>
          <w:tcPr>
            <w:tcW w:w="0" w:type="auto"/>
            <w:noWrap/>
            <w:vAlign w:val="center"/>
            <w:hideMark/>
          </w:tcPr>
          <w:p w14:paraId="7C8E963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22.2%</w:t>
            </w:r>
          </w:p>
        </w:tc>
        <w:tc>
          <w:tcPr>
            <w:tcW w:w="0" w:type="auto"/>
            <w:noWrap/>
            <w:vAlign w:val="center"/>
            <w:hideMark/>
          </w:tcPr>
          <w:p w14:paraId="05252BB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2,343</w:t>
            </w:r>
          </w:p>
        </w:tc>
        <w:tc>
          <w:tcPr>
            <w:tcW w:w="0" w:type="auto"/>
            <w:noWrap/>
            <w:vAlign w:val="center"/>
            <w:hideMark/>
          </w:tcPr>
          <w:p w14:paraId="7E0B222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w:t>
            </w:r>
          </w:p>
        </w:tc>
      </w:tr>
      <w:tr w:rsidR="00407705" w:rsidRPr="00105FFC" w14:paraId="3B88DEAB"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13603A0"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035EA9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4F75780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28,643</w:t>
            </w:r>
          </w:p>
        </w:tc>
        <w:tc>
          <w:tcPr>
            <w:tcW w:w="0" w:type="auto"/>
            <w:noWrap/>
            <w:vAlign w:val="center"/>
            <w:hideMark/>
          </w:tcPr>
          <w:p w14:paraId="688B525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13,523</w:t>
            </w:r>
          </w:p>
        </w:tc>
        <w:tc>
          <w:tcPr>
            <w:tcW w:w="0" w:type="auto"/>
            <w:noWrap/>
            <w:vAlign w:val="center"/>
            <w:hideMark/>
          </w:tcPr>
          <w:p w14:paraId="43E3396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47.2%</w:t>
            </w:r>
          </w:p>
        </w:tc>
        <w:tc>
          <w:tcPr>
            <w:tcW w:w="0" w:type="auto"/>
            <w:noWrap/>
            <w:vAlign w:val="center"/>
            <w:hideMark/>
          </w:tcPr>
          <w:p w14:paraId="7F1E4E8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14,609</w:t>
            </w:r>
          </w:p>
        </w:tc>
        <w:tc>
          <w:tcPr>
            <w:tcW w:w="0" w:type="auto"/>
            <w:noWrap/>
            <w:vAlign w:val="center"/>
            <w:hideMark/>
          </w:tcPr>
          <w:p w14:paraId="48B6912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51.0%</w:t>
            </w:r>
          </w:p>
        </w:tc>
        <w:tc>
          <w:tcPr>
            <w:tcW w:w="0" w:type="auto"/>
            <w:noWrap/>
            <w:vAlign w:val="center"/>
            <w:hideMark/>
          </w:tcPr>
          <w:p w14:paraId="1EEAE9A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2,331</w:t>
            </w:r>
          </w:p>
        </w:tc>
        <w:tc>
          <w:tcPr>
            <w:tcW w:w="0" w:type="auto"/>
            <w:noWrap/>
            <w:vAlign w:val="center"/>
            <w:hideMark/>
          </w:tcPr>
          <w:p w14:paraId="35132BE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8.1%</w:t>
            </w:r>
          </w:p>
        </w:tc>
      </w:tr>
      <w:tr w:rsidR="00407705" w:rsidRPr="00105FFC" w14:paraId="3EA6F167"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CD3091C"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711397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0AD71A6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43,934</w:t>
            </w:r>
          </w:p>
        </w:tc>
        <w:tc>
          <w:tcPr>
            <w:tcW w:w="0" w:type="auto"/>
            <w:noWrap/>
            <w:vAlign w:val="center"/>
            <w:hideMark/>
          </w:tcPr>
          <w:p w14:paraId="791B7D8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22,433</w:t>
            </w:r>
          </w:p>
        </w:tc>
        <w:tc>
          <w:tcPr>
            <w:tcW w:w="0" w:type="auto"/>
            <w:noWrap/>
            <w:vAlign w:val="center"/>
            <w:hideMark/>
          </w:tcPr>
          <w:p w14:paraId="2EACC8F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51.1%</w:t>
            </w:r>
          </w:p>
        </w:tc>
        <w:tc>
          <w:tcPr>
            <w:tcW w:w="0" w:type="auto"/>
            <w:noWrap/>
            <w:vAlign w:val="center"/>
            <w:hideMark/>
          </w:tcPr>
          <w:p w14:paraId="35A77D6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23,609</w:t>
            </w:r>
          </w:p>
        </w:tc>
        <w:tc>
          <w:tcPr>
            <w:tcW w:w="0" w:type="auto"/>
            <w:noWrap/>
            <w:vAlign w:val="center"/>
            <w:hideMark/>
          </w:tcPr>
          <w:p w14:paraId="7583D7E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53.7%</w:t>
            </w:r>
          </w:p>
        </w:tc>
        <w:tc>
          <w:tcPr>
            <w:tcW w:w="0" w:type="auto"/>
            <w:noWrap/>
            <w:vAlign w:val="center"/>
            <w:hideMark/>
          </w:tcPr>
          <w:p w14:paraId="5DFE84D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3,671</w:t>
            </w:r>
          </w:p>
        </w:tc>
        <w:tc>
          <w:tcPr>
            <w:tcW w:w="0" w:type="auto"/>
            <w:noWrap/>
            <w:vAlign w:val="center"/>
            <w:hideMark/>
          </w:tcPr>
          <w:p w14:paraId="083A464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8.4%</w:t>
            </w:r>
          </w:p>
        </w:tc>
      </w:tr>
      <w:tr w:rsidR="00407705" w:rsidRPr="00105FFC" w14:paraId="6FACE5A5"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587CD91"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5E602A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4400856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40,846</w:t>
            </w:r>
          </w:p>
        </w:tc>
        <w:tc>
          <w:tcPr>
            <w:tcW w:w="0" w:type="auto"/>
            <w:noWrap/>
            <w:vAlign w:val="center"/>
            <w:hideMark/>
          </w:tcPr>
          <w:p w14:paraId="6309A35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19,694</w:t>
            </w:r>
          </w:p>
        </w:tc>
        <w:tc>
          <w:tcPr>
            <w:tcW w:w="0" w:type="auto"/>
            <w:noWrap/>
            <w:vAlign w:val="center"/>
            <w:hideMark/>
          </w:tcPr>
          <w:p w14:paraId="03CD31C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48.2%</w:t>
            </w:r>
          </w:p>
        </w:tc>
        <w:tc>
          <w:tcPr>
            <w:tcW w:w="0" w:type="auto"/>
            <w:noWrap/>
            <w:vAlign w:val="center"/>
            <w:hideMark/>
          </w:tcPr>
          <w:p w14:paraId="71FB76F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20,915</w:t>
            </w:r>
          </w:p>
        </w:tc>
        <w:tc>
          <w:tcPr>
            <w:tcW w:w="0" w:type="auto"/>
            <w:noWrap/>
            <w:vAlign w:val="center"/>
            <w:hideMark/>
          </w:tcPr>
          <w:p w14:paraId="570F82C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51.2%</w:t>
            </w:r>
          </w:p>
        </w:tc>
        <w:tc>
          <w:tcPr>
            <w:tcW w:w="0" w:type="auto"/>
            <w:noWrap/>
            <w:vAlign w:val="center"/>
            <w:hideMark/>
          </w:tcPr>
          <w:p w14:paraId="0918C3D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3,372</w:t>
            </w:r>
          </w:p>
        </w:tc>
        <w:tc>
          <w:tcPr>
            <w:tcW w:w="0" w:type="auto"/>
            <w:noWrap/>
            <w:vAlign w:val="center"/>
            <w:hideMark/>
          </w:tcPr>
          <w:p w14:paraId="161CF34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8.3%</w:t>
            </w:r>
          </w:p>
        </w:tc>
      </w:tr>
      <w:tr w:rsidR="00407705" w:rsidRPr="00105FFC" w14:paraId="268DD09A"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6F2CD65"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3BBE8F9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1898071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35,905</w:t>
            </w:r>
          </w:p>
        </w:tc>
        <w:tc>
          <w:tcPr>
            <w:tcW w:w="0" w:type="auto"/>
            <w:noWrap/>
            <w:vAlign w:val="center"/>
            <w:hideMark/>
          </w:tcPr>
          <w:p w14:paraId="1B542E9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14,641</w:t>
            </w:r>
          </w:p>
        </w:tc>
        <w:tc>
          <w:tcPr>
            <w:tcW w:w="0" w:type="auto"/>
            <w:noWrap/>
            <w:vAlign w:val="center"/>
            <w:hideMark/>
          </w:tcPr>
          <w:p w14:paraId="078CCDD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40.8%</w:t>
            </w:r>
          </w:p>
        </w:tc>
        <w:tc>
          <w:tcPr>
            <w:tcW w:w="0" w:type="auto"/>
            <w:noWrap/>
            <w:vAlign w:val="center"/>
            <w:hideMark/>
          </w:tcPr>
          <w:p w14:paraId="3FC0BF2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16,310</w:t>
            </w:r>
          </w:p>
        </w:tc>
        <w:tc>
          <w:tcPr>
            <w:tcW w:w="0" w:type="auto"/>
            <w:noWrap/>
            <w:vAlign w:val="center"/>
            <w:hideMark/>
          </w:tcPr>
          <w:p w14:paraId="6071975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45.4%</w:t>
            </w:r>
          </w:p>
        </w:tc>
        <w:tc>
          <w:tcPr>
            <w:tcW w:w="0" w:type="auto"/>
            <w:noWrap/>
            <w:vAlign w:val="center"/>
            <w:hideMark/>
          </w:tcPr>
          <w:p w14:paraId="00C8384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2,542</w:t>
            </w:r>
          </w:p>
        </w:tc>
        <w:tc>
          <w:tcPr>
            <w:tcW w:w="0" w:type="auto"/>
            <w:noWrap/>
            <w:vAlign w:val="center"/>
            <w:hideMark/>
          </w:tcPr>
          <w:p w14:paraId="1C23DAC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7.1%</w:t>
            </w:r>
          </w:p>
        </w:tc>
      </w:tr>
      <w:tr w:rsidR="00407705" w:rsidRPr="00105FFC" w14:paraId="185B3FB6"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9887907"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397D1E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225C70A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43,577</w:t>
            </w:r>
          </w:p>
        </w:tc>
        <w:tc>
          <w:tcPr>
            <w:tcW w:w="0" w:type="auto"/>
            <w:noWrap/>
            <w:vAlign w:val="center"/>
            <w:hideMark/>
          </w:tcPr>
          <w:p w14:paraId="4F59D3B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14,454</w:t>
            </w:r>
          </w:p>
        </w:tc>
        <w:tc>
          <w:tcPr>
            <w:tcW w:w="0" w:type="auto"/>
            <w:noWrap/>
            <w:vAlign w:val="center"/>
            <w:hideMark/>
          </w:tcPr>
          <w:p w14:paraId="441AE2C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33.2%</w:t>
            </w:r>
          </w:p>
        </w:tc>
        <w:tc>
          <w:tcPr>
            <w:tcW w:w="0" w:type="auto"/>
            <w:noWrap/>
            <w:vAlign w:val="center"/>
            <w:hideMark/>
          </w:tcPr>
          <w:p w14:paraId="567BA07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17,271</w:t>
            </w:r>
          </w:p>
        </w:tc>
        <w:tc>
          <w:tcPr>
            <w:tcW w:w="0" w:type="auto"/>
            <w:noWrap/>
            <w:vAlign w:val="center"/>
            <w:hideMark/>
          </w:tcPr>
          <w:p w14:paraId="5FC81F2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39.6%</w:t>
            </w:r>
          </w:p>
        </w:tc>
        <w:tc>
          <w:tcPr>
            <w:tcW w:w="0" w:type="auto"/>
            <w:noWrap/>
            <w:vAlign w:val="center"/>
            <w:hideMark/>
          </w:tcPr>
          <w:p w14:paraId="1B608CF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2,536</w:t>
            </w:r>
          </w:p>
        </w:tc>
        <w:tc>
          <w:tcPr>
            <w:tcW w:w="0" w:type="auto"/>
            <w:noWrap/>
            <w:vAlign w:val="center"/>
            <w:hideMark/>
          </w:tcPr>
          <w:p w14:paraId="620C992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w:t>
            </w:r>
          </w:p>
        </w:tc>
      </w:tr>
      <w:tr w:rsidR="00407705" w:rsidRPr="00105FFC" w14:paraId="3D4F3E0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FA7EFD9"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8A943A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4095463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16,493</w:t>
            </w:r>
          </w:p>
        </w:tc>
        <w:tc>
          <w:tcPr>
            <w:tcW w:w="0" w:type="auto"/>
            <w:noWrap/>
            <w:vAlign w:val="center"/>
            <w:hideMark/>
          </w:tcPr>
          <w:p w14:paraId="39B2AE8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3,535</w:t>
            </w:r>
          </w:p>
        </w:tc>
        <w:tc>
          <w:tcPr>
            <w:tcW w:w="0" w:type="auto"/>
            <w:noWrap/>
            <w:vAlign w:val="center"/>
            <w:hideMark/>
          </w:tcPr>
          <w:p w14:paraId="16DF2E8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21.4%</w:t>
            </w:r>
          </w:p>
        </w:tc>
        <w:tc>
          <w:tcPr>
            <w:tcW w:w="0" w:type="auto"/>
            <w:noWrap/>
            <w:vAlign w:val="center"/>
            <w:hideMark/>
          </w:tcPr>
          <w:p w14:paraId="0B0848E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4,581</w:t>
            </w:r>
          </w:p>
        </w:tc>
        <w:tc>
          <w:tcPr>
            <w:tcW w:w="0" w:type="auto"/>
            <w:noWrap/>
            <w:vAlign w:val="center"/>
            <w:hideMark/>
          </w:tcPr>
          <w:p w14:paraId="57E0D22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27.8%</w:t>
            </w:r>
          </w:p>
        </w:tc>
        <w:tc>
          <w:tcPr>
            <w:tcW w:w="0" w:type="auto"/>
            <w:noWrap/>
            <w:vAlign w:val="center"/>
            <w:hideMark/>
          </w:tcPr>
          <w:p w14:paraId="66EB0A0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624</w:t>
            </w:r>
          </w:p>
        </w:tc>
        <w:tc>
          <w:tcPr>
            <w:tcW w:w="0" w:type="auto"/>
            <w:noWrap/>
            <w:vAlign w:val="center"/>
            <w:hideMark/>
          </w:tcPr>
          <w:p w14:paraId="61EC323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w:t>
            </w:r>
          </w:p>
        </w:tc>
      </w:tr>
      <w:tr w:rsidR="00407705" w:rsidRPr="00105FFC" w14:paraId="27B344C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40A4D8F"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3A4E2C5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64079A5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254,967</w:t>
            </w:r>
          </w:p>
        </w:tc>
        <w:tc>
          <w:tcPr>
            <w:tcW w:w="0" w:type="auto"/>
            <w:noWrap/>
            <w:vAlign w:val="center"/>
            <w:hideMark/>
          </w:tcPr>
          <w:p w14:paraId="12B9A15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97,084</w:t>
            </w:r>
          </w:p>
        </w:tc>
        <w:tc>
          <w:tcPr>
            <w:tcW w:w="0" w:type="auto"/>
            <w:noWrap/>
            <w:vAlign w:val="center"/>
            <w:hideMark/>
          </w:tcPr>
          <w:p w14:paraId="766EC83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38.1%</w:t>
            </w:r>
          </w:p>
        </w:tc>
        <w:tc>
          <w:tcPr>
            <w:tcW w:w="0" w:type="auto"/>
            <w:noWrap/>
            <w:vAlign w:val="center"/>
            <w:hideMark/>
          </w:tcPr>
          <w:p w14:paraId="1302CDE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107,399</w:t>
            </w:r>
          </w:p>
        </w:tc>
        <w:tc>
          <w:tcPr>
            <w:tcW w:w="0" w:type="auto"/>
            <w:noWrap/>
            <w:vAlign w:val="center"/>
            <w:hideMark/>
          </w:tcPr>
          <w:p w14:paraId="6DA0EEB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42.1%</w:t>
            </w:r>
          </w:p>
        </w:tc>
        <w:tc>
          <w:tcPr>
            <w:tcW w:w="0" w:type="auto"/>
            <w:noWrap/>
            <w:vAlign w:val="center"/>
            <w:hideMark/>
          </w:tcPr>
          <w:p w14:paraId="51F2518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17,419</w:t>
            </w:r>
          </w:p>
        </w:tc>
        <w:tc>
          <w:tcPr>
            <w:tcW w:w="0" w:type="auto"/>
            <w:noWrap/>
            <w:vAlign w:val="center"/>
            <w:hideMark/>
          </w:tcPr>
          <w:p w14:paraId="582F3FE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6.8%</w:t>
            </w:r>
          </w:p>
        </w:tc>
      </w:tr>
      <w:tr w:rsidR="00407705" w:rsidRPr="00105FFC" w14:paraId="17CA8B5A"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23635C0B"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Greater Sacramento</w:t>
            </w:r>
          </w:p>
        </w:tc>
        <w:tc>
          <w:tcPr>
            <w:tcW w:w="0" w:type="auto"/>
            <w:noWrap/>
            <w:vAlign w:val="center"/>
            <w:hideMark/>
          </w:tcPr>
          <w:p w14:paraId="35CED73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5B23C5F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12,091</w:t>
            </w:r>
          </w:p>
        </w:tc>
        <w:tc>
          <w:tcPr>
            <w:tcW w:w="0" w:type="auto"/>
            <w:noWrap/>
            <w:vAlign w:val="center"/>
            <w:hideMark/>
          </w:tcPr>
          <w:p w14:paraId="066EF5F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1,360</w:t>
            </w:r>
          </w:p>
        </w:tc>
        <w:tc>
          <w:tcPr>
            <w:tcW w:w="0" w:type="auto"/>
            <w:noWrap/>
            <w:vAlign w:val="center"/>
            <w:hideMark/>
          </w:tcPr>
          <w:p w14:paraId="69DEDF0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11.2%</w:t>
            </w:r>
          </w:p>
        </w:tc>
        <w:tc>
          <w:tcPr>
            <w:tcW w:w="0" w:type="auto"/>
            <w:noWrap/>
            <w:vAlign w:val="center"/>
            <w:hideMark/>
          </w:tcPr>
          <w:p w14:paraId="261E97F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1,931</w:t>
            </w:r>
          </w:p>
        </w:tc>
        <w:tc>
          <w:tcPr>
            <w:tcW w:w="0" w:type="auto"/>
            <w:noWrap/>
            <w:vAlign w:val="center"/>
            <w:hideMark/>
          </w:tcPr>
          <w:p w14:paraId="7EB792D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16.0%</w:t>
            </w:r>
          </w:p>
        </w:tc>
        <w:tc>
          <w:tcPr>
            <w:tcW w:w="0" w:type="auto"/>
            <w:noWrap/>
            <w:vAlign w:val="center"/>
            <w:hideMark/>
          </w:tcPr>
          <w:p w14:paraId="638985A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888</w:t>
            </w:r>
          </w:p>
        </w:tc>
        <w:tc>
          <w:tcPr>
            <w:tcW w:w="0" w:type="auto"/>
            <w:noWrap/>
            <w:vAlign w:val="center"/>
            <w:hideMark/>
          </w:tcPr>
          <w:p w14:paraId="2DD9CE4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7.3%</w:t>
            </w:r>
          </w:p>
        </w:tc>
      </w:tr>
      <w:tr w:rsidR="00407705" w:rsidRPr="00105FFC" w14:paraId="467704DD"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50B936"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3DE2B5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3D30FFC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7,081</w:t>
            </w:r>
          </w:p>
        </w:tc>
        <w:tc>
          <w:tcPr>
            <w:tcW w:w="0" w:type="auto"/>
            <w:noWrap/>
            <w:vAlign w:val="center"/>
            <w:hideMark/>
          </w:tcPr>
          <w:p w14:paraId="1BD102A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2,190</w:t>
            </w:r>
          </w:p>
        </w:tc>
        <w:tc>
          <w:tcPr>
            <w:tcW w:w="0" w:type="auto"/>
            <w:noWrap/>
            <w:vAlign w:val="center"/>
            <w:hideMark/>
          </w:tcPr>
          <w:p w14:paraId="3C5EC11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30.9%</w:t>
            </w:r>
          </w:p>
        </w:tc>
        <w:tc>
          <w:tcPr>
            <w:tcW w:w="0" w:type="auto"/>
            <w:noWrap/>
            <w:vAlign w:val="center"/>
            <w:hideMark/>
          </w:tcPr>
          <w:p w14:paraId="1A21763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2,515</w:t>
            </w:r>
          </w:p>
        </w:tc>
        <w:tc>
          <w:tcPr>
            <w:tcW w:w="0" w:type="auto"/>
            <w:noWrap/>
            <w:vAlign w:val="center"/>
            <w:hideMark/>
          </w:tcPr>
          <w:p w14:paraId="10C0783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35.5%</w:t>
            </w:r>
          </w:p>
        </w:tc>
        <w:tc>
          <w:tcPr>
            <w:tcW w:w="0" w:type="auto"/>
            <w:noWrap/>
            <w:vAlign w:val="center"/>
            <w:hideMark/>
          </w:tcPr>
          <w:p w14:paraId="42D1A3B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721</w:t>
            </w:r>
          </w:p>
        </w:tc>
        <w:tc>
          <w:tcPr>
            <w:tcW w:w="0" w:type="auto"/>
            <w:noWrap/>
            <w:vAlign w:val="center"/>
            <w:hideMark/>
          </w:tcPr>
          <w:p w14:paraId="7F82580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w:t>
            </w:r>
          </w:p>
        </w:tc>
      </w:tr>
      <w:tr w:rsidR="00407705" w:rsidRPr="00105FFC" w14:paraId="17E2F65C"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F027EB4"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DC3B93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58A5A6E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11,163</w:t>
            </w:r>
          </w:p>
        </w:tc>
        <w:tc>
          <w:tcPr>
            <w:tcW w:w="0" w:type="auto"/>
            <w:noWrap/>
            <w:vAlign w:val="center"/>
            <w:hideMark/>
          </w:tcPr>
          <w:p w14:paraId="66000A9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4,142</w:t>
            </w:r>
          </w:p>
        </w:tc>
        <w:tc>
          <w:tcPr>
            <w:tcW w:w="0" w:type="auto"/>
            <w:noWrap/>
            <w:vAlign w:val="center"/>
            <w:hideMark/>
          </w:tcPr>
          <w:p w14:paraId="2AA2F83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37.1%</w:t>
            </w:r>
          </w:p>
        </w:tc>
        <w:tc>
          <w:tcPr>
            <w:tcW w:w="0" w:type="auto"/>
            <w:noWrap/>
            <w:vAlign w:val="center"/>
            <w:hideMark/>
          </w:tcPr>
          <w:p w14:paraId="4918C95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4,400</w:t>
            </w:r>
          </w:p>
        </w:tc>
        <w:tc>
          <w:tcPr>
            <w:tcW w:w="0" w:type="auto"/>
            <w:noWrap/>
            <w:vAlign w:val="center"/>
            <w:hideMark/>
          </w:tcPr>
          <w:p w14:paraId="56F00DE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39.4%</w:t>
            </w:r>
          </w:p>
        </w:tc>
        <w:tc>
          <w:tcPr>
            <w:tcW w:w="0" w:type="auto"/>
            <w:noWrap/>
            <w:vAlign w:val="center"/>
            <w:hideMark/>
          </w:tcPr>
          <w:p w14:paraId="5251485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1,184</w:t>
            </w:r>
          </w:p>
        </w:tc>
        <w:tc>
          <w:tcPr>
            <w:tcW w:w="0" w:type="auto"/>
            <w:noWrap/>
            <w:vAlign w:val="center"/>
            <w:hideMark/>
          </w:tcPr>
          <w:p w14:paraId="1350A55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10.6%</w:t>
            </w:r>
          </w:p>
        </w:tc>
      </w:tr>
      <w:tr w:rsidR="00407705" w:rsidRPr="00105FFC" w14:paraId="79FACA4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11EA68"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3F5A807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0DFED8E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11,163</w:t>
            </w:r>
          </w:p>
        </w:tc>
        <w:tc>
          <w:tcPr>
            <w:tcW w:w="0" w:type="auto"/>
            <w:noWrap/>
            <w:vAlign w:val="center"/>
            <w:hideMark/>
          </w:tcPr>
          <w:p w14:paraId="04D3EBF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3,730</w:t>
            </w:r>
          </w:p>
        </w:tc>
        <w:tc>
          <w:tcPr>
            <w:tcW w:w="0" w:type="auto"/>
            <w:noWrap/>
            <w:vAlign w:val="center"/>
            <w:hideMark/>
          </w:tcPr>
          <w:p w14:paraId="510F1DB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33.4%</w:t>
            </w:r>
          </w:p>
        </w:tc>
        <w:tc>
          <w:tcPr>
            <w:tcW w:w="0" w:type="auto"/>
            <w:noWrap/>
            <w:vAlign w:val="center"/>
            <w:hideMark/>
          </w:tcPr>
          <w:p w14:paraId="4BF4EDC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3,948</w:t>
            </w:r>
          </w:p>
        </w:tc>
        <w:tc>
          <w:tcPr>
            <w:tcW w:w="0" w:type="auto"/>
            <w:noWrap/>
            <w:vAlign w:val="center"/>
            <w:hideMark/>
          </w:tcPr>
          <w:p w14:paraId="0E52800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35.4%</w:t>
            </w:r>
          </w:p>
        </w:tc>
        <w:tc>
          <w:tcPr>
            <w:tcW w:w="0" w:type="auto"/>
            <w:noWrap/>
            <w:vAlign w:val="center"/>
            <w:hideMark/>
          </w:tcPr>
          <w:p w14:paraId="0E07324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1,229</w:t>
            </w:r>
          </w:p>
        </w:tc>
        <w:tc>
          <w:tcPr>
            <w:tcW w:w="0" w:type="auto"/>
            <w:noWrap/>
            <w:vAlign w:val="center"/>
            <w:hideMark/>
          </w:tcPr>
          <w:p w14:paraId="45200F6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11.0%</w:t>
            </w:r>
          </w:p>
        </w:tc>
      </w:tr>
      <w:tr w:rsidR="00407705" w:rsidRPr="00105FFC" w14:paraId="737964DF"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530433E"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79075D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0C04BA0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10,358</w:t>
            </w:r>
          </w:p>
        </w:tc>
        <w:tc>
          <w:tcPr>
            <w:tcW w:w="0" w:type="auto"/>
            <w:noWrap/>
            <w:vAlign w:val="center"/>
            <w:hideMark/>
          </w:tcPr>
          <w:p w14:paraId="2C6175F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3,042</w:t>
            </w:r>
          </w:p>
        </w:tc>
        <w:tc>
          <w:tcPr>
            <w:tcW w:w="0" w:type="auto"/>
            <w:noWrap/>
            <w:vAlign w:val="center"/>
            <w:hideMark/>
          </w:tcPr>
          <w:p w14:paraId="31F81D6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29.4%</w:t>
            </w:r>
          </w:p>
        </w:tc>
        <w:tc>
          <w:tcPr>
            <w:tcW w:w="0" w:type="auto"/>
            <w:noWrap/>
            <w:vAlign w:val="center"/>
            <w:hideMark/>
          </w:tcPr>
          <w:p w14:paraId="168D2F5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3,385</w:t>
            </w:r>
          </w:p>
        </w:tc>
        <w:tc>
          <w:tcPr>
            <w:tcW w:w="0" w:type="auto"/>
            <w:noWrap/>
            <w:vAlign w:val="center"/>
            <w:hideMark/>
          </w:tcPr>
          <w:p w14:paraId="415D1F0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32.7%</w:t>
            </w:r>
          </w:p>
        </w:tc>
        <w:tc>
          <w:tcPr>
            <w:tcW w:w="0" w:type="auto"/>
            <w:noWrap/>
            <w:vAlign w:val="center"/>
            <w:hideMark/>
          </w:tcPr>
          <w:p w14:paraId="2C7C18E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964</w:t>
            </w:r>
          </w:p>
        </w:tc>
        <w:tc>
          <w:tcPr>
            <w:tcW w:w="0" w:type="auto"/>
            <w:noWrap/>
            <w:vAlign w:val="center"/>
            <w:hideMark/>
          </w:tcPr>
          <w:p w14:paraId="2FD402B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9.3%</w:t>
            </w:r>
          </w:p>
        </w:tc>
      </w:tr>
      <w:tr w:rsidR="00407705" w:rsidRPr="00105FFC" w14:paraId="3EFE8C5D"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31FADE9"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15F708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056CBD5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12,985</w:t>
            </w:r>
          </w:p>
        </w:tc>
        <w:tc>
          <w:tcPr>
            <w:tcW w:w="0" w:type="auto"/>
            <w:noWrap/>
            <w:vAlign w:val="center"/>
            <w:hideMark/>
          </w:tcPr>
          <w:p w14:paraId="37A790D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3,293</w:t>
            </w:r>
          </w:p>
        </w:tc>
        <w:tc>
          <w:tcPr>
            <w:tcW w:w="0" w:type="auto"/>
            <w:noWrap/>
            <w:vAlign w:val="center"/>
            <w:hideMark/>
          </w:tcPr>
          <w:p w14:paraId="326C355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25.4%</w:t>
            </w:r>
          </w:p>
        </w:tc>
        <w:tc>
          <w:tcPr>
            <w:tcW w:w="0" w:type="auto"/>
            <w:noWrap/>
            <w:vAlign w:val="center"/>
            <w:hideMark/>
          </w:tcPr>
          <w:p w14:paraId="7C47FF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3,926</w:t>
            </w:r>
          </w:p>
        </w:tc>
        <w:tc>
          <w:tcPr>
            <w:tcW w:w="0" w:type="auto"/>
            <w:noWrap/>
            <w:vAlign w:val="center"/>
            <w:hideMark/>
          </w:tcPr>
          <w:p w14:paraId="712300E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30.2%</w:t>
            </w:r>
          </w:p>
        </w:tc>
        <w:tc>
          <w:tcPr>
            <w:tcW w:w="0" w:type="auto"/>
            <w:noWrap/>
            <w:vAlign w:val="center"/>
            <w:hideMark/>
          </w:tcPr>
          <w:p w14:paraId="66E7CCD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934</w:t>
            </w:r>
          </w:p>
        </w:tc>
        <w:tc>
          <w:tcPr>
            <w:tcW w:w="0" w:type="auto"/>
            <w:noWrap/>
            <w:vAlign w:val="center"/>
            <w:hideMark/>
          </w:tcPr>
          <w:p w14:paraId="65A9D2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w:t>
            </w:r>
          </w:p>
        </w:tc>
      </w:tr>
      <w:tr w:rsidR="00407705" w:rsidRPr="00105FFC" w14:paraId="7DF8C642"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65BA746"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52CF9F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697DD11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5,225</w:t>
            </w:r>
          </w:p>
        </w:tc>
        <w:tc>
          <w:tcPr>
            <w:tcW w:w="0" w:type="auto"/>
            <w:noWrap/>
            <w:vAlign w:val="center"/>
            <w:hideMark/>
          </w:tcPr>
          <w:p w14:paraId="1ACB5C3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803</w:t>
            </w:r>
          </w:p>
        </w:tc>
        <w:tc>
          <w:tcPr>
            <w:tcW w:w="0" w:type="auto"/>
            <w:noWrap/>
            <w:vAlign w:val="center"/>
            <w:hideMark/>
          </w:tcPr>
          <w:p w14:paraId="069C687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15.4%</w:t>
            </w:r>
          </w:p>
        </w:tc>
        <w:tc>
          <w:tcPr>
            <w:tcW w:w="0" w:type="auto"/>
            <w:noWrap/>
            <w:vAlign w:val="center"/>
            <w:hideMark/>
          </w:tcPr>
          <w:p w14:paraId="395F8A1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1,066</w:t>
            </w:r>
          </w:p>
        </w:tc>
        <w:tc>
          <w:tcPr>
            <w:tcW w:w="0" w:type="auto"/>
            <w:noWrap/>
            <w:vAlign w:val="center"/>
            <w:hideMark/>
          </w:tcPr>
          <w:p w14:paraId="2140B84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20.4%</w:t>
            </w:r>
          </w:p>
        </w:tc>
        <w:tc>
          <w:tcPr>
            <w:tcW w:w="0" w:type="auto"/>
            <w:noWrap/>
            <w:vAlign w:val="center"/>
            <w:hideMark/>
          </w:tcPr>
          <w:p w14:paraId="4AE9FFD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256</w:t>
            </w:r>
          </w:p>
        </w:tc>
        <w:tc>
          <w:tcPr>
            <w:tcW w:w="0" w:type="auto"/>
            <w:noWrap/>
            <w:vAlign w:val="center"/>
            <w:hideMark/>
          </w:tcPr>
          <w:p w14:paraId="0E08AD9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w:t>
            </w:r>
          </w:p>
        </w:tc>
      </w:tr>
      <w:tr w:rsidR="00407705" w:rsidRPr="00105FFC" w14:paraId="68AB1508"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BDABF99"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1F5208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53EDD3F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70,066</w:t>
            </w:r>
          </w:p>
        </w:tc>
        <w:tc>
          <w:tcPr>
            <w:tcW w:w="0" w:type="auto"/>
            <w:noWrap/>
            <w:vAlign w:val="center"/>
            <w:hideMark/>
          </w:tcPr>
          <w:p w14:paraId="65E9FE1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18,560</w:t>
            </w:r>
          </w:p>
        </w:tc>
        <w:tc>
          <w:tcPr>
            <w:tcW w:w="0" w:type="auto"/>
            <w:noWrap/>
            <w:vAlign w:val="center"/>
            <w:hideMark/>
          </w:tcPr>
          <w:p w14:paraId="5CC614F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26.5%</w:t>
            </w:r>
          </w:p>
        </w:tc>
        <w:tc>
          <w:tcPr>
            <w:tcW w:w="0" w:type="auto"/>
            <w:noWrap/>
            <w:vAlign w:val="center"/>
            <w:hideMark/>
          </w:tcPr>
          <w:p w14:paraId="361E582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21,171</w:t>
            </w:r>
          </w:p>
        </w:tc>
        <w:tc>
          <w:tcPr>
            <w:tcW w:w="0" w:type="auto"/>
            <w:noWrap/>
            <w:vAlign w:val="center"/>
            <w:hideMark/>
          </w:tcPr>
          <w:p w14:paraId="45290B5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30.2%</w:t>
            </w:r>
          </w:p>
        </w:tc>
        <w:tc>
          <w:tcPr>
            <w:tcW w:w="0" w:type="auto"/>
            <w:noWrap/>
            <w:vAlign w:val="center"/>
            <w:hideMark/>
          </w:tcPr>
          <w:p w14:paraId="52A4D8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6,176</w:t>
            </w:r>
          </w:p>
        </w:tc>
        <w:tc>
          <w:tcPr>
            <w:tcW w:w="0" w:type="auto"/>
            <w:noWrap/>
            <w:vAlign w:val="center"/>
            <w:hideMark/>
          </w:tcPr>
          <w:p w14:paraId="190ED26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8.8%</w:t>
            </w:r>
          </w:p>
        </w:tc>
      </w:tr>
      <w:tr w:rsidR="00407705" w:rsidRPr="00105FFC" w14:paraId="515DC873"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0652BCA9"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Inland Desert</w:t>
            </w:r>
          </w:p>
        </w:tc>
        <w:tc>
          <w:tcPr>
            <w:tcW w:w="0" w:type="auto"/>
            <w:noWrap/>
            <w:vAlign w:val="center"/>
            <w:hideMark/>
          </w:tcPr>
          <w:p w14:paraId="2F1C505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6C424B1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1,768</w:t>
            </w:r>
          </w:p>
        </w:tc>
        <w:tc>
          <w:tcPr>
            <w:tcW w:w="0" w:type="auto"/>
            <w:noWrap/>
            <w:vAlign w:val="center"/>
            <w:hideMark/>
          </w:tcPr>
          <w:p w14:paraId="464730A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137</w:t>
            </w:r>
          </w:p>
        </w:tc>
        <w:tc>
          <w:tcPr>
            <w:tcW w:w="0" w:type="auto"/>
            <w:noWrap/>
            <w:vAlign w:val="center"/>
            <w:hideMark/>
          </w:tcPr>
          <w:p w14:paraId="34236B2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w:t>
            </w:r>
          </w:p>
        </w:tc>
        <w:tc>
          <w:tcPr>
            <w:tcW w:w="0" w:type="auto"/>
            <w:noWrap/>
            <w:vAlign w:val="center"/>
            <w:hideMark/>
          </w:tcPr>
          <w:p w14:paraId="4DD1F51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155</w:t>
            </w:r>
          </w:p>
        </w:tc>
        <w:tc>
          <w:tcPr>
            <w:tcW w:w="0" w:type="auto"/>
            <w:noWrap/>
            <w:vAlign w:val="center"/>
            <w:hideMark/>
          </w:tcPr>
          <w:p w14:paraId="0AB3F88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8.8%</w:t>
            </w:r>
          </w:p>
        </w:tc>
        <w:tc>
          <w:tcPr>
            <w:tcW w:w="0" w:type="auto"/>
            <w:noWrap/>
            <w:vAlign w:val="center"/>
            <w:hideMark/>
          </w:tcPr>
          <w:p w14:paraId="35521AF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297</w:t>
            </w:r>
          </w:p>
        </w:tc>
        <w:tc>
          <w:tcPr>
            <w:tcW w:w="0" w:type="auto"/>
            <w:noWrap/>
            <w:vAlign w:val="center"/>
            <w:hideMark/>
          </w:tcPr>
          <w:p w14:paraId="29E1AAA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16.8%</w:t>
            </w:r>
          </w:p>
        </w:tc>
      </w:tr>
      <w:tr w:rsidR="00407705" w:rsidRPr="00105FFC" w14:paraId="4CF60AF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5DFCB8E"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590D00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5F89039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1,146</w:t>
            </w:r>
          </w:p>
        </w:tc>
        <w:tc>
          <w:tcPr>
            <w:tcW w:w="0" w:type="auto"/>
            <w:noWrap/>
            <w:vAlign w:val="center"/>
            <w:hideMark/>
          </w:tcPr>
          <w:p w14:paraId="265BA5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245</w:t>
            </w:r>
          </w:p>
        </w:tc>
        <w:tc>
          <w:tcPr>
            <w:tcW w:w="0" w:type="auto"/>
            <w:noWrap/>
            <w:vAlign w:val="center"/>
            <w:hideMark/>
          </w:tcPr>
          <w:p w14:paraId="24E5295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21.4%</w:t>
            </w:r>
          </w:p>
        </w:tc>
        <w:tc>
          <w:tcPr>
            <w:tcW w:w="0" w:type="auto"/>
            <w:noWrap/>
            <w:vAlign w:val="center"/>
            <w:hideMark/>
          </w:tcPr>
          <w:p w14:paraId="066F24E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263</w:t>
            </w:r>
          </w:p>
        </w:tc>
        <w:tc>
          <w:tcPr>
            <w:tcW w:w="0" w:type="auto"/>
            <w:noWrap/>
            <w:vAlign w:val="center"/>
            <w:hideMark/>
          </w:tcPr>
          <w:p w14:paraId="70E689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22.9%</w:t>
            </w:r>
          </w:p>
        </w:tc>
        <w:tc>
          <w:tcPr>
            <w:tcW w:w="0" w:type="auto"/>
            <w:noWrap/>
            <w:vAlign w:val="center"/>
            <w:hideMark/>
          </w:tcPr>
          <w:p w14:paraId="5732211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367</w:t>
            </w:r>
          </w:p>
        </w:tc>
        <w:tc>
          <w:tcPr>
            <w:tcW w:w="0" w:type="auto"/>
            <w:noWrap/>
            <w:vAlign w:val="center"/>
            <w:hideMark/>
          </w:tcPr>
          <w:p w14:paraId="392B4B5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32.0%</w:t>
            </w:r>
          </w:p>
        </w:tc>
      </w:tr>
      <w:tr w:rsidR="00407705" w:rsidRPr="00105FFC" w14:paraId="027838B7"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6108991"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37A4A9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558CE85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1,755</w:t>
            </w:r>
          </w:p>
        </w:tc>
        <w:tc>
          <w:tcPr>
            <w:tcW w:w="0" w:type="auto"/>
            <w:noWrap/>
            <w:vAlign w:val="center"/>
            <w:hideMark/>
          </w:tcPr>
          <w:p w14:paraId="19BAF94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413</w:t>
            </w:r>
          </w:p>
        </w:tc>
        <w:tc>
          <w:tcPr>
            <w:tcW w:w="0" w:type="auto"/>
            <w:noWrap/>
            <w:vAlign w:val="center"/>
            <w:hideMark/>
          </w:tcPr>
          <w:p w14:paraId="34F9C2D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23.5%</w:t>
            </w:r>
          </w:p>
        </w:tc>
        <w:tc>
          <w:tcPr>
            <w:tcW w:w="0" w:type="auto"/>
            <w:noWrap/>
            <w:vAlign w:val="center"/>
            <w:hideMark/>
          </w:tcPr>
          <w:p w14:paraId="6CB4150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438</w:t>
            </w:r>
          </w:p>
        </w:tc>
        <w:tc>
          <w:tcPr>
            <w:tcW w:w="0" w:type="auto"/>
            <w:noWrap/>
            <w:vAlign w:val="center"/>
            <w:hideMark/>
          </w:tcPr>
          <w:p w14:paraId="5397C1D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25.0%</w:t>
            </w:r>
          </w:p>
        </w:tc>
        <w:tc>
          <w:tcPr>
            <w:tcW w:w="0" w:type="auto"/>
            <w:noWrap/>
            <w:vAlign w:val="center"/>
            <w:hideMark/>
          </w:tcPr>
          <w:p w14:paraId="7FF3A77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454</w:t>
            </w:r>
          </w:p>
        </w:tc>
        <w:tc>
          <w:tcPr>
            <w:tcW w:w="0" w:type="auto"/>
            <w:noWrap/>
            <w:vAlign w:val="center"/>
            <w:hideMark/>
          </w:tcPr>
          <w:p w14:paraId="416CB56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25.9%</w:t>
            </w:r>
          </w:p>
        </w:tc>
      </w:tr>
      <w:tr w:rsidR="00407705" w:rsidRPr="00105FFC" w14:paraId="0AF4151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9248777"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96DC8E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33C1539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1,714</w:t>
            </w:r>
          </w:p>
        </w:tc>
        <w:tc>
          <w:tcPr>
            <w:tcW w:w="0" w:type="auto"/>
            <w:noWrap/>
            <w:vAlign w:val="center"/>
            <w:hideMark/>
          </w:tcPr>
          <w:p w14:paraId="1AB14DA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319</w:t>
            </w:r>
          </w:p>
        </w:tc>
        <w:tc>
          <w:tcPr>
            <w:tcW w:w="0" w:type="auto"/>
            <w:noWrap/>
            <w:vAlign w:val="center"/>
            <w:hideMark/>
          </w:tcPr>
          <w:p w14:paraId="1EFCF28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18.6%</w:t>
            </w:r>
          </w:p>
        </w:tc>
        <w:tc>
          <w:tcPr>
            <w:tcW w:w="0" w:type="auto"/>
            <w:noWrap/>
            <w:vAlign w:val="center"/>
            <w:hideMark/>
          </w:tcPr>
          <w:p w14:paraId="68F136B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357</w:t>
            </w:r>
          </w:p>
        </w:tc>
        <w:tc>
          <w:tcPr>
            <w:tcW w:w="0" w:type="auto"/>
            <w:noWrap/>
            <w:vAlign w:val="center"/>
            <w:hideMark/>
          </w:tcPr>
          <w:p w14:paraId="08CC756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20.8%</w:t>
            </w:r>
          </w:p>
        </w:tc>
        <w:tc>
          <w:tcPr>
            <w:tcW w:w="0" w:type="auto"/>
            <w:noWrap/>
            <w:vAlign w:val="center"/>
            <w:hideMark/>
          </w:tcPr>
          <w:p w14:paraId="26C1AED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458</w:t>
            </w:r>
          </w:p>
        </w:tc>
        <w:tc>
          <w:tcPr>
            <w:tcW w:w="0" w:type="auto"/>
            <w:noWrap/>
            <w:vAlign w:val="center"/>
            <w:hideMark/>
          </w:tcPr>
          <w:p w14:paraId="6F5E2D1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26.7%</w:t>
            </w:r>
          </w:p>
        </w:tc>
      </w:tr>
      <w:tr w:rsidR="00407705" w:rsidRPr="00105FFC" w14:paraId="6BD8ABB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DA9987"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D40BF6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67FB0FA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1,508</w:t>
            </w:r>
          </w:p>
        </w:tc>
        <w:tc>
          <w:tcPr>
            <w:tcW w:w="0" w:type="auto"/>
            <w:noWrap/>
            <w:vAlign w:val="center"/>
            <w:hideMark/>
          </w:tcPr>
          <w:p w14:paraId="2594800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276</w:t>
            </w:r>
          </w:p>
        </w:tc>
        <w:tc>
          <w:tcPr>
            <w:tcW w:w="0" w:type="auto"/>
            <w:noWrap/>
            <w:vAlign w:val="center"/>
            <w:hideMark/>
          </w:tcPr>
          <w:p w14:paraId="4CFFE71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18.3%</w:t>
            </w:r>
          </w:p>
        </w:tc>
        <w:tc>
          <w:tcPr>
            <w:tcW w:w="0" w:type="auto"/>
            <w:noWrap/>
            <w:vAlign w:val="center"/>
            <w:hideMark/>
          </w:tcPr>
          <w:p w14:paraId="1050CB0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314</w:t>
            </w:r>
          </w:p>
        </w:tc>
        <w:tc>
          <w:tcPr>
            <w:tcW w:w="0" w:type="auto"/>
            <w:noWrap/>
            <w:vAlign w:val="center"/>
            <w:hideMark/>
          </w:tcPr>
          <w:p w14:paraId="0688859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20.8%</w:t>
            </w:r>
          </w:p>
        </w:tc>
        <w:tc>
          <w:tcPr>
            <w:tcW w:w="0" w:type="auto"/>
            <w:noWrap/>
            <w:vAlign w:val="center"/>
            <w:hideMark/>
          </w:tcPr>
          <w:p w14:paraId="3E79830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333</w:t>
            </w:r>
          </w:p>
        </w:tc>
        <w:tc>
          <w:tcPr>
            <w:tcW w:w="0" w:type="auto"/>
            <w:noWrap/>
            <w:vAlign w:val="center"/>
            <w:hideMark/>
          </w:tcPr>
          <w:p w14:paraId="56A3FAC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22.1%</w:t>
            </w:r>
          </w:p>
        </w:tc>
      </w:tr>
      <w:tr w:rsidR="00407705" w:rsidRPr="00105FFC" w14:paraId="777B4F40"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23F6164"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4882D3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773C7D5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1,983</w:t>
            </w:r>
          </w:p>
        </w:tc>
        <w:tc>
          <w:tcPr>
            <w:tcW w:w="0" w:type="auto"/>
            <w:noWrap/>
            <w:vAlign w:val="center"/>
            <w:hideMark/>
          </w:tcPr>
          <w:p w14:paraId="66A22A7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272</w:t>
            </w:r>
          </w:p>
        </w:tc>
        <w:tc>
          <w:tcPr>
            <w:tcW w:w="0" w:type="auto"/>
            <w:noWrap/>
            <w:vAlign w:val="center"/>
            <w:hideMark/>
          </w:tcPr>
          <w:p w14:paraId="7643A40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13.7%</w:t>
            </w:r>
          </w:p>
        </w:tc>
        <w:tc>
          <w:tcPr>
            <w:tcW w:w="0" w:type="auto"/>
            <w:noWrap/>
            <w:vAlign w:val="center"/>
            <w:hideMark/>
          </w:tcPr>
          <w:p w14:paraId="1BF9162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358</w:t>
            </w:r>
          </w:p>
        </w:tc>
        <w:tc>
          <w:tcPr>
            <w:tcW w:w="0" w:type="auto"/>
            <w:noWrap/>
            <w:vAlign w:val="center"/>
            <w:hideMark/>
          </w:tcPr>
          <w:p w14:paraId="3DD3E68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18.1%</w:t>
            </w:r>
          </w:p>
        </w:tc>
        <w:tc>
          <w:tcPr>
            <w:tcW w:w="0" w:type="auto"/>
            <w:noWrap/>
            <w:vAlign w:val="center"/>
            <w:hideMark/>
          </w:tcPr>
          <w:p w14:paraId="0540B04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337</w:t>
            </w:r>
          </w:p>
        </w:tc>
        <w:tc>
          <w:tcPr>
            <w:tcW w:w="0" w:type="auto"/>
            <w:noWrap/>
            <w:vAlign w:val="center"/>
            <w:hideMark/>
          </w:tcPr>
          <w:p w14:paraId="1DB658D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17.0%</w:t>
            </w:r>
          </w:p>
        </w:tc>
      </w:tr>
      <w:tr w:rsidR="00407705" w:rsidRPr="00105FFC" w14:paraId="4B209593"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9C42F5"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5C1A2D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409028C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821</w:t>
            </w:r>
          </w:p>
        </w:tc>
        <w:tc>
          <w:tcPr>
            <w:tcW w:w="0" w:type="auto"/>
            <w:noWrap/>
            <w:vAlign w:val="center"/>
            <w:hideMark/>
          </w:tcPr>
          <w:p w14:paraId="7578657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73</w:t>
            </w:r>
          </w:p>
        </w:tc>
        <w:tc>
          <w:tcPr>
            <w:tcW w:w="0" w:type="auto"/>
            <w:noWrap/>
            <w:vAlign w:val="center"/>
            <w:hideMark/>
          </w:tcPr>
          <w:p w14:paraId="26D9F2B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8.9%</w:t>
            </w:r>
          </w:p>
        </w:tc>
        <w:tc>
          <w:tcPr>
            <w:tcW w:w="0" w:type="auto"/>
            <w:noWrap/>
            <w:vAlign w:val="center"/>
            <w:hideMark/>
          </w:tcPr>
          <w:p w14:paraId="1240C72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110</w:t>
            </w:r>
          </w:p>
        </w:tc>
        <w:tc>
          <w:tcPr>
            <w:tcW w:w="0" w:type="auto"/>
            <w:noWrap/>
            <w:vAlign w:val="center"/>
            <w:hideMark/>
          </w:tcPr>
          <w:p w14:paraId="5A23C10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13.4%</w:t>
            </w:r>
          </w:p>
        </w:tc>
        <w:tc>
          <w:tcPr>
            <w:tcW w:w="0" w:type="auto"/>
            <w:noWrap/>
            <w:vAlign w:val="center"/>
            <w:hideMark/>
          </w:tcPr>
          <w:p w14:paraId="28B148C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w:t>
            </w:r>
          </w:p>
        </w:tc>
        <w:tc>
          <w:tcPr>
            <w:tcW w:w="0" w:type="auto"/>
            <w:noWrap/>
            <w:vAlign w:val="center"/>
            <w:hideMark/>
          </w:tcPr>
          <w:p w14:paraId="3441608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9.4%</w:t>
            </w:r>
          </w:p>
        </w:tc>
      </w:tr>
      <w:tr w:rsidR="00407705" w:rsidRPr="00105FFC" w14:paraId="22A801D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C16F847"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83F876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183A121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10,695</w:t>
            </w:r>
          </w:p>
        </w:tc>
        <w:tc>
          <w:tcPr>
            <w:tcW w:w="0" w:type="auto"/>
            <w:noWrap/>
            <w:vAlign w:val="center"/>
            <w:hideMark/>
          </w:tcPr>
          <w:p w14:paraId="06D50BD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1,735</w:t>
            </w:r>
          </w:p>
        </w:tc>
        <w:tc>
          <w:tcPr>
            <w:tcW w:w="0" w:type="auto"/>
            <w:noWrap/>
            <w:vAlign w:val="center"/>
            <w:hideMark/>
          </w:tcPr>
          <w:p w14:paraId="3634313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16.2%</w:t>
            </w:r>
          </w:p>
        </w:tc>
        <w:tc>
          <w:tcPr>
            <w:tcW w:w="0" w:type="auto"/>
            <w:noWrap/>
            <w:vAlign w:val="center"/>
            <w:hideMark/>
          </w:tcPr>
          <w:p w14:paraId="0B51CDD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1,995</w:t>
            </w:r>
          </w:p>
        </w:tc>
        <w:tc>
          <w:tcPr>
            <w:tcW w:w="0" w:type="auto"/>
            <w:noWrap/>
            <w:vAlign w:val="center"/>
            <w:hideMark/>
          </w:tcPr>
          <w:p w14:paraId="5C52CBC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18.7%</w:t>
            </w:r>
          </w:p>
        </w:tc>
        <w:tc>
          <w:tcPr>
            <w:tcW w:w="0" w:type="auto"/>
            <w:noWrap/>
            <w:vAlign w:val="center"/>
            <w:hideMark/>
          </w:tcPr>
          <w:p w14:paraId="6F5FA7B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2,323</w:t>
            </w:r>
          </w:p>
        </w:tc>
        <w:tc>
          <w:tcPr>
            <w:tcW w:w="0" w:type="auto"/>
            <w:noWrap/>
            <w:vAlign w:val="center"/>
            <w:hideMark/>
          </w:tcPr>
          <w:p w14:paraId="43B21A4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21.7%</w:t>
            </w:r>
          </w:p>
        </w:tc>
      </w:tr>
      <w:tr w:rsidR="00407705" w:rsidRPr="00105FFC" w14:paraId="10DEDCC3"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225C9231"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Inland Empire</w:t>
            </w:r>
          </w:p>
        </w:tc>
        <w:tc>
          <w:tcPr>
            <w:tcW w:w="0" w:type="auto"/>
            <w:noWrap/>
            <w:vAlign w:val="center"/>
            <w:hideMark/>
          </w:tcPr>
          <w:p w14:paraId="546134E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30371FE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116,473</w:t>
            </w:r>
          </w:p>
        </w:tc>
        <w:tc>
          <w:tcPr>
            <w:tcW w:w="0" w:type="auto"/>
            <w:noWrap/>
            <w:vAlign w:val="center"/>
            <w:hideMark/>
          </w:tcPr>
          <w:p w14:paraId="4DCF3A7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23,524</w:t>
            </w:r>
          </w:p>
        </w:tc>
        <w:tc>
          <w:tcPr>
            <w:tcW w:w="0" w:type="auto"/>
            <w:noWrap/>
            <w:vAlign w:val="center"/>
            <w:hideMark/>
          </w:tcPr>
          <w:p w14:paraId="2203538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20.2%</w:t>
            </w:r>
          </w:p>
        </w:tc>
        <w:tc>
          <w:tcPr>
            <w:tcW w:w="0" w:type="auto"/>
            <w:noWrap/>
            <w:vAlign w:val="center"/>
            <w:hideMark/>
          </w:tcPr>
          <w:p w14:paraId="74A9446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27,051</w:t>
            </w:r>
          </w:p>
        </w:tc>
        <w:tc>
          <w:tcPr>
            <w:tcW w:w="0" w:type="auto"/>
            <w:noWrap/>
            <w:vAlign w:val="center"/>
            <w:hideMark/>
          </w:tcPr>
          <w:p w14:paraId="1CB1164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23.2%</w:t>
            </w:r>
          </w:p>
        </w:tc>
        <w:tc>
          <w:tcPr>
            <w:tcW w:w="0" w:type="auto"/>
            <w:noWrap/>
            <w:vAlign w:val="center"/>
            <w:hideMark/>
          </w:tcPr>
          <w:p w14:paraId="50AF8D5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1,553</w:t>
            </w:r>
          </w:p>
        </w:tc>
        <w:tc>
          <w:tcPr>
            <w:tcW w:w="0" w:type="auto"/>
            <w:noWrap/>
            <w:vAlign w:val="center"/>
            <w:hideMark/>
          </w:tcPr>
          <w:p w14:paraId="79CEE2C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w:t>
            </w:r>
          </w:p>
        </w:tc>
      </w:tr>
      <w:tr w:rsidR="00407705" w:rsidRPr="00105FFC" w14:paraId="238026ED"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C7F10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177026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6DA4B16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73,304</w:t>
            </w:r>
          </w:p>
        </w:tc>
        <w:tc>
          <w:tcPr>
            <w:tcW w:w="0" w:type="auto"/>
            <w:noWrap/>
            <w:vAlign w:val="center"/>
            <w:hideMark/>
          </w:tcPr>
          <w:p w14:paraId="6236201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37,054</w:t>
            </w:r>
          </w:p>
        </w:tc>
        <w:tc>
          <w:tcPr>
            <w:tcW w:w="0" w:type="auto"/>
            <w:noWrap/>
            <w:vAlign w:val="center"/>
            <w:hideMark/>
          </w:tcPr>
          <w:p w14:paraId="517A1FB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50.5%</w:t>
            </w:r>
          </w:p>
        </w:tc>
        <w:tc>
          <w:tcPr>
            <w:tcW w:w="0" w:type="auto"/>
            <w:noWrap/>
            <w:vAlign w:val="center"/>
            <w:hideMark/>
          </w:tcPr>
          <w:p w14:paraId="5520B2D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39,367</w:t>
            </w:r>
          </w:p>
        </w:tc>
        <w:tc>
          <w:tcPr>
            <w:tcW w:w="0" w:type="auto"/>
            <w:noWrap/>
            <w:vAlign w:val="center"/>
            <w:hideMark/>
          </w:tcPr>
          <w:p w14:paraId="627A7EE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53.7%</w:t>
            </w:r>
          </w:p>
        </w:tc>
        <w:tc>
          <w:tcPr>
            <w:tcW w:w="0" w:type="auto"/>
            <w:noWrap/>
            <w:vAlign w:val="center"/>
            <w:hideMark/>
          </w:tcPr>
          <w:p w14:paraId="1063741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1,673</w:t>
            </w:r>
          </w:p>
        </w:tc>
        <w:tc>
          <w:tcPr>
            <w:tcW w:w="0" w:type="auto"/>
            <w:noWrap/>
            <w:vAlign w:val="center"/>
            <w:hideMark/>
          </w:tcPr>
          <w:p w14:paraId="52690F6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w:t>
            </w:r>
          </w:p>
        </w:tc>
      </w:tr>
      <w:tr w:rsidR="00407705" w:rsidRPr="00105FFC" w14:paraId="60A7FAD2"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6622366"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DF4B69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300E14C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116,232</w:t>
            </w:r>
          </w:p>
        </w:tc>
        <w:tc>
          <w:tcPr>
            <w:tcW w:w="0" w:type="auto"/>
            <w:noWrap/>
            <w:vAlign w:val="center"/>
            <w:hideMark/>
          </w:tcPr>
          <w:p w14:paraId="273FE04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64,396</w:t>
            </w:r>
          </w:p>
        </w:tc>
        <w:tc>
          <w:tcPr>
            <w:tcW w:w="0" w:type="auto"/>
            <w:noWrap/>
            <w:vAlign w:val="center"/>
            <w:hideMark/>
          </w:tcPr>
          <w:p w14:paraId="588AB57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55.4%</w:t>
            </w:r>
          </w:p>
        </w:tc>
        <w:tc>
          <w:tcPr>
            <w:tcW w:w="0" w:type="auto"/>
            <w:noWrap/>
            <w:vAlign w:val="center"/>
            <w:hideMark/>
          </w:tcPr>
          <w:p w14:paraId="5C5F80B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67,520</w:t>
            </w:r>
          </w:p>
        </w:tc>
        <w:tc>
          <w:tcPr>
            <w:tcW w:w="0" w:type="auto"/>
            <w:noWrap/>
            <w:vAlign w:val="center"/>
            <w:hideMark/>
          </w:tcPr>
          <w:p w14:paraId="56DB114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58.1%</w:t>
            </w:r>
          </w:p>
        </w:tc>
        <w:tc>
          <w:tcPr>
            <w:tcW w:w="0" w:type="auto"/>
            <w:noWrap/>
            <w:vAlign w:val="center"/>
            <w:hideMark/>
          </w:tcPr>
          <w:p w14:paraId="2D32AE3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3,285</w:t>
            </w:r>
          </w:p>
        </w:tc>
        <w:tc>
          <w:tcPr>
            <w:tcW w:w="0" w:type="auto"/>
            <w:noWrap/>
            <w:vAlign w:val="center"/>
            <w:hideMark/>
          </w:tcPr>
          <w:p w14:paraId="0C52D45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w:t>
            </w:r>
          </w:p>
        </w:tc>
      </w:tr>
      <w:tr w:rsidR="00407705" w:rsidRPr="00105FFC" w14:paraId="220BD561"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74E2A80"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CC12CA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19DB707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111,498</w:t>
            </w:r>
          </w:p>
        </w:tc>
        <w:tc>
          <w:tcPr>
            <w:tcW w:w="0" w:type="auto"/>
            <w:noWrap/>
            <w:vAlign w:val="center"/>
            <w:hideMark/>
          </w:tcPr>
          <w:p w14:paraId="127759A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58,854</w:t>
            </w:r>
          </w:p>
        </w:tc>
        <w:tc>
          <w:tcPr>
            <w:tcW w:w="0" w:type="auto"/>
            <w:noWrap/>
            <w:vAlign w:val="center"/>
            <w:hideMark/>
          </w:tcPr>
          <w:p w14:paraId="07B656C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52.8%</w:t>
            </w:r>
          </w:p>
        </w:tc>
        <w:tc>
          <w:tcPr>
            <w:tcW w:w="0" w:type="auto"/>
            <w:noWrap/>
            <w:vAlign w:val="center"/>
            <w:hideMark/>
          </w:tcPr>
          <w:p w14:paraId="792AAE6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61,738</w:t>
            </w:r>
          </w:p>
        </w:tc>
        <w:tc>
          <w:tcPr>
            <w:tcW w:w="0" w:type="auto"/>
            <w:noWrap/>
            <w:vAlign w:val="center"/>
            <w:hideMark/>
          </w:tcPr>
          <w:p w14:paraId="7570CD0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55.4%</w:t>
            </w:r>
          </w:p>
        </w:tc>
        <w:tc>
          <w:tcPr>
            <w:tcW w:w="0" w:type="auto"/>
            <w:noWrap/>
            <w:vAlign w:val="center"/>
            <w:hideMark/>
          </w:tcPr>
          <w:p w14:paraId="03756C5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2,830</w:t>
            </w:r>
          </w:p>
        </w:tc>
        <w:tc>
          <w:tcPr>
            <w:tcW w:w="0" w:type="auto"/>
            <w:noWrap/>
            <w:vAlign w:val="center"/>
            <w:hideMark/>
          </w:tcPr>
          <w:p w14:paraId="4AC927E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w:t>
            </w:r>
          </w:p>
        </w:tc>
      </w:tr>
      <w:tr w:rsidR="00407705" w:rsidRPr="00105FFC" w14:paraId="71590BF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B05C0A2"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6BBCAE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4D633D9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102,340</w:t>
            </w:r>
          </w:p>
        </w:tc>
        <w:tc>
          <w:tcPr>
            <w:tcW w:w="0" w:type="auto"/>
            <w:noWrap/>
            <w:vAlign w:val="center"/>
            <w:hideMark/>
          </w:tcPr>
          <w:p w14:paraId="733F46A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48,497</w:t>
            </w:r>
          </w:p>
        </w:tc>
        <w:tc>
          <w:tcPr>
            <w:tcW w:w="0" w:type="auto"/>
            <w:noWrap/>
            <w:vAlign w:val="center"/>
            <w:hideMark/>
          </w:tcPr>
          <w:p w14:paraId="5D86BC0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47.4%</w:t>
            </w:r>
          </w:p>
        </w:tc>
        <w:tc>
          <w:tcPr>
            <w:tcW w:w="0" w:type="auto"/>
            <w:noWrap/>
            <w:vAlign w:val="center"/>
            <w:hideMark/>
          </w:tcPr>
          <w:p w14:paraId="14E925E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51,704</w:t>
            </w:r>
          </w:p>
        </w:tc>
        <w:tc>
          <w:tcPr>
            <w:tcW w:w="0" w:type="auto"/>
            <w:noWrap/>
            <w:vAlign w:val="center"/>
            <w:hideMark/>
          </w:tcPr>
          <w:p w14:paraId="4F5FC6F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50.5%</w:t>
            </w:r>
          </w:p>
        </w:tc>
        <w:tc>
          <w:tcPr>
            <w:tcW w:w="0" w:type="auto"/>
            <w:noWrap/>
            <w:vAlign w:val="center"/>
            <w:hideMark/>
          </w:tcPr>
          <w:p w14:paraId="2860C67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1,786</w:t>
            </w:r>
          </w:p>
        </w:tc>
        <w:tc>
          <w:tcPr>
            <w:tcW w:w="0" w:type="auto"/>
            <w:noWrap/>
            <w:vAlign w:val="center"/>
            <w:hideMark/>
          </w:tcPr>
          <w:p w14:paraId="23AAFA8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w:t>
            </w:r>
          </w:p>
        </w:tc>
      </w:tr>
      <w:tr w:rsidR="00407705" w:rsidRPr="00105FFC" w14:paraId="3455B53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02BF7A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31C909C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0889DD8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128,051</w:t>
            </w:r>
          </w:p>
        </w:tc>
        <w:tc>
          <w:tcPr>
            <w:tcW w:w="0" w:type="auto"/>
            <w:noWrap/>
            <w:vAlign w:val="center"/>
            <w:hideMark/>
          </w:tcPr>
          <w:p w14:paraId="2C048D6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50,755</w:t>
            </w:r>
          </w:p>
        </w:tc>
        <w:tc>
          <w:tcPr>
            <w:tcW w:w="0" w:type="auto"/>
            <w:noWrap/>
            <w:vAlign w:val="center"/>
            <w:hideMark/>
          </w:tcPr>
          <w:p w14:paraId="45B0E6C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39.6%</w:t>
            </w:r>
          </w:p>
        </w:tc>
        <w:tc>
          <w:tcPr>
            <w:tcW w:w="0" w:type="auto"/>
            <w:noWrap/>
            <w:vAlign w:val="center"/>
            <w:hideMark/>
          </w:tcPr>
          <w:p w14:paraId="2E925C0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57,401</w:t>
            </w:r>
          </w:p>
        </w:tc>
        <w:tc>
          <w:tcPr>
            <w:tcW w:w="0" w:type="auto"/>
            <w:noWrap/>
            <w:vAlign w:val="center"/>
            <w:hideMark/>
          </w:tcPr>
          <w:p w14:paraId="3FE0419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44.8%</w:t>
            </w:r>
          </w:p>
        </w:tc>
        <w:tc>
          <w:tcPr>
            <w:tcW w:w="0" w:type="auto"/>
            <w:noWrap/>
            <w:vAlign w:val="center"/>
            <w:hideMark/>
          </w:tcPr>
          <w:p w14:paraId="1940422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1,810</w:t>
            </w:r>
          </w:p>
        </w:tc>
        <w:tc>
          <w:tcPr>
            <w:tcW w:w="0" w:type="auto"/>
            <w:noWrap/>
            <w:vAlign w:val="center"/>
            <w:hideMark/>
          </w:tcPr>
          <w:p w14:paraId="513689E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w:t>
            </w:r>
          </w:p>
        </w:tc>
      </w:tr>
      <w:tr w:rsidR="00407705" w:rsidRPr="00105FFC" w14:paraId="453E1D0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716E031"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3A39B6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568CC17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50,639</w:t>
            </w:r>
          </w:p>
        </w:tc>
        <w:tc>
          <w:tcPr>
            <w:tcW w:w="0" w:type="auto"/>
            <w:noWrap/>
            <w:vAlign w:val="center"/>
            <w:hideMark/>
          </w:tcPr>
          <w:p w14:paraId="70E5C06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13,009</w:t>
            </w:r>
          </w:p>
        </w:tc>
        <w:tc>
          <w:tcPr>
            <w:tcW w:w="0" w:type="auto"/>
            <w:noWrap/>
            <w:vAlign w:val="center"/>
            <w:hideMark/>
          </w:tcPr>
          <w:p w14:paraId="3913EE2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25.7%</w:t>
            </w:r>
          </w:p>
        </w:tc>
        <w:tc>
          <w:tcPr>
            <w:tcW w:w="0" w:type="auto"/>
            <w:noWrap/>
            <w:vAlign w:val="center"/>
            <w:hideMark/>
          </w:tcPr>
          <w:p w14:paraId="4CA48FB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16,104</w:t>
            </w:r>
          </w:p>
        </w:tc>
        <w:tc>
          <w:tcPr>
            <w:tcW w:w="0" w:type="auto"/>
            <w:noWrap/>
            <w:vAlign w:val="center"/>
            <w:hideMark/>
          </w:tcPr>
          <w:p w14:paraId="6029F36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31.8%</w:t>
            </w:r>
          </w:p>
        </w:tc>
        <w:tc>
          <w:tcPr>
            <w:tcW w:w="0" w:type="auto"/>
            <w:noWrap/>
            <w:vAlign w:val="center"/>
            <w:hideMark/>
          </w:tcPr>
          <w:p w14:paraId="446BE91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460</w:t>
            </w:r>
          </w:p>
        </w:tc>
        <w:tc>
          <w:tcPr>
            <w:tcW w:w="0" w:type="auto"/>
            <w:noWrap/>
            <w:vAlign w:val="center"/>
            <w:hideMark/>
          </w:tcPr>
          <w:p w14:paraId="7ADB2C4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0.9%</w:t>
            </w:r>
          </w:p>
        </w:tc>
      </w:tr>
      <w:tr w:rsidR="00407705" w:rsidRPr="00105FFC" w14:paraId="04C9DD78"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AEC2D71"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198461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59C55B2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698,537</w:t>
            </w:r>
          </w:p>
        </w:tc>
        <w:tc>
          <w:tcPr>
            <w:tcW w:w="0" w:type="auto"/>
            <w:noWrap/>
            <w:vAlign w:val="center"/>
            <w:hideMark/>
          </w:tcPr>
          <w:p w14:paraId="034805D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296,089</w:t>
            </w:r>
          </w:p>
        </w:tc>
        <w:tc>
          <w:tcPr>
            <w:tcW w:w="0" w:type="auto"/>
            <w:noWrap/>
            <w:vAlign w:val="center"/>
            <w:hideMark/>
          </w:tcPr>
          <w:p w14:paraId="7D142AC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42.4%</w:t>
            </w:r>
          </w:p>
        </w:tc>
        <w:tc>
          <w:tcPr>
            <w:tcW w:w="0" w:type="auto"/>
            <w:noWrap/>
            <w:vAlign w:val="center"/>
            <w:hideMark/>
          </w:tcPr>
          <w:p w14:paraId="09B9AD7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320,885</w:t>
            </w:r>
          </w:p>
        </w:tc>
        <w:tc>
          <w:tcPr>
            <w:tcW w:w="0" w:type="auto"/>
            <w:noWrap/>
            <w:vAlign w:val="center"/>
            <w:hideMark/>
          </w:tcPr>
          <w:p w14:paraId="3340C6B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45.9%</w:t>
            </w:r>
          </w:p>
        </w:tc>
        <w:tc>
          <w:tcPr>
            <w:tcW w:w="0" w:type="auto"/>
            <w:noWrap/>
            <w:vAlign w:val="center"/>
            <w:hideMark/>
          </w:tcPr>
          <w:p w14:paraId="5714001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13,397</w:t>
            </w:r>
          </w:p>
        </w:tc>
        <w:tc>
          <w:tcPr>
            <w:tcW w:w="0" w:type="auto"/>
            <w:noWrap/>
            <w:vAlign w:val="center"/>
            <w:hideMark/>
          </w:tcPr>
          <w:p w14:paraId="3554799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1.9%</w:t>
            </w:r>
          </w:p>
        </w:tc>
      </w:tr>
      <w:tr w:rsidR="00407705" w:rsidRPr="00105FFC" w14:paraId="61549917"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4F41F3DF"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Kern</w:t>
            </w:r>
          </w:p>
        </w:tc>
        <w:tc>
          <w:tcPr>
            <w:tcW w:w="0" w:type="auto"/>
            <w:noWrap/>
            <w:vAlign w:val="center"/>
            <w:hideMark/>
          </w:tcPr>
          <w:p w14:paraId="3035A37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14CC732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29,549</w:t>
            </w:r>
          </w:p>
        </w:tc>
        <w:tc>
          <w:tcPr>
            <w:tcW w:w="0" w:type="auto"/>
            <w:noWrap/>
            <w:vAlign w:val="center"/>
            <w:hideMark/>
          </w:tcPr>
          <w:p w14:paraId="0269989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8,428</w:t>
            </w:r>
          </w:p>
        </w:tc>
        <w:tc>
          <w:tcPr>
            <w:tcW w:w="0" w:type="auto"/>
            <w:noWrap/>
            <w:vAlign w:val="center"/>
            <w:hideMark/>
          </w:tcPr>
          <w:p w14:paraId="280FF6B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28.5%</w:t>
            </w:r>
          </w:p>
        </w:tc>
        <w:tc>
          <w:tcPr>
            <w:tcW w:w="0" w:type="auto"/>
            <w:noWrap/>
            <w:vAlign w:val="center"/>
            <w:hideMark/>
          </w:tcPr>
          <w:p w14:paraId="077932E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9,427</w:t>
            </w:r>
          </w:p>
        </w:tc>
        <w:tc>
          <w:tcPr>
            <w:tcW w:w="0" w:type="auto"/>
            <w:noWrap/>
            <w:vAlign w:val="center"/>
            <w:hideMark/>
          </w:tcPr>
          <w:p w14:paraId="4FA2F05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31.9%</w:t>
            </w:r>
          </w:p>
        </w:tc>
        <w:tc>
          <w:tcPr>
            <w:tcW w:w="0" w:type="auto"/>
            <w:noWrap/>
            <w:vAlign w:val="center"/>
            <w:hideMark/>
          </w:tcPr>
          <w:p w14:paraId="38EBB97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762</w:t>
            </w:r>
          </w:p>
        </w:tc>
        <w:tc>
          <w:tcPr>
            <w:tcW w:w="0" w:type="auto"/>
            <w:noWrap/>
            <w:vAlign w:val="center"/>
            <w:hideMark/>
          </w:tcPr>
          <w:p w14:paraId="4637AF8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w:t>
            </w:r>
          </w:p>
        </w:tc>
      </w:tr>
      <w:tr w:rsidR="00407705" w:rsidRPr="00105FFC" w14:paraId="6C6E2855"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581EE29"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49A567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0FF3D63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18,344</w:t>
            </w:r>
          </w:p>
        </w:tc>
        <w:tc>
          <w:tcPr>
            <w:tcW w:w="0" w:type="auto"/>
            <w:noWrap/>
            <w:vAlign w:val="center"/>
            <w:hideMark/>
          </w:tcPr>
          <w:p w14:paraId="186DE4A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10,965</w:t>
            </w:r>
          </w:p>
        </w:tc>
        <w:tc>
          <w:tcPr>
            <w:tcW w:w="0" w:type="auto"/>
            <w:noWrap/>
            <w:vAlign w:val="center"/>
            <w:hideMark/>
          </w:tcPr>
          <w:p w14:paraId="4AE9D15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59.8%</w:t>
            </w:r>
          </w:p>
        </w:tc>
        <w:tc>
          <w:tcPr>
            <w:tcW w:w="0" w:type="auto"/>
            <w:noWrap/>
            <w:vAlign w:val="center"/>
            <w:hideMark/>
          </w:tcPr>
          <w:p w14:paraId="07115F1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11,736</w:t>
            </w:r>
          </w:p>
        </w:tc>
        <w:tc>
          <w:tcPr>
            <w:tcW w:w="0" w:type="auto"/>
            <w:noWrap/>
            <w:vAlign w:val="center"/>
            <w:hideMark/>
          </w:tcPr>
          <w:p w14:paraId="407A80D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64.0%</w:t>
            </w:r>
          </w:p>
        </w:tc>
        <w:tc>
          <w:tcPr>
            <w:tcW w:w="0" w:type="auto"/>
            <w:noWrap/>
            <w:vAlign w:val="center"/>
            <w:hideMark/>
          </w:tcPr>
          <w:p w14:paraId="36ADF03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695</w:t>
            </w:r>
          </w:p>
        </w:tc>
        <w:tc>
          <w:tcPr>
            <w:tcW w:w="0" w:type="auto"/>
            <w:noWrap/>
            <w:vAlign w:val="center"/>
            <w:hideMark/>
          </w:tcPr>
          <w:p w14:paraId="49E4DFE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w:t>
            </w:r>
          </w:p>
        </w:tc>
      </w:tr>
      <w:tr w:rsidR="00407705" w:rsidRPr="00105FFC" w14:paraId="44321FAE"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90E4468"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363299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5E40521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28,459</w:t>
            </w:r>
          </w:p>
        </w:tc>
        <w:tc>
          <w:tcPr>
            <w:tcW w:w="0" w:type="auto"/>
            <w:noWrap/>
            <w:vAlign w:val="center"/>
            <w:hideMark/>
          </w:tcPr>
          <w:p w14:paraId="6499FEF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17,191</w:t>
            </w:r>
          </w:p>
        </w:tc>
        <w:tc>
          <w:tcPr>
            <w:tcW w:w="0" w:type="auto"/>
            <w:noWrap/>
            <w:vAlign w:val="center"/>
            <w:hideMark/>
          </w:tcPr>
          <w:p w14:paraId="02D735E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60.4%</w:t>
            </w:r>
          </w:p>
        </w:tc>
        <w:tc>
          <w:tcPr>
            <w:tcW w:w="0" w:type="auto"/>
            <w:noWrap/>
            <w:vAlign w:val="center"/>
            <w:hideMark/>
          </w:tcPr>
          <w:p w14:paraId="153CAA0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17,992</w:t>
            </w:r>
          </w:p>
        </w:tc>
        <w:tc>
          <w:tcPr>
            <w:tcW w:w="0" w:type="auto"/>
            <w:noWrap/>
            <w:vAlign w:val="center"/>
            <w:hideMark/>
          </w:tcPr>
          <w:p w14:paraId="53539BB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63.2%</w:t>
            </w:r>
          </w:p>
        </w:tc>
        <w:tc>
          <w:tcPr>
            <w:tcW w:w="0" w:type="auto"/>
            <w:noWrap/>
            <w:vAlign w:val="center"/>
            <w:hideMark/>
          </w:tcPr>
          <w:p w14:paraId="4989D62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1,037</w:t>
            </w:r>
          </w:p>
        </w:tc>
        <w:tc>
          <w:tcPr>
            <w:tcW w:w="0" w:type="auto"/>
            <w:noWrap/>
            <w:vAlign w:val="center"/>
            <w:hideMark/>
          </w:tcPr>
          <w:p w14:paraId="47E8AC9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w:t>
            </w:r>
          </w:p>
        </w:tc>
      </w:tr>
      <w:tr w:rsidR="00407705" w:rsidRPr="00105FFC" w14:paraId="06CF78A3"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1F63598"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D72EAD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6CA77BF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26,274</w:t>
            </w:r>
          </w:p>
        </w:tc>
        <w:tc>
          <w:tcPr>
            <w:tcW w:w="0" w:type="auto"/>
            <w:noWrap/>
            <w:vAlign w:val="center"/>
            <w:hideMark/>
          </w:tcPr>
          <w:p w14:paraId="704C82E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14,553</w:t>
            </w:r>
          </w:p>
        </w:tc>
        <w:tc>
          <w:tcPr>
            <w:tcW w:w="0" w:type="auto"/>
            <w:noWrap/>
            <w:vAlign w:val="center"/>
            <w:hideMark/>
          </w:tcPr>
          <w:p w14:paraId="4247E59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55.4%</w:t>
            </w:r>
          </w:p>
        </w:tc>
        <w:tc>
          <w:tcPr>
            <w:tcW w:w="0" w:type="auto"/>
            <w:noWrap/>
            <w:vAlign w:val="center"/>
            <w:hideMark/>
          </w:tcPr>
          <w:p w14:paraId="5B3E9DF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15,312</w:t>
            </w:r>
          </w:p>
        </w:tc>
        <w:tc>
          <w:tcPr>
            <w:tcW w:w="0" w:type="auto"/>
            <w:noWrap/>
            <w:vAlign w:val="center"/>
            <w:hideMark/>
          </w:tcPr>
          <w:p w14:paraId="0C3E6EE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58.3%</w:t>
            </w:r>
          </w:p>
        </w:tc>
        <w:tc>
          <w:tcPr>
            <w:tcW w:w="0" w:type="auto"/>
            <w:noWrap/>
            <w:vAlign w:val="center"/>
            <w:hideMark/>
          </w:tcPr>
          <w:p w14:paraId="5231AF3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969</w:t>
            </w:r>
          </w:p>
        </w:tc>
        <w:tc>
          <w:tcPr>
            <w:tcW w:w="0" w:type="auto"/>
            <w:noWrap/>
            <w:vAlign w:val="center"/>
            <w:hideMark/>
          </w:tcPr>
          <w:p w14:paraId="571CCC1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w:t>
            </w:r>
          </w:p>
        </w:tc>
      </w:tr>
      <w:tr w:rsidR="00407705" w:rsidRPr="00105FFC" w14:paraId="752FA7AC"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053C19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837409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4AB575D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23,414</w:t>
            </w:r>
          </w:p>
        </w:tc>
        <w:tc>
          <w:tcPr>
            <w:tcW w:w="0" w:type="auto"/>
            <w:noWrap/>
            <w:vAlign w:val="center"/>
            <w:hideMark/>
          </w:tcPr>
          <w:p w14:paraId="2E76673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11,124</w:t>
            </w:r>
          </w:p>
        </w:tc>
        <w:tc>
          <w:tcPr>
            <w:tcW w:w="0" w:type="auto"/>
            <w:noWrap/>
            <w:vAlign w:val="center"/>
            <w:hideMark/>
          </w:tcPr>
          <w:p w14:paraId="0F616B1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47.5%</w:t>
            </w:r>
          </w:p>
        </w:tc>
        <w:tc>
          <w:tcPr>
            <w:tcW w:w="0" w:type="auto"/>
            <w:noWrap/>
            <w:vAlign w:val="center"/>
            <w:hideMark/>
          </w:tcPr>
          <w:p w14:paraId="275706B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12,071</w:t>
            </w:r>
          </w:p>
        </w:tc>
        <w:tc>
          <w:tcPr>
            <w:tcW w:w="0" w:type="auto"/>
            <w:noWrap/>
            <w:vAlign w:val="center"/>
            <w:hideMark/>
          </w:tcPr>
          <w:p w14:paraId="50AA33E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51.6%</w:t>
            </w:r>
          </w:p>
        </w:tc>
        <w:tc>
          <w:tcPr>
            <w:tcW w:w="0" w:type="auto"/>
            <w:noWrap/>
            <w:vAlign w:val="center"/>
            <w:hideMark/>
          </w:tcPr>
          <w:p w14:paraId="2C9654C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868</w:t>
            </w:r>
          </w:p>
        </w:tc>
        <w:tc>
          <w:tcPr>
            <w:tcW w:w="0" w:type="auto"/>
            <w:noWrap/>
            <w:vAlign w:val="center"/>
            <w:hideMark/>
          </w:tcPr>
          <w:p w14:paraId="1E3F15A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w:t>
            </w:r>
          </w:p>
        </w:tc>
      </w:tr>
      <w:tr w:rsidR="00407705" w:rsidRPr="00105FFC" w14:paraId="64EE098B"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406E2A"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2CF24B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5FBF4F3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27,847</w:t>
            </w:r>
          </w:p>
        </w:tc>
        <w:tc>
          <w:tcPr>
            <w:tcW w:w="0" w:type="auto"/>
            <w:noWrap/>
            <w:vAlign w:val="center"/>
            <w:hideMark/>
          </w:tcPr>
          <w:p w14:paraId="494E3A8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10,548</w:t>
            </w:r>
          </w:p>
        </w:tc>
        <w:tc>
          <w:tcPr>
            <w:tcW w:w="0" w:type="auto"/>
            <w:noWrap/>
            <w:vAlign w:val="center"/>
            <w:hideMark/>
          </w:tcPr>
          <w:p w14:paraId="59277C0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37.9%</w:t>
            </w:r>
          </w:p>
        </w:tc>
        <w:tc>
          <w:tcPr>
            <w:tcW w:w="0" w:type="auto"/>
            <w:noWrap/>
            <w:vAlign w:val="center"/>
            <w:hideMark/>
          </w:tcPr>
          <w:p w14:paraId="5ACEA4A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12,444</w:t>
            </w:r>
          </w:p>
        </w:tc>
        <w:tc>
          <w:tcPr>
            <w:tcW w:w="0" w:type="auto"/>
            <w:noWrap/>
            <w:vAlign w:val="center"/>
            <w:hideMark/>
          </w:tcPr>
          <w:p w14:paraId="448ED79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44.7%</w:t>
            </w:r>
          </w:p>
        </w:tc>
        <w:tc>
          <w:tcPr>
            <w:tcW w:w="0" w:type="auto"/>
            <w:noWrap/>
            <w:vAlign w:val="center"/>
            <w:hideMark/>
          </w:tcPr>
          <w:p w14:paraId="36F23FB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1,029</w:t>
            </w:r>
          </w:p>
        </w:tc>
        <w:tc>
          <w:tcPr>
            <w:tcW w:w="0" w:type="auto"/>
            <w:noWrap/>
            <w:vAlign w:val="center"/>
            <w:hideMark/>
          </w:tcPr>
          <w:p w14:paraId="0682D9E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w:t>
            </w:r>
          </w:p>
        </w:tc>
      </w:tr>
      <w:tr w:rsidR="00407705" w:rsidRPr="00105FFC" w14:paraId="5B820DE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AF11428"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D9F034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484D458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10,817</w:t>
            </w:r>
          </w:p>
        </w:tc>
        <w:tc>
          <w:tcPr>
            <w:tcW w:w="0" w:type="auto"/>
            <w:noWrap/>
            <w:vAlign w:val="center"/>
            <w:hideMark/>
          </w:tcPr>
          <w:p w14:paraId="5770651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2,425</w:t>
            </w:r>
          </w:p>
        </w:tc>
        <w:tc>
          <w:tcPr>
            <w:tcW w:w="0" w:type="auto"/>
            <w:noWrap/>
            <w:vAlign w:val="center"/>
            <w:hideMark/>
          </w:tcPr>
          <w:p w14:paraId="0DE30D8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22.4%</w:t>
            </w:r>
          </w:p>
        </w:tc>
        <w:tc>
          <w:tcPr>
            <w:tcW w:w="0" w:type="auto"/>
            <w:noWrap/>
            <w:vAlign w:val="center"/>
            <w:hideMark/>
          </w:tcPr>
          <w:p w14:paraId="5A8ADCA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3,266</w:t>
            </w:r>
          </w:p>
        </w:tc>
        <w:tc>
          <w:tcPr>
            <w:tcW w:w="0" w:type="auto"/>
            <w:noWrap/>
            <w:vAlign w:val="center"/>
            <w:hideMark/>
          </w:tcPr>
          <w:p w14:paraId="1C3F6F4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30.2%</w:t>
            </w:r>
          </w:p>
        </w:tc>
        <w:tc>
          <w:tcPr>
            <w:tcW w:w="0" w:type="auto"/>
            <w:noWrap/>
            <w:vAlign w:val="center"/>
            <w:hideMark/>
          </w:tcPr>
          <w:p w14:paraId="489D89C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332</w:t>
            </w:r>
          </w:p>
        </w:tc>
        <w:tc>
          <w:tcPr>
            <w:tcW w:w="0" w:type="auto"/>
            <w:noWrap/>
            <w:vAlign w:val="center"/>
            <w:hideMark/>
          </w:tcPr>
          <w:p w14:paraId="5EBB88F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w:t>
            </w:r>
          </w:p>
        </w:tc>
      </w:tr>
      <w:tr w:rsidR="00407705" w:rsidRPr="00105FFC" w14:paraId="69F2ACA3"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75C03CD"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00AA1B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02EBE0C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164,704</w:t>
            </w:r>
          </w:p>
        </w:tc>
        <w:tc>
          <w:tcPr>
            <w:tcW w:w="0" w:type="auto"/>
            <w:noWrap/>
            <w:vAlign w:val="center"/>
            <w:hideMark/>
          </w:tcPr>
          <w:p w14:paraId="2E1BC5B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75,234</w:t>
            </w:r>
          </w:p>
        </w:tc>
        <w:tc>
          <w:tcPr>
            <w:tcW w:w="0" w:type="auto"/>
            <w:noWrap/>
            <w:vAlign w:val="center"/>
            <w:hideMark/>
          </w:tcPr>
          <w:p w14:paraId="7A7D65A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45.7%</w:t>
            </w:r>
          </w:p>
        </w:tc>
        <w:tc>
          <w:tcPr>
            <w:tcW w:w="0" w:type="auto"/>
            <w:noWrap/>
            <w:vAlign w:val="center"/>
            <w:hideMark/>
          </w:tcPr>
          <w:p w14:paraId="37B2D7B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82,248</w:t>
            </w:r>
          </w:p>
        </w:tc>
        <w:tc>
          <w:tcPr>
            <w:tcW w:w="0" w:type="auto"/>
            <w:noWrap/>
            <w:vAlign w:val="center"/>
            <w:hideMark/>
          </w:tcPr>
          <w:p w14:paraId="630B86E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49.9%</w:t>
            </w:r>
          </w:p>
        </w:tc>
        <w:tc>
          <w:tcPr>
            <w:tcW w:w="0" w:type="auto"/>
            <w:noWrap/>
            <w:vAlign w:val="center"/>
            <w:hideMark/>
          </w:tcPr>
          <w:p w14:paraId="4C429DC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5,692</w:t>
            </w:r>
          </w:p>
        </w:tc>
        <w:tc>
          <w:tcPr>
            <w:tcW w:w="0" w:type="auto"/>
            <w:noWrap/>
            <w:vAlign w:val="center"/>
            <w:hideMark/>
          </w:tcPr>
          <w:p w14:paraId="32AB1FE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3.5%</w:t>
            </w:r>
          </w:p>
        </w:tc>
      </w:tr>
      <w:tr w:rsidR="00407705" w:rsidRPr="00105FFC" w14:paraId="25431129"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1DD5E85F"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Los Angeles</w:t>
            </w:r>
          </w:p>
        </w:tc>
        <w:tc>
          <w:tcPr>
            <w:tcW w:w="0" w:type="auto"/>
            <w:noWrap/>
            <w:vAlign w:val="center"/>
            <w:hideMark/>
          </w:tcPr>
          <w:p w14:paraId="3240415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6618066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174,177</w:t>
            </w:r>
          </w:p>
        </w:tc>
        <w:tc>
          <w:tcPr>
            <w:tcW w:w="0" w:type="auto"/>
            <w:noWrap/>
            <w:vAlign w:val="center"/>
            <w:hideMark/>
          </w:tcPr>
          <w:p w14:paraId="42BAFFD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50,875</w:t>
            </w:r>
          </w:p>
        </w:tc>
        <w:tc>
          <w:tcPr>
            <w:tcW w:w="0" w:type="auto"/>
            <w:noWrap/>
            <w:vAlign w:val="center"/>
            <w:hideMark/>
          </w:tcPr>
          <w:p w14:paraId="1AF624E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29.2%</w:t>
            </w:r>
          </w:p>
        </w:tc>
        <w:tc>
          <w:tcPr>
            <w:tcW w:w="0" w:type="auto"/>
            <w:noWrap/>
            <w:vAlign w:val="center"/>
            <w:hideMark/>
          </w:tcPr>
          <w:p w14:paraId="6FF1F85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54,871</w:t>
            </w:r>
          </w:p>
        </w:tc>
        <w:tc>
          <w:tcPr>
            <w:tcW w:w="0" w:type="auto"/>
            <w:noWrap/>
            <w:vAlign w:val="center"/>
            <w:hideMark/>
          </w:tcPr>
          <w:p w14:paraId="30D2418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31.5%</w:t>
            </w:r>
          </w:p>
        </w:tc>
        <w:tc>
          <w:tcPr>
            <w:tcW w:w="0" w:type="auto"/>
            <w:noWrap/>
            <w:vAlign w:val="center"/>
            <w:hideMark/>
          </w:tcPr>
          <w:p w14:paraId="0D28E35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5,577</w:t>
            </w:r>
          </w:p>
        </w:tc>
        <w:tc>
          <w:tcPr>
            <w:tcW w:w="0" w:type="auto"/>
            <w:noWrap/>
            <w:vAlign w:val="center"/>
            <w:hideMark/>
          </w:tcPr>
          <w:p w14:paraId="74A6276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w:t>
            </w:r>
          </w:p>
        </w:tc>
      </w:tr>
      <w:tr w:rsidR="00407705" w:rsidRPr="00105FFC" w14:paraId="384D7752"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8F60AE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320D959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4E31835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107,766</w:t>
            </w:r>
          </w:p>
        </w:tc>
        <w:tc>
          <w:tcPr>
            <w:tcW w:w="0" w:type="auto"/>
            <w:noWrap/>
            <w:vAlign w:val="center"/>
            <w:hideMark/>
          </w:tcPr>
          <w:p w14:paraId="5C89BD7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66,457</w:t>
            </w:r>
          </w:p>
        </w:tc>
        <w:tc>
          <w:tcPr>
            <w:tcW w:w="0" w:type="auto"/>
            <w:noWrap/>
            <w:vAlign w:val="center"/>
            <w:hideMark/>
          </w:tcPr>
          <w:p w14:paraId="2B362B9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61.7%</w:t>
            </w:r>
          </w:p>
        </w:tc>
        <w:tc>
          <w:tcPr>
            <w:tcW w:w="0" w:type="auto"/>
            <w:noWrap/>
            <w:vAlign w:val="center"/>
            <w:hideMark/>
          </w:tcPr>
          <w:p w14:paraId="5832090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69,054</w:t>
            </w:r>
          </w:p>
        </w:tc>
        <w:tc>
          <w:tcPr>
            <w:tcW w:w="0" w:type="auto"/>
            <w:noWrap/>
            <w:vAlign w:val="center"/>
            <w:hideMark/>
          </w:tcPr>
          <w:p w14:paraId="129149F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64.1%</w:t>
            </w:r>
          </w:p>
        </w:tc>
        <w:tc>
          <w:tcPr>
            <w:tcW w:w="0" w:type="auto"/>
            <w:noWrap/>
            <w:vAlign w:val="center"/>
            <w:hideMark/>
          </w:tcPr>
          <w:p w14:paraId="6ACEEB8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3,052</w:t>
            </w:r>
          </w:p>
        </w:tc>
        <w:tc>
          <w:tcPr>
            <w:tcW w:w="0" w:type="auto"/>
            <w:noWrap/>
            <w:vAlign w:val="center"/>
            <w:hideMark/>
          </w:tcPr>
          <w:p w14:paraId="1F2DBA3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w:t>
            </w:r>
          </w:p>
        </w:tc>
      </w:tr>
      <w:tr w:rsidR="00407705" w:rsidRPr="00105FFC" w14:paraId="6A2FF1D4"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EE74621"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97A227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3D88740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173,745</w:t>
            </w:r>
          </w:p>
        </w:tc>
        <w:tc>
          <w:tcPr>
            <w:tcW w:w="0" w:type="auto"/>
            <w:noWrap/>
            <w:vAlign w:val="center"/>
            <w:hideMark/>
          </w:tcPr>
          <w:p w14:paraId="36D86A7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112,759</w:t>
            </w:r>
          </w:p>
        </w:tc>
        <w:tc>
          <w:tcPr>
            <w:tcW w:w="0" w:type="auto"/>
            <w:noWrap/>
            <w:vAlign w:val="center"/>
            <w:hideMark/>
          </w:tcPr>
          <w:p w14:paraId="27783D7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64.9%</w:t>
            </w:r>
          </w:p>
        </w:tc>
        <w:tc>
          <w:tcPr>
            <w:tcW w:w="0" w:type="auto"/>
            <w:noWrap/>
            <w:vAlign w:val="center"/>
            <w:hideMark/>
          </w:tcPr>
          <w:p w14:paraId="4ADB55A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116,092</w:t>
            </w:r>
          </w:p>
        </w:tc>
        <w:tc>
          <w:tcPr>
            <w:tcW w:w="0" w:type="auto"/>
            <w:noWrap/>
            <w:vAlign w:val="center"/>
            <w:hideMark/>
          </w:tcPr>
          <w:p w14:paraId="5B71A37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66.8%</w:t>
            </w:r>
          </w:p>
        </w:tc>
        <w:tc>
          <w:tcPr>
            <w:tcW w:w="0" w:type="auto"/>
            <w:noWrap/>
            <w:vAlign w:val="center"/>
            <w:hideMark/>
          </w:tcPr>
          <w:p w14:paraId="3198BDC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3,296</w:t>
            </w:r>
          </w:p>
        </w:tc>
        <w:tc>
          <w:tcPr>
            <w:tcW w:w="0" w:type="auto"/>
            <w:noWrap/>
            <w:vAlign w:val="center"/>
            <w:hideMark/>
          </w:tcPr>
          <w:p w14:paraId="4BB497C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w:t>
            </w:r>
          </w:p>
        </w:tc>
      </w:tr>
      <w:tr w:rsidR="00407705" w:rsidRPr="00105FFC" w14:paraId="2C77C544"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C5D3CDD"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FF4C4E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5C31900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163,794</w:t>
            </w:r>
          </w:p>
        </w:tc>
        <w:tc>
          <w:tcPr>
            <w:tcW w:w="0" w:type="auto"/>
            <w:noWrap/>
            <w:vAlign w:val="center"/>
            <w:hideMark/>
          </w:tcPr>
          <w:p w14:paraId="746E4CE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100,957</w:t>
            </w:r>
          </w:p>
        </w:tc>
        <w:tc>
          <w:tcPr>
            <w:tcW w:w="0" w:type="auto"/>
            <w:noWrap/>
            <w:vAlign w:val="center"/>
            <w:hideMark/>
          </w:tcPr>
          <w:p w14:paraId="4689324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61.6%</w:t>
            </w:r>
          </w:p>
        </w:tc>
        <w:tc>
          <w:tcPr>
            <w:tcW w:w="0" w:type="auto"/>
            <w:noWrap/>
            <w:vAlign w:val="center"/>
            <w:hideMark/>
          </w:tcPr>
          <w:p w14:paraId="1859B6A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104,095</w:t>
            </w:r>
          </w:p>
        </w:tc>
        <w:tc>
          <w:tcPr>
            <w:tcW w:w="0" w:type="auto"/>
            <w:noWrap/>
            <w:vAlign w:val="center"/>
            <w:hideMark/>
          </w:tcPr>
          <w:p w14:paraId="44C1636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63.6%</w:t>
            </w:r>
          </w:p>
        </w:tc>
        <w:tc>
          <w:tcPr>
            <w:tcW w:w="0" w:type="auto"/>
            <w:noWrap/>
            <w:vAlign w:val="center"/>
            <w:hideMark/>
          </w:tcPr>
          <w:p w14:paraId="4A1084B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2,615</w:t>
            </w:r>
          </w:p>
        </w:tc>
        <w:tc>
          <w:tcPr>
            <w:tcW w:w="0" w:type="auto"/>
            <w:noWrap/>
            <w:vAlign w:val="center"/>
            <w:hideMark/>
          </w:tcPr>
          <w:p w14:paraId="76BF85A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w:t>
            </w:r>
          </w:p>
        </w:tc>
      </w:tr>
      <w:tr w:rsidR="00407705" w:rsidRPr="00105FFC" w14:paraId="32B30C26"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9D79AF2"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F5FF63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0F74FCE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148,811</w:t>
            </w:r>
          </w:p>
        </w:tc>
        <w:tc>
          <w:tcPr>
            <w:tcW w:w="0" w:type="auto"/>
            <w:noWrap/>
            <w:vAlign w:val="center"/>
            <w:hideMark/>
          </w:tcPr>
          <w:p w14:paraId="16165BB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81,558</w:t>
            </w:r>
          </w:p>
        </w:tc>
        <w:tc>
          <w:tcPr>
            <w:tcW w:w="0" w:type="auto"/>
            <w:noWrap/>
            <w:vAlign w:val="center"/>
            <w:hideMark/>
          </w:tcPr>
          <w:p w14:paraId="72C87D3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54.8%</w:t>
            </w:r>
          </w:p>
        </w:tc>
        <w:tc>
          <w:tcPr>
            <w:tcW w:w="0" w:type="auto"/>
            <w:noWrap/>
            <w:vAlign w:val="center"/>
            <w:hideMark/>
          </w:tcPr>
          <w:p w14:paraId="1078F17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85,419</w:t>
            </w:r>
          </w:p>
        </w:tc>
        <w:tc>
          <w:tcPr>
            <w:tcW w:w="0" w:type="auto"/>
            <w:noWrap/>
            <w:vAlign w:val="center"/>
            <w:hideMark/>
          </w:tcPr>
          <w:p w14:paraId="0AD327B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57.4%</w:t>
            </w:r>
          </w:p>
        </w:tc>
        <w:tc>
          <w:tcPr>
            <w:tcW w:w="0" w:type="auto"/>
            <w:noWrap/>
            <w:vAlign w:val="center"/>
            <w:hideMark/>
          </w:tcPr>
          <w:p w14:paraId="61A82D2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2,158</w:t>
            </w:r>
          </w:p>
        </w:tc>
        <w:tc>
          <w:tcPr>
            <w:tcW w:w="0" w:type="auto"/>
            <w:noWrap/>
            <w:vAlign w:val="center"/>
            <w:hideMark/>
          </w:tcPr>
          <w:p w14:paraId="0BD9843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w:t>
            </w:r>
          </w:p>
        </w:tc>
      </w:tr>
      <w:tr w:rsidR="00407705" w:rsidRPr="00105FFC" w14:paraId="24BEE3FB"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9E5EE8A"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4FCEAB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15C54C5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190,807</w:t>
            </w:r>
          </w:p>
        </w:tc>
        <w:tc>
          <w:tcPr>
            <w:tcW w:w="0" w:type="auto"/>
            <w:noWrap/>
            <w:vAlign w:val="center"/>
            <w:hideMark/>
          </w:tcPr>
          <w:p w14:paraId="4D0F7C7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83,710</w:t>
            </w:r>
          </w:p>
        </w:tc>
        <w:tc>
          <w:tcPr>
            <w:tcW w:w="0" w:type="auto"/>
            <w:noWrap/>
            <w:vAlign w:val="center"/>
            <w:hideMark/>
          </w:tcPr>
          <w:p w14:paraId="6627355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43.9%</w:t>
            </w:r>
          </w:p>
        </w:tc>
        <w:tc>
          <w:tcPr>
            <w:tcW w:w="0" w:type="auto"/>
            <w:noWrap/>
            <w:vAlign w:val="center"/>
            <w:hideMark/>
          </w:tcPr>
          <w:p w14:paraId="0936A02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91,972</w:t>
            </w:r>
          </w:p>
        </w:tc>
        <w:tc>
          <w:tcPr>
            <w:tcW w:w="0" w:type="auto"/>
            <w:noWrap/>
            <w:vAlign w:val="center"/>
            <w:hideMark/>
          </w:tcPr>
          <w:p w14:paraId="0FAAC59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48.2%</w:t>
            </w:r>
          </w:p>
        </w:tc>
        <w:tc>
          <w:tcPr>
            <w:tcW w:w="0" w:type="auto"/>
            <w:noWrap/>
            <w:vAlign w:val="center"/>
            <w:hideMark/>
          </w:tcPr>
          <w:p w14:paraId="256A3DD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2,730</w:t>
            </w:r>
          </w:p>
        </w:tc>
        <w:tc>
          <w:tcPr>
            <w:tcW w:w="0" w:type="auto"/>
            <w:noWrap/>
            <w:vAlign w:val="center"/>
            <w:hideMark/>
          </w:tcPr>
          <w:p w14:paraId="77D4409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w:t>
            </w:r>
          </w:p>
        </w:tc>
      </w:tr>
      <w:tr w:rsidR="00407705" w:rsidRPr="00105FFC" w14:paraId="3F999FA9"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A3CE93A"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DCC362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3E45649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81,890</w:t>
            </w:r>
          </w:p>
        </w:tc>
        <w:tc>
          <w:tcPr>
            <w:tcW w:w="0" w:type="auto"/>
            <w:noWrap/>
            <w:vAlign w:val="center"/>
            <w:hideMark/>
          </w:tcPr>
          <w:p w14:paraId="073084B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22,839</w:t>
            </w:r>
          </w:p>
        </w:tc>
        <w:tc>
          <w:tcPr>
            <w:tcW w:w="0" w:type="auto"/>
            <w:noWrap/>
            <w:vAlign w:val="center"/>
            <w:hideMark/>
          </w:tcPr>
          <w:p w14:paraId="6B6133F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27.9%</w:t>
            </w:r>
          </w:p>
        </w:tc>
        <w:tc>
          <w:tcPr>
            <w:tcW w:w="0" w:type="auto"/>
            <w:noWrap/>
            <w:vAlign w:val="center"/>
            <w:hideMark/>
          </w:tcPr>
          <w:p w14:paraId="0B13FE8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27,132</w:t>
            </w:r>
          </w:p>
        </w:tc>
        <w:tc>
          <w:tcPr>
            <w:tcW w:w="0" w:type="auto"/>
            <w:noWrap/>
            <w:vAlign w:val="center"/>
            <w:hideMark/>
          </w:tcPr>
          <w:p w14:paraId="19191D1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33.1%</w:t>
            </w:r>
          </w:p>
        </w:tc>
        <w:tc>
          <w:tcPr>
            <w:tcW w:w="0" w:type="auto"/>
            <w:noWrap/>
            <w:vAlign w:val="center"/>
            <w:hideMark/>
          </w:tcPr>
          <w:p w14:paraId="737E128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881</w:t>
            </w:r>
          </w:p>
        </w:tc>
        <w:tc>
          <w:tcPr>
            <w:tcW w:w="0" w:type="auto"/>
            <w:noWrap/>
            <w:vAlign w:val="center"/>
            <w:hideMark/>
          </w:tcPr>
          <w:p w14:paraId="469AE6E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w:t>
            </w:r>
          </w:p>
        </w:tc>
      </w:tr>
      <w:tr w:rsidR="00407705" w:rsidRPr="00105FFC" w14:paraId="1A75F2A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38EEB84"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CEDE79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6DDB68D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1,040,990</w:t>
            </w:r>
          </w:p>
        </w:tc>
        <w:tc>
          <w:tcPr>
            <w:tcW w:w="0" w:type="auto"/>
            <w:noWrap/>
            <w:vAlign w:val="center"/>
            <w:hideMark/>
          </w:tcPr>
          <w:p w14:paraId="1553100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519,155</w:t>
            </w:r>
          </w:p>
        </w:tc>
        <w:tc>
          <w:tcPr>
            <w:tcW w:w="0" w:type="auto"/>
            <w:noWrap/>
            <w:vAlign w:val="center"/>
            <w:hideMark/>
          </w:tcPr>
          <w:p w14:paraId="2E99938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49.9%</w:t>
            </w:r>
          </w:p>
        </w:tc>
        <w:tc>
          <w:tcPr>
            <w:tcW w:w="0" w:type="auto"/>
            <w:noWrap/>
            <w:vAlign w:val="center"/>
            <w:hideMark/>
          </w:tcPr>
          <w:p w14:paraId="54BCD55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548,635</w:t>
            </w:r>
          </w:p>
        </w:tc>
        <w:tc>
          <w:tcPr>
            <w:tcW w:w="0" w:type="auto"/>
            <w:noWrap/>
            <w:vAlign w:val="center"/>
            <w:hideMark/>
          </w:tcPr>
          <w:p w14:paraId="6B505E4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52.7%</w:t>
            </w:r>
          </w:p>
        </w:tc>
        <w:tc>
          <w:tcPr>
            <w:tcW w:w="0" w:type="auto"/>
            <w:noWrap/>
            <w:vAlign w:val="center"/>
            <w:hideMark/>
          </w:tcPr>
          <w:p w14:paraId="053D286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20,309</w:t>
            </w:r>
          </w:p>
        </w:tc>
        <w:tc>
          <w:tcPr>
            <w:tcW w:w="0" w:type="auto"/>
            <w:noWrap/>
            <w:vAlign w:val="center"/>
            <w:hideMark/>
          </w:tcPr>
          <w:p w14:paraId="1642C46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2.0%</w:t>
            </w:r>
          </w:p>
        </w:tc>
      </w:tr>
      <w:tr w:rsidR="00407705" w:rsidRPr="00105FFC" w14:paraId="3D3CE146"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39EB73FF"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North Bay</w:t>
            </w:r>
          </w:p>
        </w:tc>
        <w:tc>
          <w:tcPr>
            <w:tcW w:w="0" w:type="auto"/>
            <w:noWrap/>
            <w:vAlign w:val="center"/>
            <w:hideMark/>
          </w:tcPr>
          <w:p w14:paraId="18CDCA5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29D92BA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19,751</w:t>
            </w:r>
          </w:p>
        </w:tc>
        <w:tc>
          <w:tcPr>
            <w:tcW w:w="0" w:type="auto"/>
            <w:noWrap/>
            <w:vAlign w:val="center"/>
            <w:hideMark/>
          </w:tcPr>
          <w:p w14:paraId="0B6B6AC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2,624</w:t>
            </w:r>
          </w:p>
        </w:tc>
        <w:tc>
          <w:tcPr>
            <w:tcW w:w="0" w:type="auto"/>
            <w:noWrap/>
            <w:vAlign w:val="center"/>
            <w:hideMark/>
          </w:tcPr>
          <w:p w14:paraId="32ECED8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13.3%</w:t>
            </w:r>
          </w:p>
        </w:tc>
        <w:tc>
          <w:tcPr>
            <w:tcW w:w="0" w:type="auto"/>
            <w:noWrap/>
            <w:vAlign w:val="center"/>
            <w:hideMark/>
          </w:tcPr>
          <w:p w14:paraId="466015B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3,120</w:t>
            </w:r>
          </w:p>
        </w:tc>
        <w:tc>
          <w:tcPr>
            <w:tcW w:w="0" w:type="auto"/>
            <w:noWrap/>
            <w:vAlign w:val="center"/>
            <w:hideMark/>
          </w:tcPr>
          <w:p w14:paraId="6F2E4C5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15.8%</w:t>
            </w:r>
          </w:p>
        </w:tc>
        <w:tc>
          <w:tcPr>
            <w:tcW w:w="0" w:type="auto"/>
            <w:noWrap/>
            <w:vAlign w:val="center"/>
            <w:hideMark/>
          </w:tcPr>
          <w:p w14:paraId="5E32D82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4,721</w:t>
            </w:r>
          </w:p>
        </w:tc>
        <w:tc>
          <w:tcPr>
            <w:tcW w:w="0" w:type="auto"/>
            <w:noWrap/>
            <w:vAlign w:val="center"/>
            <w:hideMark/>
          </w:tcPr>
          <w:p w14:paraId="5F9A4B0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23.9%</w:t>
            </w:r>
          </w:p>
        </w:tc>
      </w:tr>
      <w:tr w:rsidR="00407705" w:rsidRPr="00105FFC" w14:paraId="24DD2157"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39B07D4"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D88423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7F60BE3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13,088</w:t>
            </w:r>
          </w:p>
        </w:tc>
        <w:tc>
          <w:tcPr>
            <w:tcW w:w="0" w:type="auto"/>
            <w:noWrap/>
            <w:vAlign w:val="center"/>
            <w:hideMark/>
          </w:tcPr>
          <w:p w14:paraId="3D6D874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3,579</w:t>
            </w:r>
          </w:p>
        </w:tc>
        <w:tc>
          <w:tcPr>
            <w:tcW w:w="0" w:type="auto"/>
            <w:noWrap/>
            <w:vAlign w:val="center"/>
            <w:hideMark/>
          </w:tcPr>
          <w:p w14:paraId="2DEBF6E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27.3%</w:t>
            </w:r>
          </w:p>
        </w:tc>
        <w:tc>
          <w:tcPr>
            <w:tcW w:w="0" w:type="auto"/>
            <w:noWrap/>
            <w:vAlign w:val="center"/>
            <w:hideMark/>
          </w:tcPr>
          <w:p w14:paraId="506CC22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3,865</w:t>
            </w:r>
          </w:p>
        </w:tc>
        <w:tc>
          <w:tcPr>
            <w:tcW w:w="0" w:type="auto"/>
            <w:noWrap/>
            <w:vAlign w:val="center"/>
            <w:hideMark/>
          </w:tcPr>
          <w:p w14:paraId="77614D1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29.5%</w:t>
            </w:r>
          </w:p>
        </w:tc>
        <w:tc>
          <w:tcPr>
            <w:tcW w:w="0" w:type="auto"/>
            <w:noWrap/>
            <w:vAlign w:val="center"/>
            <w:hideMark/>
          </w:tcPr>
          <w:p w14:paraId="6AD8A13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4,058</w:t>
            </w:r>
          </w:p>
        </w:tc>
        <w:tc>
          <w:tcPr>
            <w:tcW w:w="0" w:type="auto"/>
            <w:noWrap/>
            <w:vAlign w:val="center"/>
            <w:hideMark/>
          </w:tcPr>
          <w:p w14:paraId="13AE681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31.0%</w:t>
            </w:r>
          </w:p>
        </w:tc>
      </w:tr>
      <w:tr w:rsidR="00407705" w:rsidRPr="00105FFC" w14:paraId="263BE768"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254C34C"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8D5196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423C08E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20,785</w:t>
            </w:r>
          </w:p>
        </w:tc>
        <w:tc>
          <w:tcPr>
            <w:tcW w:w="0" w:type="auto"/>
            <w:noWrap/>
            <w:vAlign w:val="center"/>
            <w:hideMark/>
          </w:tcPr>
          <w:p w14:paraId="142ECEF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6,020</w:t>
            </w:r>
          </w:p>
        </w:tc>
        <w:tc>
          <w:tcPr>
            <w:tcW w:w="0" w:type="auto"/>
            <w:noWrap/>
            <w:vAlign w:val="center"/>
            <w:hideMark/>
          </w:tcPr>
          <w:p w14:paraId="62C6273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29.0%</w:t>
            </w:r>
          </w:p>
        </w:tc>
        <w:tc>
          <w:tcPr>
            <w:tcW w:w="0" w:type="auto"/>
            <w:noWrap/>
            <w:vAlign w:val="center"/>
            <w:hideMark/>
          </w:tcPr>
          <w:p w14:paraId="66DBCBF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6,376</w:t>
            </w:r>
          </w:p>
        </w:tc>
        <w:tc>
          <w:tcPr>
            <w:tcW w:w="0" w:type="auto"/>
            <w:noWrap/>
            <w:vAlign w:val="center"/>
            <w:hideMark/>
          </w:tcPr>
          <w:p w14:paraId="192B974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30.7%</w:t>
            </w:r>
          </w:p>
        </w:tc>
        <w:tc>
          <w:tcPr>
            <w:tcW w:w="0" w:type="auto"/>
            <w:noWrap/>
            <w:vAlign w:val="center"/>
            <w:hideMark/>
          </w:tcPr>
          <w:p w14:paraId="385801A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6,259</w:t>
            </w:r>
          </w:p>
        </w:tc>
        <w:tc>
          <w:tcPr>
            <w:tcW w:w="0" w:type="auto"/>
            <w:noWrap/>
            <w:vAlign w:val="center"/>
            <w:hideMark/>
          </w:tcPr>
          <w:p w14:paraId="2344ECC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30.1%</w:t>
            </w:r>
          </w:p>
        </w:tc>
      </w:tr>
      <w:tr w:rsidR="00407705" w:rsidRPr="00105FFC" w14:paraId="71DAF63A"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3295034"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2F6C96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109997E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19,331</w:t>
            </w:r>
          </w:p>
        </w:tc>
        <w:tc>
          <w:tcPr>
            <w:tcW w:w="0" w:type="auto"/>
            <w:noWrap/>
            <w:vAlign w:val="center"/>
            <w:hideMark/>
          </w:tcPr>
          <w:p w14:paraId="6F65AC8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5,590</w:t>
            </w:r>
          </w:p>
        </w:tc>
        <w:tc>
          <w:tcPr>
            <w:tcW w:w="0" w:type="auto"/>
            <w:noWrap/>
            <w:vAlign w:val="center"/>
            <w:hideMark/>
          </w:tcPr>
          <w:p w14:paraId="2A98533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28.9%</w:t>
            </w:r>
          </w:p>
        </w:tc>
        <w:tc>
          <w:tcPr>
            <w:tcW w:w="0" w:type="auto"/>
            <w:noWrap/>
            <w:vAlign w:val="center"/>
            <w:hideMark/>
          </w:tcPr>
          <w:p w14:paraId="30BD4A3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5,956</w:t>
            </w:r>
          </w:p>
        </w:tc>
        <w:tc>
          <w:tcPr>
            <w:tcW w:w="0" w:type="auto"/>
            <w:noWrap/>
            <w:vAlign w:val="center"/>
            <w:hideMark/>
          </w:tcPr>
          <w:p w14:paraId="68D4BC4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30.8%</w:t>
            </w:r>
          </w:p>
        </w:tc>
        <w:tc>
          <w:tcPr>
            <w:tcW w:w="0" w:type="auto"/>
            <w:noWrap/>
            <w:vAlign w:val="center"/>
            <w:hideMark/>
          </w:tcPr>
          <w:p w14:paraId="4448C92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5,325</w:t>
            </w:r>
          </w:p>
        </w:tc>
        <w:tc>
          <w:tcPr>
            <w:tcW w:w="0" w:type="auto"/>
            <w:noWrap/>
            <w:vAlign w:val="center"/>
            <w:hideMark/>
          </w:tcPr>
          <w:p w14:paraId="3759248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27.5%</w:t>
            </w:r>
          </w:p>
        </w:tc>
      </w:tr>
      <w:tr w:rsidR="00407705" w:rsidRPr="00105FFC" w14:paraId="63B805F9"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8250F32"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0C4E26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5C2D8EC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17,315</w:t>
            </w:r>
          </w:p>
        </w:tc>
        <w:tc>
          <w:tcPr>
            <w:tcW w:w="0" w:type="auto"/>
            <w:noWrap/>
            <w:vAlign w:val="center"/>
            <w:hideMark/>
          </w:tcPr>
          <w:p w14:paraId="5ACA9B6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4,485</w:t>
            </w:r>
          </w:p>
        </w:tc>
        <w:tc>
          <w:tcPr>
            <w:tcW w:w="0" w:type="auto"/>
            <w:noWrap/>
            <w:vAlign w:val="center"/>
            <w:hideMark/>
          </w:tcPr>
          <w:p w14:paraId="29B923C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25.9%</w:t>
            </w:r>
          </w:p>
        </w:tc>
        <w:tc>
          <w:tcPr>
            <w:tcW w:w="0" w:type="auto"/>
            <w:noWrap/>
            <w:vAlign w:val="center"/>
            <w:hideMark/>
          </w:tcPr>
          <w:p w14:paraId="3E9E3CD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4,959</w:t>
            </w:r>
          </w:p>
        </w:tc>
        <w:tc>
          <w:tcPr>
            <w:tcW w:w="0" w:type="auto"/>
            <w:noWrap/>
            <w:vAlign w:val="center"/>
            <w:hideMark/>
          </w:tcPr>
          <w:p w14:paraId="5791031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28.6%</w:t>
            </w:r>
          </w:p>
        </w:tc>
        <w:tc>
          <w:tcPr>
            <w:tcW w:w="0" w:type="auto"/>
            <w:noWrap/>
            <w:vAlign w:val="center"/>
            <w:hideMark/>
          </w:tcPr>
          <w:p w14:paraId="71311E7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3,948</w:t>
            </w:r>
          </w:p>
        </w:tc>
        <w:tc>
          <w:tcPr>
            <w:tcW w:w="0" w:type="auto"/>
            <w:noWrap/>
            <w:vAlign w:val="center"/>
            <w:hideMark/>
          </w:tcPr>
          <w:p w14:paraId="0469A3A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22.8%</w:t>
            </w:r>
          </w:p>
        </w:tc>
      </w:tr>
      <w:tr w:rsidR="00407705" w:rsidRPr="00105FFC" w14:paraId="0FB5F9B9"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5CA062A"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25B318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0F87F1B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20,510</w:t>
            </w:r>
          </w:p>
        </w:tc>
        <w:tc>
          <w:tcPr>
            <w:tcW w:w="0" w:type="auto"/>
            <w:noWrap/>
            <w:vAlign w:val="center"/>
            <w:hideMark/>
          </w:tcPr>
          <w:p w14:paraId="6D4FF17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4,534</w:t>
            </w:r>
          </w:p>
        </w:tc>
        <w:tc>
          <w:tcPr>
            <w:tcW w:w="0" w:type="auto"/>
            <w:noWrap/>
            <w:vAlign w:val="center"/>
            <w:hideMark/>
          </w:tcPr>
          <w:p w14:paraId="2EF0084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22.1%</w:t>
            </w:r>
          </w:p>
        </w:tc>
        <w:tc>
          <w:tcPr>
            <w:tcW w:w="0" w:type="auto"/>
            <w:noWrap/>
            <w:vAlign w:val="center"/>
            <w:hideMark/>
          </w:tcPr>
          <w:p w14:paraId="49794FC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5,482</w:t>
            </w:r>
          </w:p>
        </w:tc>
        <w:tc>
          <w:tcPr>
            <w:tcW w:w="0" w:type="auto"/>
            <w:noWrap/>
            <w:vAlign w:val="center"/>
            <w:hideMark/>
          </w:tcPr>
          <w:p w14:paraId="4DF7291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26.7%</w:t>
            </w:r>
          </w:p>
        </w:tc>
        <w:tc>
          <w:tcPr>
            <w:tcW w:w="0" w:type="auto"/>
            <w:noWrap/>
            <w:vAlign w:val="center"/>
            <w:hideMark/>
          </w:tcPr>
          <w:p w14:paraId="1DEF307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3,477</w:t>
            </w:r>
          </w:p>
        </w:tc>
        <w:tc>
          <w:tcPr>
            <w:tcW w:w="0" w:type="auto"/>
            <w:noWrap/>
            <w:vAlign w:val="center"/>
            <w:hideMark/>
          </w:tcPr>
          <w:p w14:paraId="7C2417E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17.0%</w:t>
            </w:r>
          </w:p>
        </w:tc>
      </w:tr>
      <w:tr w:rsidR="00407705" w:rsidRPr="00105FFC" w14:paraId="75B23A3A"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339EAF9"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FF8383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20913CB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7,717</w:t>
            </w:r>
          </w:p>
        </w:tc>
        <w:tc>
          <w:tcPr>
            <w:tcW w:w="0" w:type="auto"/>
            <w:noWrap/>
            <w:vAlign w:val="center"/>
            <w:hideMark/>
          </w:tcPr>
          <w:p w14:paraId="7ED3353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1,025</w:t>
            </w:r>
          </w:p>
        </w:tc>
        <w:tc>
          <w:tcPr>
            <w:tcW w:w="0" w:type="auto"/>
            <w:noWrap/>
            <w:vAlign w:val="center"/>
            <w:hideMark/>
          </w:tcPr>
          <w:p w14:paraId="07AE293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13.3%</w:t>
            </w:r>
          </w:p>
        </w:tc>
        <w:tc>
          <w:tcPr>
            <w:tcW w:w="0" w:type="auto"/>
            <w:noWrap/>
            <w:vAlign w:val="center"/>
            <w:hideMark/>
          </w:tcPr>
          <w:p w14:paraId="3F6F3A4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1,467</w:t>
            </w:r>
          </w:p>
        </w:tc>
        <w:tc>
          <w:tcPr>
            <w:tcW w:w="0" w:type="auto"/>
            <w:noWrap/>
            <w:vAlign w:val="center"/>
            <w:hideMark/>
          </w:tcPr>
          <w:p w14:paraId="291CA5B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19.0%</w:t>
            </w:r>
          </w:p>
        </w:tc>
        <w:tc>
          <w:tcPr>
            <w:tcW w:w="0" w:type="auto"/>
            <w:noWrap/>
            <w:vAlign w:val="center"/>
            <w:hideMark/>
          </w:tcPr>
          <w:p w14:paraId="4B0D4B9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719</w:t>
            </w:r>
          </w:p>
        </w:tc>
        <w:tc>
          <w:tcPr>
            <w:tcW w:w="0" w:type="auto"/>
            <w:noWrap/>
            <w:vAlign w:val="center"/>
            <w:hideMark/>
          </w:tcPr>
          <w:p w14:paraId="5819ED5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9.3%</w:t>
            </w:r>
          </w:p>
        </w:tc>
      </w:tr>
      <w:tr w:rsidR="00407705" w:rsidRPr="00105FFC" w14:paraId="786241DA"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170C24C"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DDAC7E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7D34EBF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118,497</w:t>
            </w:r>
          </w:p>
        </w:tc>
        <w:tc>
          <w:tcPr>
            <w:tcW w:w="0" w:type="auto"/>
            <w:noWrap/>
            <w:vAlign w:val="center"/>
            <w:hideMark/>
          </w:tcPr>
          <w:p w14:paraId="724E7D4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27,857</w:t>
            </w:r>
          </w:p>
        </w:tc>
        <w:tc>
          <w:tcPr>
            <w:tcW w:w="0" w:type="auto"/>
            <w:noWrap/>
            <w:vAlign w:val="center"/>
            <w:hideMark/>
          </w:tcPr>
          <w:p w14:paraId="4828554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23.5%</w:t>
            </w:r>
          </w:p>
        </w:tc>
        <w:tc>
          <w:tcPr>
            <w:tcW w:w="0" w:type="auto"/>
            <w:noWrap/>
            <w:vAlign w:val="center"/>
            <w:hideMark/>
          </w:tcPr>
          <w:p w14:paraId="4E5C217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31,225</w:t>
            </w:r>
          </w:p>
        </w:tc>
        <w:tc>
          <w:tcPr>
            <w:tcW w:w="0" w:type="auto"/>
            <w:noWrap/>
            <w:vAlign w:val="center"/>
            <w:hideMark/>
          </w:tcPr>
          <w:p w14:paraId="3F7DA80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26.4%</w:t>
            </w:r>
          </w:p>
        </w:tc>
        <w:tc>
          <w:tcPr>
            <w:tcW w:w="0" w:type="auto"/>
            <w:noWrap/>
            <w:vAlign w:val="center"/>
            <w:hideMark/>
          </w:tcPr>
          <w:p w14:paraId="52A4ED4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28,507</w:t>
            </w:r>
          </w:p>
        </w:tc>
        <w:tc>
          <w:tcPr>
            <w:tcW w:w="0" w:type="auto"/>
            <w:noWrap/>
            <w:vAlign w:val="center"/>
            <w:hideMark/>
          </w:tcPr>
          <w:p w14:paraId="1C2FFF4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24.1%</w:t>
            </w:r>
          </w:p>
        </w:tc>
      </w:tr>
      <w:tr w:rsidR="00407705" w:rsidRPr="00105FFC" w14:paraId="2AA6F782"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6C854553"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Northern</w:t>
            </w:r>
          </w:p>
        </w:tc>
        <w:tc>
          <w:tcPr>
            <w:tcW w:w="0" w:type="auto"/>
            <w:noWrap/>
            <w:vAlign w:val="center"/>
            <w:hideMark/>
          </w:tcPr>
          <w:p w14:paraId="4FC1682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49C67D4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29,381</w:t>
            </w:r>
          </w:p>
        </w:tc>
        <w:tc>
          <w:tcPr>
            <w:tcW w:w="0" w:type="auto"/>
            <w:noWrap/>
            <w:vAlign w:val="center"/>
            <w:hideMark/>
          </w:tcPr>
          <w:p w14:paraId="5EC030E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2,361</w:t>
            </w:r>
          </w:p>
        </w:tc>
        <w:tc>
          <w:tcPr>
            <w:tcW w:w="0" w:type="auto"/>
            <w:noWrap/>
            <w:vAlign w:val="center"/>
            <w:hideMark/>
          </w:tcPr>
          <w:p w14:paraId="0E22002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8.0%</w:t>
            </w:r>
          </w:p>
        </w:tc>
        <w:tc>
          <w:tcPr>
            <w:tcW w:w="0" w:type="auto"/>
            <w:noWrap/>
            <w:vAlign w:val="center"/>
            <w:hideMark/>
          </w:tcPr>
          <w:p w14:paraId="496C2B3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3,314</w:t>
            </w:r>
          </w:p>
        </w:tc>
        <w:tc>
          <w:tcPr>
            <w:tcW w:w="0" w:type="auto"/>
            <w:noWrap/>
            <w:vAlign w:val="center"/>
            <w:hideMark/>
          </w:tcPr>
          <w:p w14:paraId="55C2910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11.3%</w:t>
            </w:r>
          </w:p>
        </w:tc>
        <w:tc>
          <w:tcPr>
            <w:tcW w:w="0" w:type="auto"/>
            <w:noWrap/>
            <w:vAlign w:val="center"/>
            <w:hideMark/>
          </w:tcPr>
          <w:p w14:paraId="2443A92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5,294</w:t>
            </w:r>
          </w:p>
        </w:tc>
        <w:tc>
          <w:tcPr>
            <w:tcW w:w="0" w:type="auto"/>
            <w:noWrap/>
            <w:vAlign w:val="center"/>
            <w:hideMark/>
          </w:tcPr>
          <w:p w14:paraId="52BCA8D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18.0%</w:t>
            </w:r>
          </w:p>
        </w:tc>
      </w:tr>
      <w:tr w:rsidR="00407705" w:rsidRPr="00105FFC" w14:paraId="372FBC42"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2720C2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C49B49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42A134E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18,195</w:t>
            </w:r>
          </w:p>
        </w:tc>
        <w:tc>
          <w:tcPr>
            <w:tcW w:w="0" w:type="auto"/>
            <w:noWrap/>
            <w:vAlign w:val="center"/>
            <w:hideMark/>
          </w:tcPr>
          <w:p w14:paraId="3D77896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4,202</w:t>
            </w:r>
          </w:p>
        </w:tc>
        <w:tc>
          <w:tcPr>
            <w:tcW w:w="0" w:type="auto"/>
            <w:noWrap/>
            <w:vAlign w:val="center"/>
            <w:hideMark/>
          </w:tcPr>
          <w:p w14:paraId="2DDE846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23.1%</w:t>
            </w:r>
          </w:p>
        </w:tc>
        <w:tc>
          <w:tcPr>
            <w:tcW w:w="0" w:type="auto"/>
            <w:noWrap/>
            <w:vAlign w:val="center"/>
            <w:hideMark/>
          </w:tcPr>
          <w:p w14:paraId="4C89B99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4,723</w:t>
            </w:r>
          </w:p>
        </w:tc>
        <w:tc>
          <w:tcPr>
            <w:tcW w:w="0" w:type="auto"/>
            <w:noWrap/>
            <w:vAlign w:val="center"/>
            <w:hideMark/>
          </w:tcPr>
          <w:p w14:paraId="5AA261D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26.0%</w:t>
            </w:r>
          </w:p>
        </w:tc>
        <w:tc>
          <w:tcPr>
            <w:tcW w:w="0" w:type="auto"/>
            <w:noWrap/>
            <w:vAlign w:val="center"/>
            <w:hideMark/>
          </w:tcPr>
          <w:p w14:paraId="22919DC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5,383</w:t>
            </w:r>
          </w:p>
        </w:tc>
        <w:tc>
          <w:tcPr>
            <w:tcW w:w="0" w:type="auto"/>
            <w:noWrap/>
            <w:vAlign w:val="center"/>
            <w:hideMark/>
          </w:tcPr>
          <w:p w14:paraId="475F89A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29.6%</w:t>
            </w:r>
          </w:p>
        </w:tc>
      </w:tr>
      <w:tr w:rsidR="00407705" w:rsidRPr="00105FFC" w14:paraId="1EC2A8EE"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D55F07E"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4F7D45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5298BFE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27,849</w:t>
            </w:r>
          </w:p>
        </w:tc>
        <w:tc>
          <w:tcPr>
            <w:tcW w:w="0" w:type="auto"/>
            <w:noWrap/>
            <w:vAlign w:val="center"/>
            <w:hideMark/>
          </w:tcPr>
          <w:p w14:paraId="4907D02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6,005</w:t>
            </w:r>
          </w:p>
        </w:tc>
        <w:tc>
          <w:tcPr>
            <w:tcW w:w="0" w:type="auto"/>
            <w:noWrap/>
            <w:vAlign w:val="center"/>
            <w:hideMark/>
          </w:tcPr>
          <w:p w14:paraId="4BC90E9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21.6%</w:t>
            </w:r>
          </w:p>
        </w:tc>
        <w:tc>
          <w:tcPr>
            <w:tcW w:w="0" w:type="auto"/>
            <w:noWrap/>
            <w:vAlign w:val="center"/>
            <w:hideMark/>
          </w:tcPr>
          <w:p w14:paraId="7B42311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6,464</w:t>
            </w:r>
          </w:p>
        </w:tc>
        <w:tc>
          <w:tcPr>
            <w:tcW w:w="0" w:type="auto"/>
            <w:noWrap/>
            <w:vAlign w:val="center"/>
            <w:hideMark/>
          </w:tcPr>
          <w:p w14:paraId="3563197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23.2%</w:t>
            </w:r>
          </w:p>
        </w:tc>
        <w:tc>
          <w:tcPr>
            <w:tcW w:w="0" w:type="auto"/>
            <w:noWrap/>
            <w:vAlign w:val="center"/>
            <w:hideMark/>
          </w:tcPr>
          <w:p w14:paraId="35D42A9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9,460</w:t>
            </w:r>
          </w:p>
        </w:tc>
        <w:tc>
          <w:tcPr>
            <w:tcW w:w="0" w:type="auto"/>
            <w:noWrap/>
            <w:vAlign w:val="center"/>
            <w:hideMark/>
          </w:tcPr>
          <w:p w14:paraId="2773C11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34.0%</w:t>
            </w:r>
          </w:p>
        </w:tc>
      </w:tr>
      <w:tr w:rsidR="00407705" w:rsidRPr="00105FFC" w14:paraId="3EA5C096"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CD780B0"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270ABB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1777714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26,341</w:t>
            </w:r>
          </w:p>
        </w:tc>
        <w:tc>
          <w:tcPr>
            <w:tcW w:w="0" w:type="auto"/>
            <w:noWrap/>
            <w:vAlign w:val="center"/>
            <w:hideMark/>
          </w:tcPr>
          <w:p w14:paraId="5C4191A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5,177</w:t>
            </w:r>
          </w:p>
        </w:tc>
        <w:tc>
          <w:tcPr>
            <w:tcW w:w="0" w:type="auto"/>
            <w:noWrap/>
            <w:vAlign w:val="center"/>
            <w:hideMark/>
          </w:tcPr>
          <w:p w14:paraId="5A7E6E5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19.7%</w:t>
            </w:r>
          </w:p>
        </w:tc>
        <w:tc>
          <w:tcPr>
            <w:tcW w:w="0" w:type="auto"/>
            <w:noWrap/>
            <w:vAlign w:val="center"/>
            <w:hideMark/>
          </w:tcPr>
          <w:p w14:paraId="3F5CE1C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5,657</w:t>
            </w:r>
          </w:p>
        </w:tc>
        <w:tc>
          <w:tcPr>
            <w:tcW w:w="0" w:type="auto"/>
            <w:noWrap/>
            <w:vAlign w:val="center"/>
            <w:hideMark/>
          </w:tcPr>
          <w:p w14:paraId="694EF3D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21.5%</w:t>
            </w:r>
          </w:p>
        </w:tc>
        <w:tc>
          <w:tcPr>
            <w:tcW w:w="0" w:type="auto"/>
            <w:noWrap/>
            <w:vAlign w:val="center"/>
            <w:hideMark/>
          </w:tcPr>
          <w:p w14:paraId="14ECBFA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8,738</w:t>
            </w:r>
          </w:p>
        </w:tc>
        <w:tc>
          <w:tcPr>
            <w:tcW w:w="0" w:type="auto"/>
            <w:noWrap/>
            <w:vAlign w:val="center"/>
            <w:hideMark/>
          </w:tcPr>
          <w:p w14:paraId="5980D62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33.2%</w:t>
            </w:r>
          </w:p>
        </w:tc>
      </w:tr>
      <w:tr w:rsidR="00407705" w:rsidRPr="00105FFC" w14:paraId="178B610F"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7DA0977"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2AA054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4F9A4A8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23,821</w:t>
            </w:r>
          </w:p>
        </w:tc>
        <w:tc>
          <w:tcPr>
            <w:tcW w:w="0" w:type="auto"/>
            <w:noWrap/>
            <w:vAlign w:val="center"/>
            <w:hideMark/>
          </w:tcPr>
          <w:p w14:paraId="6D2A7BB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4,183</w:t>
            </w:r>
          </w:p>
        </w:tc>
        <w:tc>
          <w:tcPr>
            <w:tcW w:w="0" w:type="auto"/>
            <w:noWrap/>
            <w:vAlign w:val="center"/>
            <w:hideMark/>
          </w:tcPr>
          <w:p w14:paraId="11D99F7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17.6%</w:t>
            </w:r>
          </w:p>
        </w:tc>
        <w:tc>
          <w:tcPr>
            <w:tcW w:w="0" w:type="auto"/>
            <w:noWrap/>
            <w:vAlign w:val="center"/>
            <w:hideMark/>
          </w:tcPr>
          <w:p w14:paraId="64C816E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4,973</w:t>
            </w:r>
          </w:p>
        </w:tc>
        <w:tc>
          <w:tcPr>
            <w:tcW w:w="0" w:type="auto"/>
            <w:noWrap/>
            <w:vAlign w:val="center"/>
            <w:hideMark/>
          </w:tcPr>
          <w:p w14:paraId="6B23D1B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20.9%</w:t>
            </w:r>
          </w:p>
        </w:tc>
        <w:tc>
          <w:tcPr>
            <w:tcW w:w="0" w:type="auto"/>
            <w:noWrap/>
            <w:vAlign w:val="center"/>
            <w:hideMark/>
          </w:tcPr>
          <w:p w14:paraId="5830667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6,685</w:t>
            </w:r>
          </w:p>
        </w:tc>
        <w:tc>
          <w:tcPr>
            <w:tcW w:w="0" w:type="auto"/>
            <w:noWrap/>
            <w:vAlign w:val="center"/>
            <w:hideMark/>
          </w:tcPr>
          <w:p w14:paraId="53D7C41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28.1%</w:t>
            </w:r>
          </w:p>
        </w:tc>
      </w:tr>
      <w:tr w:rsidR="00407705" w:rsidRPr="00105FFC" w14:paraId="60BFB8C6"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9172BBA"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8F5700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2AD6FD1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29,674</w:t>
            </w:r>
          </w:p>
        </w:tc>
        <w:tc>
          <w:tcPr>
            <w:tcW w:w="0" w:type="auto"/>
            <w:noWrap/>
            <w:vAlign w:val="center"/>
            <w:hideMark/>
          </w:tcPr>
          <w:p w14:paraId="14B7C7E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4,242</w:t>
            </w:r>
          </w:p>
        </w:tc>
        <w:tc>
          <w:tcPr>
            <w:tcW w:w="0" w:type="auto"/>
            <w:noWrap/>
            <w:vAlign w:val="center"/>
            <w:hideMark/>
          </w:tcPr>
          <w:p w14:paraId="697BAD8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14.3%</w:t>
            </w:r>
          </w:p>
        </w:tc>
        <w:tc>
          <w:tcPr>
            <w:tcW w:w="0" w:type="auto"/>
            <w:noWrap/>
            <w:vAlign w:val="center"/>
            <w:hideMark/>
          </w:tcPr>
          <w:p w14:paraId="48BCBCA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5,916</w:t>
            </w:r>
          </w:p>
        </w:tc>
        <w:tc>
          <w:tcPr>
            <w:tcW w:w="0" w:type="auto"/>
            <w:noWrap/>
            <w:vAlign w:val="center"/>
            <w:hideMark/>
          </w:tcPr>
          <w:p w14:paraId="0B9E3DB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19.9%</w:t>
            </w:r>
          </w:p>
        </w:tc>
        <w:tc>
          <w:tcPr>
            <w:tcW w:w="0" w:type="auto"/>
            <w:noWrap/>
            <w:vAlign w:val="center"/>
            <w:hideMark/>
          </w:tcPr>
          <w:p w14:paraId="50B36B2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6,774</w:t>
            </w:r>
          </w:p>
        </w:tc>
        <w:tc>
          <w:tcPr>
            <w:tcW w:w="0" w:type="auto"/>
            <w:noWrap/>
            <w:vAlign w:val="center"/>
            <w:hideMark/>
          </w:tcPr>
          <w:p w14:paraId="0E229BC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22.8%</w:t>
            </w:r>
          </w:p>
        </w:tc>
      </w:tr>
      <w:tr w:rsidR="00407705" w:rsidRPr="00105FFC" w14:paraId="4E328C53"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62071B3"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5B6BDD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1E9DA47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12,394</w:t>
            </w:r>
          </w:p>
        </w:tc>
        <w:tc>
          <w:tcPr>
            <w:tcW w:w="0" w:type="auto"/>
            <w:noWrap/>
            <w:vAlign w:val="center"/>
            <w:hideMark/>
          </w:tcPr>
          <w:p w14:paraId="20BB4E6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1,027</w:t>
            </w:r>
          </w:p>
        </w:tc>
        <w:tc>
          <w:tcPr>
            <w:tcW w:w="0" w:type="auto"/>
            <w:noWrap/>
            <w:vAlign w:val="center"/>
            <w:hideMark/>
          </w:tcPr>
          <w:p w14:paraId="4CBAE7A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8.3%</w:t>
            </w:r>
          </w:p>
        </w:tc>
        <w:tc>
          <w:tcPr>
            <w:tcW w:w="0" w:type="auto"/>
            <w:noWrap/>
            <w:vAlign w:val="center"/>
            <w:hideMark/>
          </w:tcPr>
          <w:p w14:paraId="3956F57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1,734</w:t>
            </w:r>
          </w:p>
        </w:tc>
        <w:tc>
          <w:tcPr>
            <w:tcW w:w="0" w:type="auto"/>
            <w:noWrap/>
            <w:vAlign w:val="center"/>
            <w:hideMark/>
          </w:tcPr>
          <w:p w14:paraId="5814E99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14.0%</w:t>
            </w:r>
          </w:p>
        </w:tc>
        <w:tc>
          <w:tcPr>
            <w:tcW w:w="0" w:type="auto"/>
            <w:noWrap/>
            <w:vAlign w:val="center"/>
            <w:hideMark/>
          </w:tcPr>
          <w:p w14:paraId="3551571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1,765</w:t>
            </w:r>
          </w:p>
        </w:tc>
        <w:tc>
          <w:tcPr>
            <w:tcW w:w="0" w:type="auto"/>
            <w:noWrap/>
            <w:vAlign w:val="center"/>
            <w:hideMark/>
          </w:tcPr>
          <w:p w14:paraId="0C87BB8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14.2%</w:t>
            </w:r>
          </w:p>
        </w:tc>
      </w:tr>
      <w:tr w:rsidR="00407705" w:rsidRPr="00105FFC" w14:paraId="3C7D96F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43E3B46"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274AE3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314C604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167,655</w:t>
            </w:r>
          </w:p>
        </w:tc>
        <w:tc>
          <w:tcPr>
            <w:tcW w:w="0" w:type="auto"/>
            <w:noWrap/>
            <w:vAlign w:val="center"/>
            <w:hideMark/>
          </w:tcPr>
          <w:p w14:paraId="5A15632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27,197</w:t>
            </w:r>
          </w:p>
        </w:tc>
        <w:tc>
          <w:tcPr>
            <w:tcW w:w="0" w:type="auto"/>
            <w:noWrap/>
            <w:vAlign w:val="center"/>
            <w:hideMark/>
          </w:tcPr>
          <w:p w14:paraId="018971D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16.2%</w:t>
            </w:r>
          </w:p>
        </w:tc>
        <w:tc>
          <w:tcPr>
            <w:tcW w:w="0" w:type="auto"/>
            <w:noWrap/>
            <w:vAlign w:val="center"/>
            <w:hideMark/>
          </w:tcPr>
          <w:p w14:paraId="10E1E29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32,781</w:t>
            </w:r>
          </w:p>
        </w:tc>
        <w:tc>
          <w:tcPr>
            <w:tcW w:w="0" w:type="auto"/>
            <w:noWrap/>
            <w:vAlign w:val="center"/>
            <w:hideMark/>
          </w:tcPr>
          <w:p w14:paraId="44BE49E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19.6%</w:t>
            </w:r>
          </w:p>
        </w:tc>
        <w:tc>
          <w:tcPr>
            <w:tcW w:w="0" w:type="auto"/>
            <w:noWrap/>
            <w:vAlign w:val="center"/>
            <w:hideMark/>
          </w:tcPr>
          <w:p w14:paraId="53268EE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44,099</w:t>
            </w:r>
          </w:p>
        </w:tc>
        <w:tc>
          <w:tcPr>
            <w:tcW w:w="0" w:type="auto"/>
            <w:noWrap/>
            <w:vAlign w:val="center"/>
            <w:hideMark/>
          </w:tcPr>
          <w:p w14:paraId="094523D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26.3%</w:t>
            </w:r>
          </w:p>
        </w:tc>
      </w:tr>
      <w:tr w:rsidR="00407705" w:rsidRPr="00105FFC" w14:paraId="05D58AF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391699F1"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Orange</w:t>
            </w:r>
          </w:p>
        </w:tc>
        <w:tc>
          <w:tcPr>
            <w:tcW w:w="0" w:type="auto"/>
            <w:noWrap/>
            <w:vAlign w:val="center"/>
            <w:hideMark/>
          </w:tcPr>
          <w:p w14:paraId="331C7C3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66D5C5E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53,168</w:t>
            </w:r>
          </w:p>
        </w:tc>
        <w:tc>
          <w:tcPr>
            <w:tcW w:w="0" w:type="auto"/>
            <w:noWrap/>
            <w:vAlign w:val="center"/>
            <w:hideMark/>
          </w:tcPr>
          <w:p w14:paraId="3217430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15,517</w:t>
            </w:r>
          </w:p>
        </w:tc>
        <w:tc>
          <w:tcPr>
            <w:tcW w:w="0" w:type="auto"/>
            <w:noWrap/>
            <w:vAlign w:val="center"/>
            <w:hideMark/>
          </w:tcPr>
          <w:p w14:paraId="41726DC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29.2%</w:t>
            </w:r>
          </w:p>
        </w:tc>
        <w:tc>
          <w:tcPr>
            <w:tcW w:w="0" w:type="auto"/>
            <w:noWrap/>
            <w:vAlign w:val="center"/>
            <w:hideMark/>
          </w:tcPr>
          <w:p w14:paraId="5DE970A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16,568</w:t>
            </w:r>
          </w:p>
        </w:tc>
        <w:tc>
          <w:tcPr>
            <w:tcW w:w="0" w:type="auto"/>
            <w:noWrap/>
            <w:vAlign w:val="center"/>
            <w:hideMark/>
          </w:tcPr>
          <w:p w14:paraId="5F92E9C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31.2%</w:t>
            </w:r>
          </w:p>
        </w:tc>
        <w:tc>
          <w:tcPr>
            <w:tcW w:w="0" w:type="auto"/>
            <w:noWrap/>
            <w:vAlign w:val="center"/>
            <w:hideMark/>
          </w:tcPr>
          <w:p w14:paraId="221FDCA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2,733</w:t>
            </w:r>
          </w:p>
        </w:tc>
        <w:tc>
          <w:tcPr>
            <w:tcW w:w="0" w:type="auto"/>
            <w:noWrap/>
            <w:vAlign w:val="center"/>
            <w:hideMark/>
          </w:tcPr>
          <w:p w14:paraId="3B60A63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w:t>
            </w:r>
          </w:p>
        </w:tc>
      </w:tr>
      <w:tr w:rsidR="00407705" w:rsidRPr="00105FFC" w14:paraId="220C8404"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C41BAD0"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30A8B28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52D5AD5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34,187</w:t>
            </w:r>
          </w:p>
        </w:tc>
        <w:tc>
          <w:tcPr>
            <w:tcW w:w="0" w:type="auto"/>
            <w:noWrap/>
            <w:vAlign w:val="center"/>
            <w:hideMark/>
          </w:tcPr>
          <w:p w14:paraId="6A68140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20,247</w:t>
            </w:r>
          </w:p>
        </w:tc>
        <w:tc>
          <w:tcPr>
            <w:tcW w:w="0" w:type="auto"/>
            <w:noWrap/>
            <w:vAlign w:val="center"/>
            <w:hideMark/>
          </w:tcPr>
          <w:p w14:paraId="35D57BE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59.2%</w:t>
            </w:r>
          </w:p>
        </w:tc>
        <w:tc>
          <w:tcPr>
            <w:tcW w:w="0" w:type="auto"/>
            <w:noWrap/>
            <w:vAlign w:val="center"/>
            <w:hideMark/>
          </w:tcPr>
          <w:p w14:paraId="59FF369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21,090</w:t>
            </w:r>
          </w:p>
        </w:tc>
        <w:tc>
          <w:tcPr>
            <w:tcW w:w="0" w:type="auto"/>
            <w:noWrap/>
            <w:vAlign w:val="center"/>
            <w:hideMark/>
          </w:tcPr>
          <w:p w14:paraId="2EDD36D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61.7%</w:t>
            </w:r>
          </w:p>
        </w:tc>
        <w:tc>
          <w:tcPr>
            <w:tcW w:w="0" w:type="auto"/>
            <w:noWrap/>
            <w:vAlign w:val="center"/>
            <w:hideMark/>
          </w:tcPr>
          <w:p w14:paraId="778E7C1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1,364</w:t>
            </w:r>
          </w:p>
        </w:tc>
        <w:tc>
          <w:tcPr>
            <w:tcW w:w="0" w:type="auto"/>
            <w:noWrap/>
            <w:vAlign w:val="center"/>
            <w:hideMark/>
          </w:tcPr>
          <w:p w14:paraId="303CA82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w:t>
            </w:r>
          </w:p>
        </w:tc>
      </w:tr>
      <w:tr w:rsidR="00407705" w:rsidRPr="00105FFC" w14:paraId="28F3D437"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53153BC"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0663BA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4D0C104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56,747</w:t>
            </w:r>
          </w:p>
        </w:tc>
        <w:tc>
          <w:tcPr>
            <w:tcW w:w="0" w:type="auto"/>
            <w:noWrap/>
            <w:vAlign w:val="center"/>
            <w:hideMark/>
          </w:tcPr>
          <w:p w14:paraId="62DA132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35,856</w:t>
            </w:r>
          </w:p>
        </w:tc>
        <w:tc>
          <w:tcPr>
            <w:tcW w:w="0" w:type="auto"/>
            <w:noWrap/>
            <w:vAlign w:val="center"/>
            <w:hideMark/>
          </w:tcPr>
          <w:p w14:paraId="631D3C9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63.2%</w:t>
            </w:r>
          </w:p>
        </w:tc>
        <w:tc>
          <w:tcPr>
            <w:tcW w:w="0" w:type="auto"/>
            <w:noWrap/>
            <w:vAlign w:val="center"/>
            <w:hideMark/>
          </w:tcPr>
          <w:p w14:paraId="73AB72D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36,947</w:t>
            </w:r>
          </w:p>
        </w:tc>
        <w:tc>
          <w:tcPr>
            <w:tcW w:w="0" w:type="auto"/>
            <w:noWrap/>
            <w:vAlign w:val="center"/>
            <w:hideMark/>
          </w:tcPr>
          <w:p w14:paraId="1362264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65.1%</w:t>
            </w:r>
          </w:p>
        </w:tc>
        <w:tc>
          <w:tcPr>
            <w:tcW w:w="0" w:type="auto"/>
            <w:noWrap/>
            <w:vAlign w:val="center"/>
            <w:hideMark/>
          </w:tcPr>
          <w:p w14:paraId="37627EA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2,288</w:t>
            </w:r>
          </w:p>
        </w:tc>
        <w:tc>
          <w:tcPr>
            <w:tcW w:w="0" w:type="auto"/>
            <w:noWrap/>
            <w:vAlign w:val="center"/>
            <w:hideMark/>
          </w:tcPr>
          <w:p w14:paraId="58A0B95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w:t>
            </w:r>
          </w:p>
        </w:tc>
      </w:tr>
      <w:tr w:rsidR="00407705" w:rsidRPr="00105FFC" w14:paraId="26E4B0D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D211AFF"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A157A6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5504E1F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54,269</w:t>
            </w:r>
          </w:p>
        </w:tc>
        <w:tc>
          <w:tcPr>
            <w:tcW w:w="0" w:type="auto"/>
            <w:noWrap/>
            <w:vAlign w:val="center"/>
            <w:hideMark/>
          </w:tcPr>
          <w:p w14:paraId="375D647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32,656</w:t>
            </w:r>
          </w:p>
        </w:tc>
        <w:tc>
          <w:tcPr>
            <w:tcW w:w="0" w:type="auto"/>
            <w:noWrap/>
            <w:vAlign w:val="center"/>
            <w:hideMark/>
          </w:tcPr>
          <w:p w14:paraId="14E4421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60.2%</w:t>
            </w:r>
          </w:p>
        </w:tc>
        <w:tc>
          <w:tcPr>
            <w:tcW w:w="0" w:type="auto"/>
            <w:noWrap/>
            <w:vAlign w:val="center"/>
            <w:hideMark/>
          </w:tcPr>
          <w:p w14:paraId="13C80E7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33,730</w:t>
            </w:r>
          </w:p>
        </w:tc>
        <w:tc>
          <w:tcPr>
            <w:tcW w:w="0" w:type="auto"/>
            <w:noWrap/>
            <w:vAlign w:val="center"/>
            <w:hideMark/>
          </w:tcPr>
          <w:p w14:paraId="7CDF1E0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62.2%</w:t>
            </w:r>
          </w:p>
        </w:tc>
        <w:tc>
          <w:tcPr>
            <w:tcW w:w="0" w:type="auto"/>
            <w:noWrap/>
            <w:vAlign w:val="center"/>
            <w:hideMark/>
          </w:tcPr>
          <w:p w14:paraId="1690D57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1,881</w:t>
            </w:r>
          </w:p>
        </w:tc>
        <w:tc>
          <w:tcPr>
            <w:tcW w:w="0" w:type="auto"/>
            <w:noWrap/>
            <w:vAlign w:val="center"/>
            <w:hideMark/>
          </w:tcPr>
          <w:p w14:paraId="4D5A93C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w:t>
            </w:r>
          </w:p>
        </w:tc>
      </w:tr>
      <w:tr w:rsidR="00407705" w:rsidRPr="00105FFC" w14:paraId="48D407D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E61A0C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262606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4319A61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49,944</w:t>
            </w:r>
          </w:p>
        </w:tc>
        <w:tc>
          <w:tcPr>
            <w:tcW w:w="0" w:type="auto"/>
            <w:noWrap/>
            <w:vAlign w:val="center"/>
            <w:hideMark/>
          </w:tcPr>
          <w:p w14:paraId="4A05834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26,851</w:t>
            </w:r>
          </w:p>
        </w:tc>
        <w:tc>
          <w:tcPr>
            <w:tcW w:w="0" w:type="auto"/>
            <w:noWrap/>
            <w:vAlign w:val="center"/>
            <w:hideMark/>
          </w:tcPr>
          <w:p w14:paraId="5089A96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53.8%</w:t>
            </w:r>
          </w:p>
        </w:tc>
        <w:tc>
          <w:tcPr>
            <w:tcW w:w="0" w:type="auto"/>
            <w:noWrap/>
            <w:vAlign w:val="center"/>
            <w:hideMark/>
          </w:tcPr>
          <w:p w14:paraId="4C34F59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28,106</w:t>
            </w:r>
          </w:p>
        </w:tc>
        <w:tc>
          <w:tcPr>
            <w:tcW w:w="0" w:type="auto"/>
            <w:noWrap/>
            <w:vAlign w:val="center"/>
            <w:hideMark/>
          </w:tcPr>
          <w:p w14:paraId="26BE708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56.3%</w:t>
            </w:r>
          </w:p>
        </w:tc>
        <w:tc>
          <w:tcPr>
            <w:tcW w:w="0" w:type="auto"/>
            <w:noWrap/>
            <w:vAlign w:val="center"/>
            <w:hideMark/>
          </w:tcPr>
          <w:p w14:paraId="72EFE09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1,039</w:t>
            </w:r>
          </w:p>
        </w:tc>
        <w:tc>
          <w:tcPr>
            <w:tcW w:w="0" w:type="auto"/>
            <w:noWrap/>
            <w:vAlign w:val="center"/>
            <w:hideMark/>
          </w:tcPr>
          <w:p w14:paraId="778873E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w:t>
            </w:r>
          </w:p>
        </w:tc>
      </w:tr>
      <w:tr w:rsidR="00407705" w:rsidRPr="00105FFC" w14:paraId="5D2C4F03"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93E8F1E"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0051F9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1F9A4F8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63,549</w:t>
            </w:r>
          </w:p>
        </w:tc>
        <w:tc>
          <w:tcPr>
            <w:tcW w:w="0" w:type="auto"/>
            <w:noWrap/>
            <w:vAlign w:val="center"/>
            <w:hideMark/>
          </w:tcPr>
          <w:p w14:paraId="7DE8EBA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28,132</w:t>
            </w:r>
          </w:p>
        </w:tc>
        <w:tc>
          <w:tcPr>
            <w:tcW w:w="0" w:type="auto"/>
            <w:noWrap/>
            <w:vAlign w:val="center"/>
            <w:hideMark/>
          </w:tcPr>
          <w:p w14:paraId="6BA5D6D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44.3%</w:t>
            </w:r>
          </w:p>
        </w:tc>
        <w:tc>
          <w:tcPr>
            <w:tcW w:w="0" w:type="auto"/>
            <w:noWrap/>
            <w:vAlign w:val="center"/>
            <w:hideMark/>
          </w:tcPr>
          <w:p w14:paraId="5430AAB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30,568</w:t>
            </w:r>
          </w:p>
        </w:tc>
        <w:tc>
          <w:tcPr>
            <w:tcW w:w="0" w:type="auto"/>
            <w:noWrap/>
            <w:vAlign w:val="center"/>
            <w:hideMark/>
          </w:tcPr>
          <w:p w14:paraId="6A12CF0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48.1%</w:t>
            </w:r>
          </w:p>
        </w:tc>
        <w:tc>
          <w:tcPr>
            <w:tcW w:w="0" w:type="auto"/>
            <w:noWrap/>
            <w:vAlign w:val="center"/>
            <w:hideMark/>
          </w:tcPr>
          <w:p w14:paraId="6E9D2C7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960</w:t>
            </w:r>
          </w:p>
        </w:tc>
        <w:tc>
          <w:tcPr>
            <w:tcW w:w="0" w:type="auto"/>
            <w:noWrap/>
            <w:vAlign w:val="center"/>
            <w:hideMark/>
          </w:tcPr>
          <w:p w14:paraId="1EC0954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w:t>
            </w:r>
          </w:p>
        </w:tc>
      </w:tr>
      <w:tr w:rsidR="00407705" w:rsidRPr="00105FFC" w14:paraId="4C034564"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7E00E18"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398966B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6735621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23,551</w:t>
            </w:r>
          </w:p>
        </w:tc>
        <w:tc>
          <w:tcPr>
            <w:tcW w:w="0" w:type="auto"/>
            <w:noWrap/>
            <w:vAlign w:val="center"/>
            <w:hideMark/>
          </w:tcPr>
          <w:p w14:paraId="0600619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7,253</w:t>
            </w:r>
          </w:p>
        </w:tc>
        <w:tc>
          <w:tcPr>
            <w:tcW w:w="0" w:type="auto"/>
            <w:noWrap/>
            <w:vAlign w:val="center"/>
            <w:hideMark/>
          </w:tcPr>
          <w:p w14:paraId="57AC02B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30.8%</w:t>
            </w:r>
          </w:p>
        </w:tc>
        <w:tc>
          <w:tcPr>
            <w:tcW w:w="0" w:type="auto"/>
            <w:noWrap/>
            <w:vAlign w:val="center"/>
            <w:hideMark/>
          </w:tcPr>
          <w:p w14:paraId="7CF211A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8,363</w:t>
            </w:r>
          </w:p>
        </w:tc>
        <w:tc>
          <w:tcPr>
            <w:tcW w:w="0" w:type="auto"/>
            <w:noWrap/>
            <w:vAlign w:val="center"/>
            <w:hideMark/>
          </w:tcPr>
          <w:p w14:paraId="6D9C43A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35.5%</w:t>
            </w:r>
          </w:p>
        </w:tc>
        <w:tc>
          <w:tcPr>
            <w:tcW w:w="0" w:type="auto"/>
            <w:noWrap/>
            <w:vAlign w:val="center"/>
            <w:hideMark/>
          </w:tcPr>
          <w:p w14:paraId="1EDD488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173</w:t>
            </w:r>
          </w:p>
        </w:tc>
        <w:tc>
          <w:tcPr>
            <w:tcW w:w="0" w:type="auto"/>
            <w:noWrap/>
            <w:vAlign w:val="center"/>
            <w:hideMark/>
          </w:tcPr>
          <w:p w14:paraId="2A34F0B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0.7%</w:t>
            </w:r>
          </w:p>
        </w:tc>
      </w:tr>
      <w:tr w:rsidR="00407705" w:rsidRPr="00105FFC" w14:paraId="44E12546"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489EDE9"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A78E2A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7A9C06C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335,415</w:t>
            </w:r>
          </w:p>
        </w:tc>
        <w:tc>
          <w:tcPr>
            <w:tcW w:w="0" w:type="auto"/>
            <w:noWrap/>
            <w:vAlign w:val="center"/>
            <w:hideMark/>
          </w:tcPr>
          <w:p w14:paraId="4EBD89B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166,512</w:t>
            </w:r>
          </w:p>
        </w:tc>
        <w:tc>
          <w:tcPr>
            <w:tcW w:w="0" w:type="auto"/>
            <w:noWrap/>
            <w:vAlign w:val="center"/>
            <w:hideMark/>
          </w:tcPr>
          <w:p w14:paraId="58580D2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49.6%</w:t>
            </w:r>
          </w:p>
        </w:tc>
        <w:tc>
          <w:tcPr>
            <w:tcW w:w="0" w:type="auto"/>
            <w:noWrap/>
            <w:vAlign w:val="center"/>
            <w:hideMark/>
          </w:tcPr>
          <w:p w14:paraId="44FDD12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175,372</w:t>
            </w:r>
          </w:p>
        </w:tc>
        <w:tc>
          <w:tcPr>
            <w:tcW w:w="0" w:type="auto"/>
            <w:noWrap/>
            <w:vAlign w:val="center"/>
            <w:hideMark/>
          </w:tcPr>
          <w:p w14:paraId="584CED2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52.3%</w:t>
            </w:r>
          </w:p>
        </w:tc>
        <w:tc>
          <w:tcPr>
            <w:tcW w:w="0" w:type="auto"/>
            <w:noWrap/>
            <w:vAlign w:val="center"/>
            <w:hideMark/>
          </w:tcPr>
          <w:p w14:paraId="1A31D46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10,438</w:t>
            </w:r>
          </w:p>
        </w:tc>
        <w:tc>
          <w:tcPr>
            <w:tcW w:w="0" w:type="auto"/>
            <w:noWrap/>
            <w:vAlign w:val="center"/>
            <w:hideMark/>
          </w:tcPr>
          <w:p w14:paraId="04AEE70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3.1%</w:t>
            </w:r>
          </w:p>
        </w:tc>
      </w:tr>
      <w:tr w:rsidR="00407705" w:rsidRPr="00105FFC" w14:paraId="1B7892E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0C5FB757"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San Diego</w:t>
            </w:r>
          </w:p>
        </w:tc>
        <w:tc>
          <w:tcPr>
            <w:tcW w:w="0" w:type="auto"/>
            <w:noWrap/>
            <w:vAlign w:val="center"/>
            <w:hideMark/>
          </w:tcPr>
          <w:p w14:paraId="4F092DF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2E3540C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49,788</w:t>
            </w:r>
          </w:p>
        </w:tc>
        <w:tc>
          <w:tcPr>
            <w:tcW w:w="0" w:type="auto"/>
            <w:noWrap/>
            <w:vAlign w:val="center"/>
            <w:hideMark/>
          </w:tcPr>
          <w:p w14:paraId="4C023F1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11,686</w:t>
            </w:r>
          </w:p>
        </w:tc>
        <w:tc>
          <w:tcPr>
            <w:tcW w:w="0" w:type="auto"/>
            <w:noWrap/>
            <w:vAlign w:val="center"/>
            <w:hideMark/>
          </w:tcPr>
          <w:p w14:paraId="0D3C70A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23.5%</w:t>
            </w:r>
          </w:p>
        </w:tc>
        <w:tc>
          <w:tcPr>
            <w:tcW w:w="0" w:type="auto"/>
            <w:noWrap/>
            <w:vAlign w:val="center"/>
            <w:hideMark/>
          </w:tcPr>
          <w:p w14:paraId="62B9F80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12,718</w:t>
            </w:r>
          </w:p>
        </w:tc>
        <w:tc>
          <w:tcPr>
            <w:tcW w:w="0" w:type="auto"/>
            <w:noWrap/>
            <w:vAlign w:val="center"/>
            <w:hideMark/>
          </w:tcPr>
          <w:p w14:paraId="136D041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25.5%</w:t>
            </w:r>
          </w:p>
        </w:tc>
        <w:tc>
          <w:tcPr>
            <w:tcW w:w="0" w:type="auto"/>
            <w:noWrap/>
            <w:vAlign w:val="center"/>
            <w:hideMark/>
          </w:tcPr>
          <w:p w14:paraId="58423D7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6,077</w:t>
            </w:r>
          </w:p>
        </w:tc>
        <w:tc>
          <w:tcPr>
            <w:tcW w:w="0" w:type="auto"/>
            <w:noWrap/>
            <w:vAlign w:val="center"/>
            <w:hideMark/>
          </w:tcPr>
          <w:p w14:paraId="003C118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12.2%</w:t>
            </w:r>
          </w:p>
        </w:tc>
      </w:tr>
      <w:tr w:rsidR="00407705" w:rsidRPr="00105FFC" w14:paraId="5045619B"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BA95ABF"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B0B590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6D6272D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30,373</w:t>
            </w:r>
          </w:p>
        </w:tc>
        <w:tc>
          <w:tcPr>
            <w:tcW w:w="0" w:type="auto"/>
            <w:noWrap/>
            <w:vAlign w:val="center"/>
            <w:hideMark/>
          </w:tcPr>
          <w:p w14:paraId="74DDCA5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13,952</w:t>
            </w:r>
          </w:p>
        </w:tc>
        <w:tc>
          <w:tcPr>
            <w:tcW w:w="0" w:type="auto"/>
            <w:noWrap/>
            <w:vAlign w:val="center"/>
            <w:hideMark/>
          </w:tcPr>
          <w:p w14:paraId="7BA8A38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45.9%</w:t>
            </w:r>
          </w:p>
        </w:tc>
        <w:tc>
          <w:tcPr>
            <w:tcW w:w="0" w:type="auto"/>
            <w:noWrap/>
            <w:vAlign w:val="center"/>
            <w:hideMark/>
          </w:tcPr>
          <w:p w14:paraId="0F9755B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14,940</w:t>
            </w:r>
          </w:p>
        </w:tc>
        <w:tc>
          <w:tcPr>
            <w:tcW w:w="0" w:type="auto"/>
            <w:noWrap/>
            <w:vAlign w:val="center"/>
            <w:hideMark/>
          </w:tcPr>
          <w:p w14:paraId="3BC0A40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49.2%</w:t>
            </w:r>
          </w:p>
        </w:tc>
        <w:tc>
          <w:tcPr>
            <w:tcW w:w="0" w:type="auto"/>
            <w:noWrap/>
            <w:vAlign w:val="center"/>
            <w:hideMark/>
          </w:tcPr>
          <w:p w14:paraId="68606F4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4,457</w:t>
            </w:r>
          </w:p>
        </w:tc>
        <w:tc>
          <w:tcPr>
            <w:tcW w:w="0" w:type="auto"/>
            <w:noWrap/>
            <w:vAlign w:val="center"/>
            <w:hideMark/>
          </w:tcPr>
          <w:p w14:paraId="5699405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14.7%</w:t>
            </w:r>
          </w:p>
        </w:tc>
      </w:tr>
      <w:tr w:rsidR="00407705" w:rsidRPr="00105FFC" w14:paraId="06595A83"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0BE4CA8"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6F8F783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6E04804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46,977</w:t>
            </w:r>
          </w:p>
        </w:tc>
        <w:tc>
          <w:tcPr>
            <w:tcW w:w="0" w:type="auto"/>
            <w:noWrap/>
            <w:vAlign w:val="center"/>
            <w:hideMark/>
          </w:tcPr>
          <w:p w14:paraId="3DB9B54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22,714</w:t>
            </w:r>
          </w:p>
        </w:tc>
        <w:tc>
          <w:tcPr>
            <w:tcW w:w="0" w:type="auto"/>
            <w:noWrap/>
            <w:vAlign w:val="center"/>
            <w:hideMark/>
          </w:tcPr>
          <w:p w14:paraId="186B3E8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48.4%</w:t>
            </w:r>
          </w:p>
        </w:tc>
        <w:tc>
          <w:tcPr>
            <w:tcW w:w="0" w:type="auto"/>
            <w:noWrap/>
            <w:vAlign w:val="center"/>
            <w:hideMark/>
          </w:tcPr>
          <w:p w14:paraId="654A988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23,704</w:t>
            </w:r>
          </w:p>
        </w:tc>
        <w:tc>
          <w:tcPr>
            <w:tcW w:w="0" w:type="auto"/>
            <w:noWrap/>
            <w:vAlign w:val="center"/>
            <w:hideMark/>
          </w:tcPr>
          <w:p w14:paraId="79CB85C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50.5%</w:t>
            </w:r>
          </w:p>
        </w:tc>
        <w:tc>
          <w:tcPr>
            <w:tcW w:w="0" w:type="auto"/>
            <w:noWrap/>
            <w:vAlign w:val="center"/>
            <w:hideMark/>
          </w:tcPr>
          <w:p w14:paraId="0FD82FB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6,692</w:t>
            </w:r>
          </w:p>
        </w:tc>
        <w:tc>
          <w:tcPr>
            <w:tcW w:w="0" w:type="auto"/>
            <w:noWrap/>
            <w:vAlign w:val="center"/>
            <w:hideMark/>
          </w:tcPr>
          <w:p w14:paraId="73AB1BE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14.2%</w:t>
            </w:r>
          </w:p>
        </w:tc>
      </w:tr>
      <w:tr w:rsidR="00407705" w:rsidRPr="00105FFC" w14:paraId="58F1AA5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CF20A10"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C78E3A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24C331D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45,350</w:t>
            </w:r>
          </w:p>
        </w:tc>
        <w:tc>
          <w:tcPr>
            <w:tcW w:w="0" w:type="auto"/>
            <w:noWrap/>
            <w:vAlign w:val="center"/>
            <w:hideMark/>
          </w:tcPr>
          <w:p w14:paraId="6F5C2F0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20,102</w:t>
            </w:r>
          </w:p>
        </w:tc>
        <w:tc>
          <w:tcPr>
            <w:tcW w:w="0" w:type="auto"/>
            <w:noWrap/>
            <w:vAlign w:val="center"/>
            <w:hideMark/>
          </w:tcPr>
          <w:p w14:paraId="3E85915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44.3%</w:t>
            </w:r>
          </w:p>
        </w:tc>
        <w:tc>
          <w:tcPr>
            <w:tcW w:w="0" w:type="auto"/>
            <w:noWrap/>
            <w:vAlign w:val="center"/>
            <w:hideMark/>
          </w:tcPr>
          <w:p w14:paraId="2525701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21,141</w:t>
            </w:r>
          </w:p>
        </w:tc>
        <w:tc>
          <w:tcPr>
            <w:tcW w:w="0" w:type="auto"/>
            <w:noWrap/>
            <w:vAlign w:val="center"/>
            <w:hideMark/>
          </w:tcPr>
          <w:p w14:paraId="28496EF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46.6%</w:t>
            </w:r>
          </w:p>
        </w:tc>
        <w:tc>
          <w:tcPr>
            <w:tcW w:w="0" w:type="auto"/>
            <w:noWrap/>
            <w:vAlign w:val="center"/>
            <w:hideMark/>
          </w:tcPr>
          <w:p w14:paraId="24326F9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6,223</w:t>
            </w:r>
          </w:p>
        </w:tc>
        <w:tc>
          <w:tcPr>
            <w:tcW w:w="0" w:type="auto"/>
            <w:noWrap/>
            <w:vAlign w:val="center"/>
            <w:hideMark/>
          </w:tcPr>
          <w:p w14:paraId="3DF0C63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13.7%</w:t>
            </w:r>
          </w:p>
        </w:tc>
      </w:tr>
      <w:tr w:rsidR="00407705" w:rsidRPr="00105FFC" w14:paraId="49CEC1BC"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A217EF6"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21080A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4E2465F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41,249</w:t>
            </w:r>
          </w:p>
        </w:tc>
        <w:tc>
          <w:tcPr>
            <w:tcW w:w="0" w:type="auto"/>
            <w:noWrap/>
            <w:vAlign w:val="center"/>
            <w:hideMark/>
          </w:tcPr>
          <w:p w14:paraId="6569037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15,646</w:t>
            </w:r>
          </w:p>
        </w:tc>
        <w:tc>
          <w:tcPr>
            <w:tcW w:w="0" w:type="auto"/>
            <w:noWrap/>
            <w:vAlign w:val="center"/>
            <w:hideMark/>
          </w:tcPr>
          <w:p w14:paraId="08B695F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37.9%</w:t>
            </w:r>
          </w:p>
        </w:tc>
        <w:tc>
          <w:tcPr>
            <w:tcW w:w="0" w:type="auto"/>
            <w:noWrap/>
            <w:vAlign w:val="center"/>
            <w:hideMark/>
          </w:tcPr>
          <w:p w14:paraId="5FA4053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17,027</w:t>
            </w:r>
          </w:p>
        </w:tc>
        <w:tc>
          <w:tcPr>
            <w:tcW w:w="0" w:type="auto"/>
            <w:noWrap/>
            <w:vAlign w:val="center"/>
            <w:hideMark/>
          </w:tcPr>
          <w:p w14:paraId="3269CD3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41.3%</w:t>
            </w:r>
          </w:p>
        </w:tc>
        <w:tc>
          <w:tcPr>
            <w:tcW w:w="0" w:type="auto"/>
            <w:noWrap/>
            <w:vAlign w:val="center"/>
            <w:hideMark/>
          </w:tcPr>
          <w:p w14:paraId="1FF207C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4,869</w:t>
            </w:r>
          </w:p>
        </w:tc>
        <w:tc>
          <w:tcPr>
            <w:tcW w:w="0" w:type="auto"/>
            <w:noWrap/>
            <w:vAlign w:val="center"/>
            <w:hideMark/>
          </w:tcPr>
          <w:p w14:paraId="2321268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11.8%</w:t>
            </w:r>
          </w:p>
        </w:tc>
      </w:tr>
      <w:tr w:rsidR="00407705" w:rsidRPr="00105FFC" w14:paraId="506D2CD5"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BEB1CD8"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5BE524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11663B8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53,030</w:t>
            </w:r>
          </w:p>
        </w:tc>
        <w:tc>
          <w:tcPr>
            <w:tcW w:w="0" w:type="auto"/>
            <w:noWrap/>
            <w:vAlign w:val="center"/>
            <w:hideMark/>
          </w:tcPr>
          <w:p w14:paraId="1A06F24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15,680</w:t>
            </w:r>
          </w:p>
        </w:tc>
        <w:tc>
          <w:tcPr>
            <w:tcW w:w="0" w:type="auto"/>
            <w:noWrap/>
            <w:vAlign w:val="center"/>
            <w:hideMark/>
          </w:tcPr>
          <w:p w14:paraId="1788684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29.6%</w:t>
            </w:r>
          </w:p>
        </w:tc>
        <w:tc>
          <w:tcPr>
            <w:tcW w:w="0" w:type="auto"/>
            <w:noWrap/>
            <w:vAlign w:val="center"/>
            <w:hideMark/>
          </w:tcPr>
          <w:p w14:paraId="67153C4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18,441</w:t>
            </w:r>
          </w:p>
        </w:tc>
        <w:tc>
          <w:tcPr>
            <w:tcW w:w="0" w:type="auto"/>
            <w:noWrap/>
            <w:vAlign w:val="center"/>
            <w:hideMark/>
          </w:tcPr>
          <w:p w14:paraId="34B5D9B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34.8%</w:t>
            </w:r>
          </w:p>
        </w:tc>
        <w:tc>
          <w:tcPr>
            <w:tcW w:w="0" w:type="auto"/>
            <w:noWrap/>
            <w:vAlign w:val="center"/>
            <w:hideMark/>
          </w:tcPr>
          <w:p w14:paraId="3F6D1EB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5,067</w:t>
            </w:r>
          </w:p>
        </w:tc>
        <w:tc>
          <w:tcPr>
            <w:tcW w:w="0" w:type="auto"/>
            <w:noWrap/>
            <w:vAlign w:val="center"/>
            <w:hideMark/>
          </w:tcPr>
          <w:p w14:paraId="5840FE6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9.6%</w:t>
            </w:r>
          </w:p>
        </w:tc>
      </w:tr>
      <w:tr w:rsidR="00407705" w:rsidRPr="00105FFC" w14:paraId="408B050B"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75DB8AE"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3182A1C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7B84724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20,188</w:t>
            </w:r>
          </w:p>
        </w:tc>
        <w:tc>
          <w:tcPr>
            <w:tcW w:w="0" w:type="auto"/>
            <w:noWrap/>
            <w:vAlign w:val="center"/>
            <w:hideMark/>
          </w:tcPr>
          <w:p w14:paraId="23220A9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3,624</w:t>
            </w:r>
          </w:p>
        </w:tc>
        <w:tc>
          <w:tcPr>
            <w:tcW w:w="0" w:type="auto"/>
            <w:noWrap/>
            <w:vAlign w:val="center"/>
            <w:hideMark/>
          </w:tcPr>
          <w:p w14:paraId="6BFCAD8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18.0%</w:t>
            </w:r>
          </w:p>
        </w:tc>
        <w:tc>
          <w:tcPr>
            <w:tcW w:w="0" w:type="auto"/>
            <w:noWrap/>
            <w:vAlign w:val="center"/>
            <w:hideMark/>
          </w:tcPr>
          <w:p w14:paraId="5798EA4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4,814</w:t>
            </w:r>
          </w:p>
        </w:tc>
        <w:tc>
          <w:tcPr>
            <w:tcW w:w="0" w:type="auto"/>
            <w:noWrap/>
            <w:vAlign w:val="center"/>
            <w:hideMark/>
          </w:tcPr>
          <w:p w14:paraId="205FA90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23.8%</w:t>
            </w:r>
          </w:p>
        </w:tc>
        <w:tc>
          <w:tcPr>
            <w:tcW w:w="0" w:type="auto"/>
            <w:noWrap/>
            <w:vAlign w:val="center"/>
            <w:hideMark/>
          </w:tcPr>
          <w:p w14:paraId="10E4ADE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1,273</w:t>
            </w:r>
          </w:p>
        </w:tc>
        <w:tc>
          <w:tcPr>
            <w:tcW w:w="0" w:type="auto"/>
            <w:noWrap/>
            <w:vAlign w:val="center"/>
            <w:hideMark/>
          </w:tcPr>
          <w:p w14:paraId="2FF0B63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6.3%</w:t>
            </w:r>
          </w:p>
        </w:tc>
      </w:tr>
      <w:tr w:rsidR="00407705" w:rsidRPr="00105FFC" w14:paraId="5CEF5CF8"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04D3F27"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1E7C91F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2BF764B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286,955</w:t>
            </w:r>
          </w:p>
        </w:tc>
        <w:tc>
          <w:tcPr>
            <w:tcW w:w="0" w:type="auto"/>
            <w:noWrap/>
            <w:vAlign w:val="center"/>
            <w:hideMark/>
          </w:tcPr>
          <w:p w14:paraId="4CDF0FE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103,404</w:t>
            </w:r>
          </w:p>
        </w:tc>
        <w:tc>
          <w:tcPr>
            <w:tcW w:w="0" w:type="auto"/>
            <w:noWrap/>
            <w:vAlign w:val="center"/>
            <w:hideMark/>
          </w:tcPr>
          <w:p w14:paraId="2472DC5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36.0%</w:t>
            </w:r>
          </w:p>
        </w:tc>
        <w:tc>
          <w:tcPr>
            <w:tcW w:w="0" w:type="auto"/>
            <w:noWrap/>
            <w:vAlign w:val="center"/>
            <w:hideMark/>
          </w:tcPr>
          <w:p w14:paraId="657B453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112,785</w:t>
            </w:r>
          </w:p>
        </w:tc>
        <w:tc>
          <w:tcPr>
            <w:tcW w:w="0" w:type="auto"/>
            <w:noWrap/>
            <w:vAlign w:val="center"/>
            <w:hideMark/>
          </w:tcPr>
          <w:p w14:paraId="451AA8B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39.3%</w:t>
            </w:r>
          </w:p>
        </w:tc>
        <w:tc>
          <w:tcPr>
            <w:tcW w:w="0" w:type="auto"/>
            <w:noWrap/>
            <w:vAlign w:val="center"/>
            <w:hideMark/>
          </w:tcPr>
          <w:p w14:paraId="2AC66F1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34,658</w:t>
            </w:r>
          </w:p>
        </w:tc>
        <w:tc>
          <w:tcPr>
            <w:tcW w:w="0" w:type="auto"/>
            <w:noWrap/>
            <w:vAlign w:val="center"/>
            <w:hideMark/>
          </w:tcPr>
          <w:p w14:paraId="19A152B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12.1%</w:t>
            </w:r>
          </w:p>
        </w:tc>
      </w:tr>
      <w:tr w:rsidR="00407705" w:rsidRPr="00105FFC" w14:paraId="5C153F7E"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65CE8729"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San Francisco</w:t>
            </w:r>
          </w:p>
        </w:tc>
        <w:tc>
          <w:tcPr>
            <w:tcW w:w="0" w:type="auto"/>
            <w:noWrap/>
            <w:vAlign w:val="center"/>
            <w:hideMark/>
          </w:tcPr>
          <w:p w14:paraId="3F240D6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65231CA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8,801</w:t>
            </w:r>
          </w:p>
        </w:tc>
        <w:tc>
          <w:tcPr>
            <w:tcW w:w="0" w:type="auto"/>
            <w:noWrap/>
            <w:vAlign w:val="center"/>
            <w:hideMark/>
          </w:tcPr>
          <w:p w14:paraId="0F0E422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2,070</w:t>
            </w:r>
          </w:p>
        </w:tc>
        <w:tc>
          <w:tcPr>
            <w:tcW w:w="0" w:type="auto"/>
            <w:noWrap/>
            <w:vAlign w:val="center"/>
            <w:hideMark/>
          </w:tcPr>
          <w:p w14:paraId="310BA63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23.5%</w:t>
            </w:r>
          </w:p>
        </w:tc>
        <w:tc>
          <w:tcPr>
            <w:tcW w:w="0" w:type="auto"/>
            <w:noWrap/>
            <w:vAlign w:val="center"/>
            <w:hideMark/>
          </w:tcPr>
          <w:p w14:paraId="26F41E4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2,207</w:t>
            </w:r>
          </w:p>
        </w:tc>
        <w:tc>
          <w:tcPr>
            <w:tcW w:w="0" w:type="auto"/>
            <w:noWrap/>
            <w:vAlign w:val="center"/>
            <w:hideMark/>
          </w:tcPr>
          <w:p w14:paraId="7E39D67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25.1%</w:t>
            </w:r>
          </w:p>
        </w:tc>
        <w:tc>
          <w:tcPr>
            <w:tcW w:w="0" w:type="auto"/>
            <w:noWrap/>
            <w:vAlign w:val="center"/>
            <w:hideMark/>
          </w:tcPr>
          <w:p w14:paraId="0BE5832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1,777</w:t>
            </w:r>
          </w:p>
        </w:tc>
        <w:tc>
          <w:tcPr>
            <w:tcW w:w="0" w:type="auto"/>
            <w:noWrap/>
            <w:vAlign w:val="center"/>
            <w:hideMark/>
          </w:tcPr>
          <w:p w14:paraId="7EE6173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20.2%</w:t>
            </w:r>
          </w:p>
        </w:tc>
      </w:tr>
      <w:tr w:rsidR="00407705" w:rsidRPr="00105FFC" w14:paraId="2B6F28B7"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631ACB3"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ABB266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68BCC29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5,074</w:t>
            </w:r>
          </w:p>
        </w:tc>
        <w:tc>
          <w:tcPr>
            <w:tcW w:w="0" w:type="auto"/>
            <w:noWrap/>
            <w:vAlign w:val="center"/>
            <w:hideMark/>
          </w:tcPr>
          <w:p w14:paraId="2C81E2C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2,138</w:t>
            </w:r>
          </w:p>
        </w:tc>
        <w:tc>
          <w:tcPr>
            <w:tcW w:w="0" w:type="auto"/>
            <w:noWrap/>
            <w:vAlign w:val="center"/>
            <w:hideMark/>
          </w:tcPr>
          <w:p w14:paraId="0DE6214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42.1%</w:t>
            </w:r>
          </w:p>
        </w:tc>
        <w:tc>
          <w:tcPr>
            <w:tcW w:w="0" w:type="auto"/>
            <w:noWrap/>
            <w:vAlign w:val="center"/>
            <w:hideMark/>
          </w:tcPr>
          <w:p w14:paraId="50963AC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2,250</w:t>
            </w:r>
          </w:p>
        </w:tc>
        <w:tc>
          <w:tcPr>
            <w:tcW w:w="0" w:type="auto"/>
            <w:noWrap/>
            <w:vAlign w:val="center"/>
            <w:hideMark/>
          </w:tcPr>
          <w:p w14:paraId="2E59329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44.3%</w:t>
            </w:r>
          </w:p>
        </w:tc>
        <w:tc>
          <w:tcPr>
            <w:tcW w:w="0" w:type="auto"/>
            <w:noWrap/>
            <w:vAlign w:val="center"/>
            <w:hideMark/>
          </w:tcPr>
          <w:p w14:paraId="2EF7A0D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1,042</w:t>
            </w:r>
          </w:p>
        </w:tc>
        <w:tc>
          <w:tcPr>
            <w:tcW w:w="0" w:type="auto"/>
            <w:noWrap/>
            <w:vAlign w:val="center"/>
            <w:hideMark/>
          </w:tcPr>
          <w:p w14:paraId="6CE1BF2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20.5%</w:t>
            </w:r>
          </w:p>
        </w:tc>
      </w:tr>
      <w:tr w:rsidR="00407705" w:rsidRPr="00105FFC" w14:paraId="0DE09861"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279BD89"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3690E6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205B6DC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8,122</w:t>
            </w:r>
          </w:p>
        </w:tc>
        <w:tc>
          <w:tcPr>
            <w:tcW w:w="0" w:type="auto"/>
            <w:noWrap/>
            <w:vAlign w:val="center"/>
            <w:hideMark/>
          </w:tcPr>
          <w:p w14:paraId="6E8E25D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3,677</w:t>
            </w:r>
          </w:p>
        </w:tc>
        <w:tc>
          <w:tcPr>
            <w:tcW w:w="0" w:type="auto"/>
            <w:noWrap/>
            <w:vAlign w:val="center"/>
            <w:hideMark/>
          </w:tcPr>
          <w:p w14:paraId="5E4F2AD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45.3%</w:t>
            </w:r>
          </w:p>
        </w:tc>
        <w:tc>
          <w:tcPr>
            <w:tcW w:w="0" w:type="auto"/>
            <w:noWrap/>
            <w:vAlign w:val="center"/>
            <w:hideMark/>
          </w:tcPr>
          <w:p w14:paraId="1E2C0DC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3,838</w:t>
            </w:r>
          </w:p>
        </w:tc>
        <w:tc>
          <w:tcPr>
            <w:tcW w:w="0" w:type="auto"/>
            <w:noWrap/>
            <w:vAlign w:val="center"/>
            <w:hideMark/>
          </w:tcPr>
          <w:p w14:paraId="1B18FBD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47.3%</w:t>
            </w:r>
          </w:p>
        </w:tc>
        <w:tc>
          <w:tcPr>
            <w:tcW w:w="0" w:type="auto"/>
            <w:noWrap/>
            <w:vAlign w:val="center"/>
            <w:hideMark/>
          </w:tcPr>
          <w:p w14:paraId="2882F0B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1,568</w:t>
            </w:r>
          </w:p>
        </w:tc>
        <w:tc>
          <w:tcPr>
            <w:tcW w:w="0" w:type="auto"/>
            <w:noWrap/>
            <w:vAlign w:val="center"/>
            <w:hideMark/>
          </w:tcPr>
          <w:p w14:paraId="4259E63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w:t>
            </w:r>
          </w:p>
        </w:tc>
      </w:tr>
      <w:tr w:rsidR="00407705" w:rsidRPr="00105FFC" w14:paraId="5A3DB9F5"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C428C03"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00259E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1540EFA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7,490</w:t>
            </w:r>
          </w:p>
        </w:tc>
        <w:tc>
          <w:tcPr>
            <w:tcW w:w="0" w:type="auto"/>
            <w:noWrap/>
            <w:vAlign w:val="center"/>
            <w:hideMark/>
          </w:tcPr>
          <w:p w14:paraId="7735CA1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3,319</w:t>
            </w:r>
          </w:p>
        </w:tc>
        <w:tc>
          <w:tcPr>
            <w:tcW w:w="0" w:type="auto"/>
            <w:noWrap/>
            <w:vAlign w:val="center"/>
            <w:hideMark/>
          </w:tcPr>
          <w:p w14:paraId="659746B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44.3%</w:t>
            </w:r>
          </w:p>
        </w:tc>
        <w:tc>
          <w:tcPr>
            <w:tcW w:w="0" w:type="auto"/>
            <w:noWrap/>
            <w:vAlign w:val="center"/>
            <w:hideMark/>
          </w:tcPr>
          <w:p w14:paraId="7781FE9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3,476</w:t>
            </w:r>
          </w:p>
        </w:tc>
        <w:tc>
          <w:tcPr>
            <w:tcW w:w="0" w:type="auto"/>
            <w:noWrap/>
            <w:vAlign w:val="center"/>
            <w:hideMark/>
          </w:tcPr>
          <w:p w14:paraId="5111456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46.4%</w:t>
            </w:r>
          </w:p>
        </w:tc>
        <w:tc>
          <w:tcPr>
            <w:tcW w:w="0" w:type="auto"/>
            <w:noWrap/>
            <w:vAlign w:val="center"/>
            <w:hideMark/>
          </w:tcPr>
          <w:p w14:paraId="1E9FF97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1,301</w:t>
            </w:r>
          </w:p>
        </w:tc>
        <w:tc>
          <w:tcPr>
            <w:tcW w:w="0" w:type="auto"/>
            <w:noWrap/>
            <w:vAlign w:val="center"/>
            <w:hideMark/>
          </w:tcPr>
          <w:p w14:paraId="7A318EB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17.4%</w:t>
            </w:r>
          </w:p>
        </w:tc>
      </w:tr>
      <w:tr w:rsidR="00407705" w:rsidRPr="00105FFC" w14:paraId="2A95BB1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D13C8FE"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B127BB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1F20BAE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6,857</w:t>
            </w:r>
          </w:p>
        </w:tc>
        <w:tc>
          <w:tcPr>
            <w:tcW w:w="0" w:type="auto"/>
            <w:noWrap/>
            <w:vAlign w:val="center"/>
            <w:hideMark/>
          </w:tcPr>
          <w:p w14:paraId="45AE015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2,822</w:t>
            </w:r>
          </w:p>
        </w:tc>
        <w:tc>
          <w:tcPr>
            <w:tcW w:w="0" w:type="auto"/>
            <w:noWrap/>
            <w:vAlign w:val="center"/>
            <w:hideMark/>
          </w:tcPr>
          <w:p w14:paraId="3F76118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41.2%</w:t>
            </w:r>
          </w:p>
        </w:tc>
        <w:tc>
          <w:tcPr>
            <w:tcW w:w="0" w:type="auto"/>
            <w:noWrap/>
            <w:vAlign w:val="center"/>
            <w:hideMark/>
          </w:tcPr>
          <w:p w14:paraId="2F8BB80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3,030</w:t>
            </w:r>
          </w:p>
        </w:tc>
        <w:tc>
          <w:tcPr>
            <w:tcW w:w="0" w:type="auto"/>
            <w:noWrap/>
            <w:vAlign w:val="center"/>
            <w:hideMark/>
          </w:tcPr>
          <w:p w14:paraId="1E2060D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44.2%</w:t>
            </w:r>
          </w:p>
        </w:tc>
        <w:tc>
          <w:tcPr>
            <w:tcW w:w="0" w:type="auto"/>
            <w:noWrap/>
            <w:vAlign w:val="center"/>
            <w:hideMark/>
          </w:tcPr>
          <w:p w14:paraId="5B2F6EE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826</w:t>
            </w:r>
          </w:p>
        </w:tc>
        <w:tc>
          <w:tcPr>
            <w:tcW w:w="0" w:type="auto"/>
            <w:noWrap/>
            <w:vAlign w:val="center"/>
            <w:hideMark/>
          </w:tcPr>
          <w:p w14:paraId="45BE24C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12.0%</w:t>
            </w:r>
          </w:p>
        </w:tc>
      </w:tr>
      <w:tr w:rsidR="00407705" w:rsidRPr="00105FFC" w14:paraId="1446B366"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D3812B0"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B31CAE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40418EA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9,299</w:t>
            </w:r>
          </w:p>
        </w:tc>
        <w:tc>
          <w:tcPr>
            <w:tcW w:w="0" w:type="auto"/>
            <w:noWrap/>
            <w:vAlign w:val="center"/>
            <w:hideMark/>
          </w:tcPr>
          <w:p w14:paraId="2E0B7AC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3,144</w:t>
            </w:r>
          </w:p>
        </w:tc>
        <w:tc>
          <w:tcPr>
            <w:tcW w:w="0" w:type="auto"/>
            <w:noWrap/>
            <w:vAlign w:val="center"/>
            <w:hideMark/>
          </w:tcPr>
          <w:p w14:paraId="097329A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33.8%</w:t>
            </w:r>
          </w:p>
        </w:tc>
        <w:tc>
          <w:tcPr>
            <w:tcW w:w="0" w:type="auto"/>
            <w:noWrap/>
            <w:vAlign w:val="center"/>
            <w:hideMark/>
          </w:tcPr>
          <w:p w14:paraId="22108B1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3,541</w:t>
            </w:r>
          </w:p>
        </w:tc>
        <w:tc>
          <w:tcPr>
            <w:tcW w:w="0" w:type="auto"/>
            <w:noWrap/>
            <w:vAlign w:val="center"/>
            <w:hideMark/>
          </w:tcPr>
          <w:p w14:paraId="6FB57C8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38.1%</w:t>
            </w:r>
          </w:p>
        </w:tc>
        <w:tc>
          <w:tcPr>
            <w:tcW w:w="0" w:type="auto"/>
            <w:noWrap/>
            <w:vAlign w:val="center"/>
            <w:hideMark/>
          </w:tcPr>
          <w:p w14:paraId="2077FCB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1,058</w:t>
            </w:r>
          </w:p>
        </w:tc>
        <w:tc>
          <w:tcPr>
            <w:tcW w:w="0" w:type="auto"/>
            <w:noWrap/>
            <w:vAlign w:val="center"/>
            <w:hideMark/>
          </w:tcPr>
          <w:p w14:paraId="3627146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11.4%</w:t>
            </w:r>
          </w:p>
        </w:tc>
      </w:tr>
      <w:tr w:rsidR="00407705" w:rsidRPr="00105FFC" w14:paraId="4ADCB8B1"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75D0CD2"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47C1BA0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6E0B053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3,904</w:t>
            </w:r>
          </w:p>
        </w:tc>
        <w:tc>
          <w:tcPr>
            <w:tcW w:w="0" w:type="auto"/>
            <w:noWrap/>
            <w:vAlign w:val="center"/>
            <w:hideMark/>
          </w:tcPr>
          <w:p w14:paraId="37D5262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900</w:t>
            </w:r>
          </w:p>
        </w:tc>
        <w:tc>
          <w:tcPr>
            <w:tcW w:w="0" w:type="auto"/>
            <w:noWrap/>
            <w:vAlign w:val="center"/>
            <w:hideMark/>
          </w:tcPr>
          <w:p w14:paraId="07250E6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23.1%</w:t>
            </w:r>
          </w:p>
        </w:tc>
        <w:tc>
          <w:tcPr>
            <w:tcW w:w="0" w:type="auto"/>
            <w:noWrap/>
            <w:vAlign w:val="center"/>
            <w:hideMark/>
          </w:tcPr>
          <w:p w14:paraId="33A6E27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1,106</w:t>
            </w:r>
          </w:p>
        </w:tc>
        <w:tc>
          <w:tcPr>
            <w:tcW w:w="0" w:type="auto"/>
            <w:noWrap/>
            <w:vAlign w:val="center"/>
            <w:hideMark/>
          </w:tcPr>
          <w:p w14:paraId="244A763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28.3%</w:t>
            </w:r>
          </w:p>
        </w:tc>
        <w:tc>
          <w:tcPr>
            <w:tcW w:w="0" w:type="auto"/>
            <w:noWrap/>
            <w:vAlign w:val="center"/>
            <w:hideMark/>
          </w:tcPr>
          <w:p w14:paraId="57A5583F"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279</w:t>
            </w:r>
          </w:p>
        </w:tc>
        <w:tc>
          <w:tcPr>
            <w:tcW w:w="0" w:type="auto"/>
            <w:noWrap/>
            <w:vAlign w:val="center"/>
            <w:hideMark/>
          </w:tcPr>
          <w:p w14:paraId="7D373AE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7.1%</w:t>
            </w:r>
          </w:p>
        </w:tc>
      </w:tr>
      <w:tr w:rsidR="00407705" w:rsidRPr="00105FFC" w14:paraId="4D483643"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0A63E70"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4B603E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65BFF3F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49,547</w:t>
            </w:r>
          </w:p>
        </w:tc>
        <w:tc>
          <w:tcPr>
            <w:tcW w:w="0" w:type="auto"/>
            <w:noWrap/>
            <w:vAlign w:val="center"/>
            <w:hideMark/>
          </w:tcPr>
          <w:p w14:paraId="0FFEC55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18,070</w:t>
            </w:r>
          </w:p>
        </w:tc>
        <w:tc>
          <w:tcPr>
            <w:tcW w:w="0" w:type="auto"/>
            <w:noWrap/>
            <w:vAlign w:val="center"/>
            <w:hideMark/>
          </w:tcPr>
          <w:p w14:paraId="3BE54B1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36.5%</w:t>
            </w:r>
          </w:p>
        </w:tc>
        <w:tc>
          <w:tcPr>
            <w:tcW w:w="0" w:type="auto"/>
            <w:noWrap/>
            <w:vAlign w:val="center"/>
            <w:hideMark/>
          </w:tcPr>
          <w:p w14:paraId="667E527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19,448</w:t>
            </w:r>
          </w:p>
        </w:tc>
        <w:tc>
          <w:tcPr>
            <w:tcW w:w="0" w:type="auto"/>
            <w:noWrap/>
            <w:vAlign w:val="center"/>
            <w:hideMark/>
          </w:tcPr>
          <w:p w14:paraId="172ED0B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39.3%</w:t>
            </w:r>
          </w:p>
        </w:tc>
        <w:tc>
          <w:tcPr>
            <w:tcW w:w="0" w:type="auto"/>
            <w:noWrap/>
            <w:vAlign w:val="center"/>
            <w:hideMark/>
          </w:tcPr>
          <w:p w14:paraId="7A0AA1E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7,851</w:t>
            </w:r>
          </w:p>
        </w:tc>
        <w:tc>
          <w:tcPr>
            <w:tcW w:w="0" w:type="auto"/>
            <w:noWrap/>
            <w:vAlign w:val="center"/>
            <w:hideMark/>
          </w:tcPr>
          <w:p w14:paraId="04F1DA1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15.8%</w:t>
            </w:r>
          </w:p>
        </w:tc>
      </w:tr>
      <w:tr w:rsidR="00407705" w:rsidRPr="00105FFC" w14:paraId="40F76A3F"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665691FD"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San Mateo</w:t>
            </w:r>
          </w:p>
        </w:tc>
        <w:tc>
          <w:tcPr>
            <w:tcW w:w="0" w:type="auto"/>
            <w:noWrap/>
            <w:vAlign w:val="center"/>
            <w:hideMark/>
          </w:tcPr>
          <w:p w14:paraId="222B751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7837FFE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8,425</w:t>
            </w:r>
          </w:p>
        </w:tc>
        <w:tc>
          <w:tcPr>
            <w:tcW w:w="0" w:type="auto"/>
            <w:noWrap/>
            <w:vAlign w:val="center"/>
            <w:hideMark/>
          </w:tcPr>
          <w:p w14:paraId="1761D14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1,502</w:t>
            </w:r>
          </w:p>
        </w:tc>
        <w:tc>
          <w:tcPr>
            <w:tcW w:w="0" w:type="auto"/>
            <w:noWrap/>
            <w:vAlign w:val="center"/>
            <w:hideMark/>
          </w:tcPr>
          <w:p w14:paraId="1EA69B3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17.8%</w:t>
            </w:r>
          </w:p>
        </w:tc>
        <w:tc>
          <w:tcPr>
            <w:tcW w:w="0" w:type="auto"/>
            <w:noWrap/>
            <w:vAlign w:val="center"/>
            <w:hideMark/>
          </w:tcPr>
          <w:p w14:paraId="789C46B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1,618</w:t>
            </w:r>
          </w:p>
        </w:tc>
        <w:tc>
          <w:tcPr>
            <w:tcW w:w="0" w:type="auto"/>
            <w:noWrap/>
            <w:vAlign w:val="center"/>
            <w:hideMark/>
          </w:tcPr>
          <w:p w14:paraId="1E51E93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19.2%</w:t>
            </w:r>
          </w:p>
        </w:tc>
        <w:tc>
          <w:tcPr>
            <w:tcW w:w="0" w:type="auto"/>
            <w:noWrap/>
            <w:vAlign w:val="center"/>
            <w:hideMark/>
          </w:tcPr>
          <w:p w14:paraId="476CE43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1,294</w:t>
            </w:r>
          </w:p>
        </w:tc>
        <w:tc>
          <w:tcPr>
            <w:tcW w:w="0" w:type="auto"/>
            <w:noWrap/>
            <w:vAlign w:val="center"/>
            <w:hideMark/>
          </w:tcPr>
          <w:p w14:paraId="377C91F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15.4%</w:t>
            </w:r>
          </w:p>
        </w:tc>
      </w:tr>
      <w:tr w:rsidR="00407705" w:rsidRPr="00105FFC" w14:paraId="77F9107C"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EB3C65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1CD783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428A744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5,419</w:t>
            </w:r>
          </w:p>
        </w:tc>
        <w:tc>
          <w:tcPr>
            <w:tcW w:w="0" w:type="auto"/>
            <w:noWrap/>
            <w:vAlign w:val="center"/>
            <w:hideMark/>
          </w:tcPr>
          <w:p w14:paraId="549BC9D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2,099</w:t>
            </w:r>
          </w:p>
        </w:tc>
        <w:tc>
          <w:tcPr>
            <w:tcW w:w="0" w:type="auto"/>
            <w:noWrap/>
            <w:vAlign w:val="center"/>
            <w:hideMark/>
          </w:tcPr>
          <w:p w14:paraId="779C471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38.7%</w:t>
            </w:r>
          </w:p>
        </w:tc>
        <w:tc>
          <w:tcPr>
            <w:tcW w:w="0" w:type="auto"/>
            <w:noWrap/>
            <w:vAlign w:val="center"/>
            <w:hideMark/>
          </w:tcPr>
          <w:p w14:paraId="415FA6A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2,172</w:t>
            </w:r>
          </w:p>
        </w:tc>
        <w:tc>
          <w:tcPr>
            <w:tcW w:w="0" w:type="auto"/>
            <w:noWrap/>
            <w:vAlign w:val="center"/>
            <w:hideMark/>
          </w:tcPr>
          <w:p w14:paraId="0D892D2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40.1%</w:t>
            </w:r>
          </w:p>
        </w:tc>
        <w:tc>
          <w:tcPr>
            <w:tcW w:w="0" w:type="auto"/>
            <w:noWrap/>
            <w:vAlign w:val="center"/>
            <w:hideMark/>
          </w:tcPr>
          <w:p w14:paraId="6296453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898</w:t>
            </w:r>
          </w:p>
        </w:tc>
        <w:tc>
          <w:tcPr>
            <w:tcW w:w="0" w:type="auto"/>
            <w:noWrap/>
            <w:vAlign w:val="center"/>
            <w:hideMark/>
          </w:tcPr>
          <w:p w14:paraId="39EA98E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16.6%</w:t>
            </w:r>
          </w:p>
        </w:tc>
      </w:tr>
      <w:tr w:rsidR="00407705" w:rsidRPr="00105FFC" w14:paraId="71F74821"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8FA7031"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AAEC71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0E19900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8,493</w:t>
            </w:r>
          </w:p>
        </w:tc>
        <w:tc>
          <w:tcPr>
            <w:tcW w:w="0" w:type="auto"/>
            <w:noWrap/>
            <w:vAlign w:val="center"/>
            <w:hideMark/>
          </w:tcPr>
          <w:p w14:paraId="05B75D5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3,983</w:t>
            </w:r>
          </w:p>
        </w:tc>
        <w:tc>
          <w:tcPr>
            <w:tcW w:w="0" w:type="auto"/>
            <w:noWrap/>
            <w:vAlign w:val="center"/>
            <w:hideMark/>
          </w:tcPr>
          <w:p w14:paraId="6684DC0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46.9%</w:t>
            </w:r>
          </w:p>
        </w:tc>
        <w:tc>
          <w:tcPr>
            <w:tcW w:w="0" w:type="auto"/>
            <w:noWrap/>
            <w:vAlign w:val="center"/>
            <w:hideMark/>
          </w:tcPr>
          <w:p w14:paraId="11F9B0F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4,098</w:t>
            </w:r>
          </w:p>
        </w:tc>
        <w:tc>
          <w:tcPr>
            <w:tcW w:w="0" w:type="auto"/>
            <w:noWrap/>
            <w:vAlign w:val="center"/>
            <w:hideMark/>
          </w:tcPr>
          <w:p w14:paraId="3306C4F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48.3%</w:t>
            </w:r>
          </w:p>
        </w:tc>
        <w:tc>
          <w:tcPr>
            <w:tcW w:w="0" w:type="auto"/>
            <w:noWrap/>
            <w:vAlign w:val="center"/>
            <w:hideMark/>
          </w:tcPr>
          <w:p w14:paraId="25BE9A9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1,066</w:t>
            </w:r>
          </w:p>
        </w:tc>
        <w:tc>
          <w:tcPr>
            <w:tcW w:w="0" w:type="auto"/>
            <w:noWrap/>
            <w:vAlign w:val="center"/>
            <w:hideMark/>
          </w:tcPr>
          <w:p w14:paraId="1C3D2D1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12.6%</w:t>
            </w:r>
          </w:p>
        </w:tc>
      </w:tr>
      <w:tr w:rsidR="00407705" w:rsidRPr="00105FFC" w14:paraId="54E300EB"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6972176"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EEB6EE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090B69B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7,784</w:t>
            </w:r>
          </w:p>
        </w:tc>
        <w:tc>
          <w:tcPr>
            <w:tcW w:w="0" w:type="auto"/>
            <w:noWrap/>
            <w:vAlign w:val="center"/>
            <w:hideMark/>
          </w:tcPr>
          <w:p w14:paraId="15E46A3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3,665</w:t>
            </w:r>
          </w:p>
        </w:tc>
        <w:tc>
          <w:tcPr>
            <w:tcW w:w="0" w:type="auto"/>
            <w:noWrap/>
            <w:vAlign w:val="center"/>
            <w:hideMark/>
          </w:tcPr>
          <w:p w14:paraId="76CC027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47.1%</w:t>
            </w:r>
          </w:p>
        </w:tc>
        <w:tc>
          <w:tcPr>
            <w:tcW w:w="0" w:type="auto"/>
            <w:noWrap/>
            <w:vAlign w:val="center"/>
            <w:hideMark/>
          </w:tcPr>
          <w:p w14:paraId="0B888A4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3,762</w:t>
            </w:r>
          </w:p>
        </w:tc>
        <w:tc>
          <w:tcPr>
            <w:tcW w:w="0" w:type="auto"/>
            <w:noWrap/>
            <w:vAlign w:val="center"/>
            <w:hideMark/>
          </w:tcPr>
          <w:p w14:paraId="102E361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48.3%</w:t>
            </w:r>
          </w:p>
        </w:tc>
        <w:tc>
          <w:tcPr>
            <w:tcW w:w="0" w:type="auto"/>
            <w:noWrap/>
            <w:vAlign w:val="center"/>
            <w:hideMark/>
          </w:tcPr>
          <w:p w14:paraId="57DDD7D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739</w:t>
            </w:r>
          </w:p>
        </w:tc>
        <w:tc>
          <w:tcPr>
            <w:tcW w:w="0" w:type="auto"/>
            <w:noWrap/>
            <w:vAlign w:val="center"/>
            <w:hideMark/>
          </w:tcPr>
          <w:p w14:paraId="74AE118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9.5%</w:t>
            </w:r>
          </w:p>
        </w:tc>
      </w:tr>
      <w:tr w:rsidR="00407705" w:rsidRPr="00105FFC" w14:paraId="4EAC663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3A71CE7"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D0C821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43E8753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7,100</w:t>
            </w:r>
          </w:p>
        </w:tc>
        <w:tc>
          <w:tcPr>
            <w:tcW w:w="0" w:type="auto"/>
            <w:noWrap/>
            <w:vAlign w:val="center"/>
            <w:hideMark/>
          </w:tcPr>
          <w:p w14:paraId="47E5A14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3,025</w:t>
            </w:r>
          </w:p>
        </w:tc>
        <w:tc>
          <w:tcPr>
            <w:tcW w:w="0" w:type="auto"/>
            <w:noWrap/>
            <w:vAlign w:val="center"/>
            <w:hideMark/>
          </w:tcPr>
          <w:p w14:paraId="4F69535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42.6%</w:t>
            </w:r>
          </w:p>
        </w:tc>
        <w:tc>
          <w:tcPr>
            <w:tcW w:w="0" w:type="auto"/>
            <w:noWrap/>
            <w:vAlign w:val="center"/>
            <w:hideMark/>
          </w:tcPr>
          <w:p w14:paraId="16AF516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3,175</w:t>
            </w:r>
          </w:p>
        </w:tc>
        <w:tc>
          <w:tcPr>
            <w:tcW w:w="0" w:type="auto"/>
            <w:noWrap/>
            <w:vAlign w:val="center"/>
            <w:hideMark/>
          </w:tcPr>
          <w:p w14:paraId="5ED2AE9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44.7%</w:t>
            </w:r>
          </w:p>
        </w:tc>
        <w:tc>
          <w:tcPr>
            <w:tcW w:w="0" w:type="auto"/>
            <w:noWrap/>
            <w:vAlign w:val="center"/>
            <w:hideMark/>
          </w:tcPr>
          <w:p w14:paraId="5381A0D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514</w:t>
            </w:r>
          </w:p>
        </w:tc>
        <w:tc>
          <w:tcPr>
            <w:tcW w:w="0" w:type="auto"/>
            <w:noWrap/>
            <w:vAlign w:val="center"/>
            <w:hideMark/>
          </w:tcPr>
          <w:p w14:paraId="2F042FD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7.2%</w:t>
            </w:r>
          </w:p>
        </w:tc>
      </w:tr>
      <w:tr w:rsidR="00407705" w:rsidRPr="00105FFC" w14:paraId="7C76DCF8"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6D9D8F1"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2E647FA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6081E4E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8,549</w:t>
            </w:r>
          </w:p>
        </w:tc>
        <w:tc>
          <w:tcPr>
            <w:tcW w:w="0" w:type="auto"/>
            <w:noWrap/>
            <w:vAlign w:val="center"/>
            <w:hideMark/>
          </w:tcPr>
          <w:p w14:paraId="723898A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2,793</w:t>
            </w:r>
          </w:p>
        </w:tc>
        <w:tc>
          <w:tcPr>
            <w:tcW w:w="0" w:type="auto"/>
            <w:noWrap/>
            <w:vAlign w:val="center"/>
            <w:hideMark/>
          </w:tcPr>
          <w:p w14:paraId="0045848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32.7%</w:t>
            </w:r>
          </w:p>
        </w:tc>
        <w:tc>
          <w:tcPr>
            <w:tcW w:w="0" w:type="auto"/>
            <w:noWrap/>
            <w:vAlign w:val="center"/>
            <w:hideMark/>
          </w:tcPr>
          <w:p w14:paraId="05FB0A7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3,028</w:t>
            </w:r>
          </w:p>
        </w:tc>
        <w:tc>
          <w:tcPr>
            <w:tcW w:w="0" w:type="auto"/>
            <w:noWrap/>
            <w:vAlign w:val="center"/>
            <w:hideMark/>
          </w:tcPr>
          <w:p w14:paraId="0ACE1B2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35.4%</w:t>
            </w:r>
          </w:p>
        </w:tc>
        <w:tc>
          <w:tcPr>
            <w:tcW w:w="0" w:type="auto"/>
            <w:noWrap/>
            <w:vAlign w:val="center"/>
            <w:hideMark/>
          </w:tcPr>
          <w:p w14:paraId="1FF482C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437</w:t>
            </w:r>
          </w:p>
        </w:tc>
        <w:tc>
          <w:tcPr>
            <w:tcW w:w="0" w:type="auto"/>
            <w:noWrap/>
            <w:vAlign w:val="center"/>
            <w:hideMark/>
          </w:tcPr>
          <w:p w14:paraId="024A6E5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w:t>
            </w:r>
          </w:p>
        </w:tc>
      </w:tr>
      <w:tr w:rsidR="00407705" w:rsidRPr="00105FFC" w14:paraId="4D76CC0C"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7081FD9"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DBAC9D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51DDCFE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3,386</w:t>
            </w:r>
          </w:p>
        </w:tc>
        <w:tc>
          <w:tcPr>
            <w:tcW w:w="0" w:type="auto"/>
            <w:noWrap/>
            <w:vAlign w:val="center"/>
            <w:hideMark/>
          </w:tcPr>
          <w:p w14:paraId="457E0E3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691</w:t>
            </w:r>
          </w:p>
        </w:tc>
        <w:tc>
          <w:tcPr>
            <w:tcW w:w="0" w:type="auto"/>
            <w:noWrap/>
            <w:vAlign w:val="center"/>
            <w:hideMark/>
          </w:tcPr>
          <w:p w14:paraId="0FF31A8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20.4%</w:t>
            </w:r>
          </w:p>
        </w:tc>
        <w:tc>
          <w:tcPr>
            <w:tcW w:w="0" w:type="auto"/>
            <w:noWrap/>
            <w:vAlign w:val="center"/>
            <w:hideMark/>
          </w:tcPr>
          <w:p w14:paraId="7C4DBE1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787</w:t>
            </w:r>
          </w:p>
        </w:tc>
        <w:tc>
          <w:tcPr>
            <w:tcW w:w="0" w:type="auto"/>
            <w:noWrap/>
            <w:vAlign w:val="center"/>
            <w:hideMark/>
          </w:tcPr>
          <w:p w14:paraId="4D82DE7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23.2%</w:t>
            </w:r>
          </w:p>
        </w:tc>
        <w:tc>
          <w:tcPr>
            <w:tcW w:w="0" w:type="auto"/>
            <w:noWrap/>
            <w:vAlign w:val="center"/>
            <w:hideMark/>
          </w:tcPr>
          <w:p w14:paraId="309D27D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90</w:t>
            </w:r>
          </w:p>
        </w:tc>
        <w:tc>
          <w:tcPr>
            <w:tcW w:w="0" w:type="auto"/>
            <w:noWrap/>
            <w:vAlign w:val="center"/>
            <w:hideMark/>
          </w:tcPr>
          <w:p w14:paraId="180D335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2.7%</w:t>
            </w:r>
          </w:p>
        </w:tc>
      </w:tr>
      <w:tr w:rsidR="00407705" w:rsidRPr="00105FFC" w14:paraId="40B96D85"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17EBA7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5C4DD8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7C73132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49,156</w:t>
            </w:r>
          </w:p>
        </w:tc>
        <w:tc>
          <w:tcPr>
            <w:tcW w:w="0" w:type="auto"/>
            <w:noWrap/>
            <w:vAlign w:val="center"/>
            <w:hideMark/>
          </w:tcPr>
          <w:p w14:paraId="65B399B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17,758</w:t>
            </w:r>
          </w:p>
        </w:tc>
        <w:tc>
          <w:tcPr>
            <w:tcW w:w="0" w:type="auto"/>
            <w:noWrap/>
            <w:vAlign w:val="center"/>
            <w:hideMark/>
          </w:tcPr>
          <w:p w14:paraId="361CB86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36.1%</w:t>
            </w:r>
          </w:p>
        </w:tc>
        <w:tc>
          <w:tcPr>
            <w:tcW w:w="0" w:type="auto"/>
            <w:noWrap/>
            <w:vAlign w:val="center"/>
            <w:hideMark/>
          </w:tcPr>
          <w:p w14:paraId="06DB26B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18,640</w:t>
            </w:r>
          </w:p>
        </w:tc>
        <w:tc>
          <w:tcPr>
            <w:tcW w:w="0" w:type="auto"/>
            <w:noWrap/>
            <w:vAlign w:val="center"/>
            <w:hideMark/>
          </w:tcPr>
          <w:p w14:paraId="2069893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37.9%</w:t>
            </w:r>
          </w:p>
        </w:tc>
        <w:tc>
          <w:tcPr>
            <w:tcW w:w="0" w:type="auto"/>
            <w:noWrap/>
            <w:vAlign w:val="center"/>
            <w:hideMark/>
          </w:tcPr>
          <w:p w14:paraId="0BC195B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5,038</w:t>
            </w:r>
          </w:p>
        </w:tc>
        <w:tc>
          <w:tcPr>
            <w:tcW w:w="0" w:type="auto"/>
            <w:noWrap/>
            <w:vAlign w:val="center"/>
            <w:hideMark/>
          </w:tcPr>
          <w:p w14:paraId="1C9950B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10.2%</w:t>
            </w:r>
          </w:p>
        </w:tc>
      </w:tr>
      <w:tr w:rsidR="00407705" w:rsidRPr="00105FFC" w14:paraId="6A1DAA88"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24AB4B47"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Santa Clara</w:t>
            </w:r>
          </w:p>
        </w:tc>
        <w:tc>
          <w:tcPr>
            <w:tcW w:w="0" w:type="auto"/>
            <w:noWrap/>
            <w:vAlign w:val="center"/>
            <w:hideMark/>
          </w:tcPr>
          <w:p w14:paraId="5A73B2F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23A5953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23,813</w:t>
            </w:r>
          </w:p>
        </w:tc>
        <w:tc>
          <w:tcPr>
            <w:tcW w:w="0" w:type="auto"/>
            <w:noWrap/>
            <w:vAlign w:val="center"/>
            <w:hideMark/>
          </w:tcPr>
          <w:p w14:paraId="2259E62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5,415</w:t>
            </w:r>
          </w:p>
        </w:tc>
        <w:tc>
          <w:tcPr>
            <w:tcW w:w="0" w:type="auto"/>
            <w:noWrap/>
            <w:vAlign w:val="center"/>
            <w:hideMark/>
          </w:tcPr>
          <w:p w14:paraId="6DE0109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22.7%</w:t>
            </w:r>
          </w:p>
        </w:tc>
        <w:tc>
          <w:tcPr>
            <w:tcW w:w="0" w:type="auto"/>
            <w:noWrap/>
            <w:vAlign w:val="center"/>
            <w:hideMark/>
          </w:tcPr>
          <w:p w14:paraId="47E9F65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5,757</w:t>
            </w:r>
          </w:p>
        </w:tc>
        <w:tc>
          <w:tcPr>
            <w:tcW w:w="0" w:type="auto"/>
            <w:noWrap/>
            <w:vAlign w:val="center"/>
            <w:hideMark/>
          </w:tcPr>
          <w:p w14:paraId="759CD83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24.2%</w:t>
            </w:r>
          </w:p>
        </w:tc>
        <w:tc>
          <w:tcPr>
            <w:tcW w:w="0" w:type="auto"/>
            <w:noWrap/>
            <w:vAlign w:val="center"/>
            <w:hideMark/>
          </w:tcPr>
          <w:p w14:paraId="1D1EFFE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1,775</w:t>
            </w:r>
          </w:p>
        </w:tc>
        <w:tc>
          <w:tcPr>
            <w:tcW w:w="0" w:type="auto"/>
            <w:noWrap/>
            <w:vAlign w:val="center"/>
            <w:hideMark/>
          </w:tcPr>
          <w:p w14:paraId="494B558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7.5%</w:t>
            </w:r>
          </w:p>
        </w:tc>
      </w:tr>
      <w:tr w:rsidR="00407705" w:rsidRPr="00105FFC" w14:paraId="197EE8AF"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F2418F9"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6DEBBB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59D3F1E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14,916</w:t>
            </w:r>
          </w:p>
        </w:tc>
        <w:tc>
          <w:tcPr>
            <w:tcW w:w="0" w:type="auto"/>
            <w:noWrap/>
            <w:vAlign w:val="center"/>
            <w:hideMark/>
          </w:tcPr>
          <w:p w14:paraId="32F350E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7,714</w:t>
            </w:r>
          </w:p>
        </w:tc>
        <w:tc>
          <w:tcPr>
            <w:tcW w:w="0" w:type="auto"/>
            <w:noWrap/>
            <w:vAlign w:val="center"/>
            <w:hideMark/>
          </w:tcPr>
          <w:p w14:paraId="3B748E8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51.7%</w:t>
            </w:r>
          </w:p>
        </w:tc>
        <w:tc>
          <w:tcPr>
            <w:tcW w:w="0" w:type="auto"/>
            <w:noWrap/>
            <w:vAlign w:val="center"/>
            <w:hideMark/>
          </w:tcPr>
          <w:p w14:paraId="018CC99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7,963</w:t>
            </w:r>
          </w:p>
        </w:tc>
        <w:tc>
          <w:tcPr>
            <w:tcW w:w="0" w:type="auto"/>
            <w:noWrap/>
            <w:vAlign w:val="center"/>
            <w:hideMark/>
          </w:tcPr>
          <w:p w14:paraId="111EFCC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53.4%</w:t>
            </w:r>
          </w:p>
        </w:tc>
        <w:tc>
          <w:tcPr>
            <w:tcW w:w="0" w:type="auto"/>
            <w:noWrap/>
            <w:vAlign w:val="center"/>
            <w:hideMark/>
          </w:tcPr>
          <w:p w14:paraId="6CD3297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1,549</w:t>
            </w:r>
          </w:p>
        </w:tc>
        <w:tc>
          <w:tcPr>
            <w:tcW w:w="0" w:type="auto"/>
            <w:noWrap/>
            <w:vAlign w:val="center"/>
            <w:hideMark/>
          </w:tcPr>
          <w:p w14:paraId="7BEBA0A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10.4%</w:t>
            </w:r>
          </w:p>
        </w:tc>
      </w:tr>
      <w:tr w:rsidR="00407705" w:rsidRPr="00105FFC" w14:paraId="0C7EE26D"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4B1361A"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D75439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66AE978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24,484</w:t>
            </w:r>
          </w:p>
        </w:tc>
        <w:tc>
          <w:tcPr>
            <w:tcW w:w="0" w:type="auto"/>
            <w:noWrap/>
            <w:vAlign w:val="center"/>
            <w:hideMark/>
          </w:tcPr>
          <w:p w14:paraId="52F8CFB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13,542</w:t>
            </w:r>
          </w:p>
        </w:tc>
        <w:tc>
          <w:tcPr>
            <w:tcW w:w="0" w:type="auto"/>
            <w:noWrap/>
            <w:vAlign w:val="center"/>
            <w:hideMark/>
          </w:tcPr>
          <w:p w14:paraId="2E44A07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55.3%</w:t>
            </w:r>
          </w:p>
        </w:tc>
        <w:tc>
          <w:tcPr>
            <w:tcW w:w="0" w:type="auto"/>
            <w:noWrap/>
            <w:vAlign w:val="center"/>
            <w:hideMark/>
          </w:tcPr>
          <w:p w14:paraId="19CD46B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13,948</w:t>
            </w:r>
          </w:p>
        </w:tc>
        <w:tc>
          <w:tcPr>
            <w:tcW w:w="0" w:type="auto"/>
            <w:noWrap/>
            <w:vAlign w:val="center"/>
            <w:hideMark/>
          </w:tcPr>
          <w:p w14:paraId="731F48A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57.0%</w:t>
            </w:r>
          </w:p>
        </w:tc>
        <w:tc>
          <w:tcPr>
            <w:tcW w:w="0" w:type="auto"/>
            <w:noWrap/>
            <w:vAlign w:val="center"/>
            <w:hideMark/>
          </w:tcPr>
          <w:p w14:paraId="1233FF6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2,152</w:t>
            </w:r>
          </w:p>
        </w:tc>
        <w:tc>
          <w:tcPr>
            <w:tcW w:w="0" w:type="auto"/>
            <w:noWrap/>
            <w:vAlign w:val="center"/>
            <w:hideMark/>
          </w:tcPr>
          <w:p w14:paraId="6FD9AAE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8.8%</w:t>
            </w:r>
          </w:p>
        </w:tc>
      </w:tr>
      <w:tr w:rsidR="00407705" w:rsidRPr="00105FFC" w14:paraId="54C2B507"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AC1162F"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C7CF7D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413BF8B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23,138</w:t>
            </w:r>
          </w:p>
        </w:tc>
        <w:tc>
          <w:tcPr>
            <w:tcW w:w="0" w:type="auto"/>
            <w:noWrap/>
            <w:vAlign w:val="center"/>
            <w:hideMark/>
          </w:tcPr>
          <w:p w14:paraId="34C29FD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12,096</w:t>
            </w:r>
          </w:p>
        </w:tc>
        <w:tc>
          <w:tcPr>
            <w:tcW w:w="0" w:type="auto"/>
            <w:noWrap/>
            <w:vAlign w:val="center"/>
            <w:hideMark/>
          </w:tcPr>
          <w:p w14:paraId="297AB68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52.3%</w:t>
            </w:r>
          </w:p>
        </w:tc>
        <w:tc>
          <w:tcPr>
            <w:tcW w:w="0" w:type="auto"/>
            <w:noWrap/>
            <w:vAlign w:val="center"/>
            <w:hideMark/>
          </w:tcPr>
          <w:p w14:paraId="63B90E1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12,485</w:t>
            </w:r>
          </w:p>
        </w:tc>
        <w:tc>
          <w:tcPr>
            <w:tcW w:w="0" w:type="auto"/>
            <w:noWrap/>
            <w:vAlign w:val="center"/>
            <w:hideMark/>
          </w:tcPr>
          <w:p w14:paraId="4D5E7946"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54.0%</w:t>
            </w:r>
          </w:p>
        </w:tc>
        <w:tc>
          <w:tcPr>
            <w:tcW w:w="0" w:type="auto"/>
            <w:noWrap/>
            <w:vAlign w:val="center"/>
            <w:hideMark/>
          </w:tcPr>
          <w:p w14:paraId="3C5F420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1,881</w:t>
            </w:r>
          </w:p>
        </w:tc>
        <w:tc>
          <w:tcPr>
            <w:tcW w:w="0" w:type="auto"/>
            <w:noWrap/>
            <w:vAlign w:val="center"/>
            <w:hideMark/>
          </w:tcPr>
          <w:p w14:paraId="2D73F67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8.1%</w:t>
            </w:r>
          </w:p>
        </w:tc>
      </w:tr>
      <w:tr w:rsidR="00407705" w:rsidRPr="00105FFC" w14:paraId="7A0E370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CA7B52B"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58DE147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5AC46EB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21,938</w:t>
            </w:r>
          </w:p>
        </w:tc>
        <w:tc>
          <w:tcPr>
            <w:tcW w:w="0" w:type="auto"/>
            <w:noWrap/>
            <w:vAlign w:val="center"/>
            <w:hideMark/>
          </w:tcPr>
          <w:p w14:paraId="3CD7B5D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10,407</w:t>
            </w:r>
          </w:p>
        </w:tc>
        <w:tc>
          <w:tcPr>
            <w:tcW w:w="0" w:type="auto"/>
            <w:noWrap/>
            <w:vAlign w:val="center"/>
            <w:hideMark/>
          </w:tcPr>
          <w:p w14:paraId="3A672F9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47.4%</w:t>
            </w:r>
          </w:p>
        </w:tc>
        <w:tc>
          <w:tcPr>
            <w:tcW w:w="0" w:type="auto"/>
            <w:noWrap/>
            <w:vAlign w:val="center"/>
            <w:hideMark/>
          </w:tcPr>
          <w:p w14:paraId="2399F98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10,844</w:t>
            </w:r>
          </w:p>
        </w:tc>
        <w:tc>
          <w:tcPr>
            <w:tcW w:w="0" w:type="auto"/>
            <w:noWrap/>
            <w:vAlign w:val="center"/>
            <w:hideMark/>
          </w:tcPr>
          <w:p w14:paraId="65061D3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49.4%</w:t>
            </w:r>
          </w:p>
        </w:tc>
        <w:tc>
          <w:tcPr>
            <w:tcW w:w="0" w:type="auto"/>
            <w:noWrap/>
            <w:vAlign w:val="center"/>
            <w:hideMark/>
          </w:tcPr>
          <w:p w14:paraId="369C704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1,567</w:t>
            </w:r>
          </w:p>
        </w:tc>
        <w:tc>
          <w:tcPr>
            <w:tcW w:w="0" w:type="auto"/>
            <w:noWrap/>
            <w:vAlign w:val="center"/>
            <w:hideMark/>
          </w:tcPr>
          <w:p w14:paraId="2A8CE3D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7.1%</w:t>
            </w:r>
          </w:p>
        </w:tc>
      </w:tr>
      <w:tr w:rsidR="00407705" w:rsidRPr="00105FFC" w14:paraId="18D867F6"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E60F12A"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38109CF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70629F3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26,137</w:t>
            </w:r>
          </w:p>
        </w:tc>
        <w:tc>
          <w:tcPr>
            <w:tcW w:w="0" w:type="auto"/>
            <w:noWrap/>
            <w:vAlign w:val="center"/>
            <w:hideMark/>
          </w:tcPr>
          <w:p w14:paraId="1283325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9,986</w:t>
            </w:r>
          </w:p>
        </w:tc>
        <w:tc>
          <w:tcPr>
            <w:tcW w:w="0" w:type="auto"/>
            <w:noWrap/>
            <w:vAlign w:val="center"/>
            <w:hideMark/>
          </w:tcPr>
          <w:p w14:paraId="4E2EE4F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38.2%</w:t>
            </w:r>
          </w:p>
        </w:tc>
        <w:tc>
          <w:tcPr>
            <w:tcW w:w="0" w:type="auto"/>
            <w:noWrap/>
            <w:vAlign w:val="center"/>
            <w:hideMark/>
          </w:tcPr>
          <w:p w14:paraId="781365E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10,735</w:t>
            </w:r>
          </w:p>
        </w:tc>
        <w:tc>
          <w:tcPr>
            <w:tcW w:w="0" w:type="auto"/>
            <w:noWrap/>
            <w:vAlign w:val="center"/>
            <w:hideMark/>
          </w:tcPr>
          <w:p w14:paraId="1B39E86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41.1%</w:t>
            </w:r>
          </w:p>
        </w:tc>
        <w:tc>
          <w:tcPr>
            <w:tcW w:w="0" w:type="auto"/>
            <w:noWrap/>
            <w:vAlign w:val="center"/>
            <w:hideMark/>
          </w:tcPr>
          <w:p w14:paraId="1796616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1,732</w:t>
            </w:r>
          </w:p>
        </w:tc>
        <w:tc>
          <w:tcPr>
            <w:tcW w:w="0" w:type="auto"/>
            <w:noWrap/>
            <w:vAlign w:val="center"/>
            <w:hideMark/>
          </w:tcPr>
          <w:p w14:paraId="7F23BB6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6.6%</w:t>
            </w:r>
          </w:p>
        </w:tc>
      </w:tr>
      <w:tr w:rsidR="00407705" w:rsidRPr="00105FFC" w14:paraId="40AAE355"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118F540"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75856A8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1A545B1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9,948</w:t>
            </w:r>
          </w:p>
        </w:tc>
        <w:tc>
          <w:tcPr>
            <w:tcW w:w="0" w:type="auto"/>
            <w:noWrap/>
            <w:vAlign w:val="center"/>
            <w:hideMark/>
          </w:tcPr>
          <w:p w14:paraId="3137550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2,569</w:t>
            </w:r>
          </w:p>
        </w:tc>
        <w:tc>
          <w:tcPr>
            <w:tcW w:w="0" w:type="auto"/>
            <w:noWrap/>
            <w:vAlign w:val="center"/>
            <w:hideMark/>
          </w:tcPr>
          <w:p w14:paraId="32C6A97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25.8%</w:t>
            </w:r>
          </w:p>
        </w:tc>
        <w:tc>
          <w:tcPr>
            <w:tcW w:w="0" w:type="auto"/>
            <w:noWrap/>
            <w:vAlign w:val="center"/>
            <w:hideMark/>
          </w:tcPr>
          <w:p w14:paraId="0A5F261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2,915</w:t>
            </w:r>
          </w:p>
        </w:tc>
        <w:tc>
          <w:tcPr>
            <w:tcW w:w="0" w:type="auto"/>
            <w:noWrap/>
            <w:vAlign w:val="center"/>
            <w:hideMark/>
          </w:tcPr>
          <w:p w14:paraId="7F4562F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29.3%</w:t>
            </w:r>
          </w:p>
        </w:tc>
        <w:tc>
          <w:tcPr>
            <w:tcW w:w="0" w:type="auto"/>
            <w:noWrap/>
            <w:vAlign w:val="center"/>
            <w:hideMark/>
          </w:tcPr>
          <w:p w14:paraId="23F1E44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408</w:t>
            </w:r>
          </w:p>
        </w:tc>
        <w:tc>
          <w:tcPr>
            <w:tcW w:w="0" w:type="auto"/>
            <w:noWrap/>
            <w:vAlign w:val="center"/>
            <w:hideMark/>
          </w:tcPr>
          <w:p w14:paraId="11CEAC0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4.1%</w:t>
            </w:r>
          </w:p>
        </w:tc>
      </w:tr>
      <w:tr w:rsidR="00407705" w:rsidRPr="00105FFC" w14:paraId="34696073"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6E01CB3" w14:textId="77777777" w:rsidR="00407705" w:rsidRPr="00105FFC" w:rsidRDefault="00407705" w:rsidP="00407705">
            <w:pPr>
              <w:jc w:val="center"/>
              <w:rPr>
                <w:rFonts w:asciiTheme="minorHAnsi" w:hAnsiTheme="minorHAnsi" w:cs="Arial"/>
                <w:b w:val="0"/>
                <w:bCs w:val="0"/>
                <w:color w:val="555555"/>
                <w:sz w:val="20"/>
                <w:szCs w:val="20"/>
              </w:rPr>
            </w:pPr>
          </w:p>
        </w:tc>
        <w:tc>
          <w:tcPr>
            <w:tcW w:w="0" w:type="auto"/>
            <w:noWrap/>
            <w:vAlign w:val="center"/>
            <w:hideMark/>
          </w:tcPr>
          <w:p w14:paraId="0EBA03A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112AE4A1"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144,374</w:t>
            </w:r>
          </w:p>
        </w:tc>
        <w:tc>
          <w:tcPr>
            <w:tcW w:w="0" w:type="auto"/>
            <w:noWrap/>
            <w:vAlign w:val="center"/>
            <w:hideMark/>
          </w:tcPr>
          <w:p w14:paraId="3591A87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61,729</w:t>
            </w:r>
          </w:p>
        </w:tc>
        <w:tc>
          <w:tcPr>
            <w:tcW w:w="0" w:type="auto"/>
            <w:noWrap/>
            <w:vAlign w:val="center"/>
            <w:hideMark/>
          </w:tcPr>
          <w:p w14:paraId="2FF99F8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42.8%</w:t>
            </w:r>
          </w:p>
        </w:tc>
        <w:tc>
          <w:tcPr>
            <w:tcW w:w="0" w:type="auto"/>
            <w:noWrap/>
            <w:vAlign w:val="center"/>
            <w:hideMark/>
          </w:tcPr>
          <w:p w14:paraId="1668AE0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64,647</w:t>
            </w:r>
          </w:p>
        </w:tc>
        <w:tc>
          <w:tcPr>
            <w:tcW w:w="0" w:type="auto"/>
            <w:noWrap/>
            <w:vAlign w:val="center"/>
            <w:hideMark/>
          </w:tcPr>
          <w:p w14:paraId="48E9ACD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44.8%</w:t>
            </w:r>
          </w:p>
        </w:tc>
        <w:tc>
          <w:tcPr>
            <w:tcW w:w="0" w:type="auto"/>
            <w:noWrap/>
            <w:vAlign w:val="center"/>
            <w:hideMark/>
          </w:tcPr>
          <w:p w14:paraId="4798B3E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11,064</w:t>
            </w:r>
          </w:p>
        </w:tc>
        <w:tc>
          <w:tcPr>
            <w:tcW w:w="0" w:type="auto"/>
            <w:noWrap/>
            <w:vAlign w:val="center"/>
            <w:hideMark/>
          </w:tcPr>
          <w:p w14:paraId="483BAD0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7.7%</w:t>
            </w:r>
          </w:p>
        </w:tc>
      </w:tr>
      <w:tr w:rsidR="00407705" w:rsidRPr="00105FFC" w14:paraId="37499FFA"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49A5E821" w14:textId="77777777" w:rsidR="00407705" w:rsidRPr="00105FFC" w:rsidRDefault="00407705" w:rsidP="00407705">
            <w:pPr>
              <w:jc w:val="center"/>
              <w:rPr>
                <w:rFonts w:asciiTheme="minorHAnsi" w:hAnsiTheme="minorHAnsi" w:cs="Arial"/>
                <w:b w:val="0"/>
                <w:bCs w:val="0"/>
                <w:color w:val="555555"/>
                <w:sz w:val="20"/>
                <w:szCs w:val="20"/>
              </w:rPr>
            </w:pPr>
            <w:r w:rsidRPr="00105FFC">
              <w:rPr>
                <w:rFonts w:asciiTheme="minorHAnsi" w:hAnsiTheme="minorHAnsi" w:cs="Arial"/>
                <w:b w:val="0"/>
                <w:bCs w:val="0"/>
                <w:color w:val="555555"/>
                <w:sz w:val="20"/>
                <w:szCs w:val="20"/>
              </w:rPr>
              <w:t>South Coast</w:t>
            </w:r>
          </w:p>
        </w:tc>
        <w:tc>
          <w:tcPr>
            <w:tcW w:w="0" w:type="auto"/>
            <w:noWrap/>
            <w:vAlign w:val="center"/>
            <w:hideMark/>
          </w:tcPr>
          <w:p w14:paraId="7CC7175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0-3</w:t>
            </w:r>
          </w:p>
        </w:tc>
        <w:tc>
          <w:tcPr>
            <w:tcW w:w="0" w:type="auto"/>
            <w:noWrap/>
            <w:vAlign w:val="center"/>
            <w:hideMark/>
          </w:tcPr>
          <w:p w14:paraId="7CD7979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30,438</w:t>
            </w:r>
          </w:p>
        </w:tc>
        <w:tc>
          <w:tcPr>
            <w:tcW w:w="0" w:type="auto"/>
            <w:noWrap/>
            <w:vAlign w:val="center"/>
            <w:hideMark/>
          </w:tcPr>
          <w:p w14:paraId="75E0134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7,324</w:t>
            </w:r>
          </w:p>
        </w:tc>
        <w:tc>
          <w:tcPr>
            <w:tcW w:w="0" w:type="auto"/>
            <w:noWrap/>
            <w:vAlign w:val="center"/>
            <w:hideMark/>
          </w:tcPr>
          <w:p w14:paraId="304FD838"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24.1%</w:t>
            </w:r>
          </w:p>
        </w:tc>
        <w:tc>
          <w:tcPr>
            <w:tcW w:w="0" w:type="auto"/>
            <w:noWrap/>
            <w:vAlign w:val="center"/>
            <w:hideMark/>
          </w:tcPr>
          <w:p w14:paraId="02269EF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8,151</w:t>
            </w:r>
          </w:p>
        </w:tc>
        <w:tc>
          <w:tcPr>
            <w:tcW w:w="0" w:type="auto"/>
            <w:noWrap/>
            <w:vAlign w:val="center"/>
            <w:hideMark/>
          </w:tcPr>
          <w:p w14:paraId="1EACE2D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26.8%</w:t>
            </w:r>
          </w:p>
        </w:tc>
        <w:tc>
          <w:tcPr>
            <w:tcW w:w="0" w:type="auto"/>
            <w:noWrap/>
            <w:vAlign w:val="center"/>
            <w:hideMark/>
          </w:tcPr>
          <w:p w14:paraId="698710A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2,615</w:t>
            </w:r>
          </w:p>
        </w:tc>
        <w:tc>
          <w:tcPr>
            <w:tcW w:w="0" w:type="auto"/>
            <w:noWrap/>
            <w:vAlign w:val="center"/>
            <w:hideMark/>
          </w:tcPr>
          <w:p w14:paraId="7D977AA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8.6%</w:t>
            </w:r>
          </w:p>
        </w:tc>
      </w:tr>
      <w:tr w:rsidR="00407705" w:rsidRPr="00105FFC" w14:paraId="27D55E22"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E8B19F5" w14:textId="77777777" w:rsidR="00407705" w:rsidRPr="00105FFC" w:rsidRDefault="00407705" w:rsidP="00407705">
            <w:pPr>
              <w:rPr>
                <w:rFonts w:asciiTheme="minorHAnsi" w:hAnsiTheme="minorHAnsi" w:cs="Arial"/>
                <w:b w:val="0"/>
                <w:bCs w:val="0"/>
                <w:color w:val="555555"/>
                <w:sz w:val="20"/>
                <w:szCs w:val="20"/>
              </w:rPr>
            </w:pPr>
          </w:p>
        </w:tc>
        <w:tc>
          <w:tcPr>
            <w:tcW w:w="0" w:type="auto"/>
            <w:noWrap/>
            <w:vAlign w:val="center"/>
            <w:hideMark/>
          </w:tcPr>
          <w:p w14:paraId="596F813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4-5</w:t>
            </w:r>
          </w:p>
        </w:tc>
        <w:tc>
          <w:tcPr>
            <w:tcW w:w="0" w:type="auto"/>
            <w:noWrap/>
            <w:vAlign w:val="center"/>
            <w:hideMark/>
          </w:tcPr>
          <w:p w14:paraId="25BC8062"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19,338</w:t>
            </w:r>
          </w:p>
        </w:tc>
        <w:tc>
          <w:tcPr>
            <w:tcW w:w="0" w:type="auto"/>
            <w:noWrap/>
            <w:vAlign w:val="center"/>
            <w:hideMark/>
          </w:tcPr>
          <w:p w14:paraId="4B95F6E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10,046</w:t>
            </w:r>
          </w:p>
        </w:tc>
        <w:tc>
          <w:tcPr>
            <w:tcW w:w="0" w:type="auto"/>
            <w:noWrap/>
            <w:vAlign w:val="center"/>
            <w:hideMark/>
          </w:tcPr>
          <w:p w14:paraId="532F05A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51.9%</w:t>
            </w:r>
          </w:p>
        </w:tc>
        <w:tc>
          <w:tcPr>
            <w:tcW w:w="0" w:type="auto"/>
            <w:noWrap/>
            <w:vAlign w:val="center"/>
            <w:hideMark/>
          </w:tcPr>
          <w:p w14:paraId="4DF9389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10,623</w:t>
            </w:r>
          </w:p>
        </w:tc>
        <w:tc>
          <w:tcPr>
            <w:tcW w:w="0" w:type="auto"/>
            <w:noWrap/>
            <w:vAlign w:val="center"/>
            <w:hideMark/>
          </w:tcPr>
          <w:p w14:paraId="6CFD50B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54.9%</w:t>
            </w:r>
          </w:p>
        </w:tc>
        <w:tc>
          <w:tcPr>
            <w:tcW w:w="0" w:type="auto"/>
            <w:noWrap/>
            <w:vAlign w:val="center"/>
            <w:hideMark/>
          </w:tcPr>
          <w:p w14:paraId="4D0EAECF"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2,253</w:t>
            </w:r>
          </w:p>
        </w:tc>
        <w:tc>
          <w:tcPr>
            <w:tcW w:w="0" w:type="auto"/>
            <w:noWrap/>
            <w:vAlign w:val="center"/>
            <w:hideMark/>
          </w:tcPr>
          <w:p w14:paraId="475520B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11.7%</w:t>
            </w:r>
          </w:p>
        </w:tc>
      </w:tr>
      <w:tr w:rsidR="00407705" w:rsidRPr="00105FFC" w14:paraId="02044909"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F88FAAB" w14:textId="77777777" w:rsidR="00407705" w:rsidRPr="00105FFC" w:rsidRDefault="00407705" w:rsidP="00407705">
            <w:pPr>
              <w:rPr>
                <w:rFonts w:asciiTheme="minorHAnsi" w:hAnsiTheme="minorHAnsi" w:cs="Arial"/>
                <w:b w:val="0"/>
                <w:bCs w:val="0"/>
                <w:color w:val="555555"/>
                <w:sz w:val="20"/>
                <w:szCs w:val="20"/>
              </w:rPr>
            </w:pPr>
          </w:p>
        </w:tc>
        <w:tc>
          <w:tcPr>
            <w:tcW w:w="0" w:type="auto"/>
            <w:noWrap/>
            <w:vAlign w:val="center"/>
            <w:hideMark/>
          </w:tcPr>
          <w:p w14:paraId="0505546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6-8</w:t>
            </w:r>
          </w:p>
        </w:tc>
        <w:tc>
          <w:tcPr>
            <w:tcW w:w="0" w:type="auto"/>
            <w:noWrap/>
            <w:vAlign w:val="center"/>
            <w:hideMark/>
          </w:tcPr>
          <w:p w14:paraId="3884BF6D"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30,508</w:t>
            </w:r>
          </w:p>
        </w:tc>
        <w:tc>
          <w:tcPr>
            <w:tcW w:w="0" w:type="auto"/>
            <w:noWrap/>
            <w:vAlign w:val="center"/>
            <w:hideMark/>
          </w:tcPr>
          <w:p w14:paraId="57B08CA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16,773</w:t>
            </w:r>
          </w:p>
        </w:tc>
        <w:tc>
          <w:tcPr>
            <w:tcW w:w="0" w:type="auto"/>
            <w:noWrap/>
            <w:vAlign w:val="center"/>
            <w:hideMark/>
          </w:tcPr>
          <w:p w14:paraId="2B114E5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55.0%</w:t>
            </w:r>
          </w:p>
        </w:tc>
        <w:tc>
          <w:tcPr>
            <w:tcW w:w="0" w:type="auto"/>
            <w:noWrap/>
            <w:vAlign w:val="center"/>
            <w:hideMark/>
          </w:tcPr>
          <w:p w14:paraId="51F65D3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17,348</w:t>
            </w:r>
          </w:p>
        </w:tc>
        <w:tc>
          <w:tcPr>
            <w:tcW w:w="0" w:type="auto"/>
            <w:noWrap/>
            <w:vAlign w:val="center"/>
            <w:hideMark/>
          </w:tcPr>
          <w:p w14:paraId="7363782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56.9%</w:t>
            </w:r>
          </w:p>
        </w:tc>
        <w:tc>
          <w:tcPr>
            <w:tcW w:w="0" w:type="auto"/>
            <w:noWrap/>
            <w:vAlign w:val="center"/>
            <w:hideMark/>
          </w:tcPr>
          <w:p w14:paraId="4A0624B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3,556</w:t>
            </w:r>
          </w:p>
        </w:tc>
        <w:tc>
          <w:tcPr>
            <w:tcW w:w="0" w:type="auto"/>
            <w:noWrap/>
            <w:vAlign w:val="center"/>
            <w:hideMark/>
          </w:tcPr>
          <w:p w14:paraId="68BBA70B"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11.7%</w:t>
            </w:r>
          </w:p>
        </w:tc>
      </w:tr>
      <w:tr w:rsidR="00407705" w:rsidRPr="00105FFC" w14:paraId="12C3287B"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72914B" w14:textId="77777777" w:rsidR="00407705" w:rsidRPr="00105FFC" w:rsidRDefault="00407705" w:rsidP="00407705">
            <w:pPr>
              <w:rPr>
                <w:rFonts w:asciiTheme="minorHAnsi" w:hAnsiTheme="minorHAnsi" w:cs="Arial"/>
                <w:b w:val="0"/>
                <w:bCs w:val="0"/>
                <w:color w:val="555555"/>
                <w:sz w:val="20"/>
                <w:szCs w:val="20"/>
              </w:rPr>
            </w:pPr>
          </w:p>
        </w:tc>
        <w:tc>
          <w:tcPr>
            <w:tcW w:w="0" w:type="auto"/>
            <w:noWrap/>
            <w:vAlign w:val="center"/>
            <w:hideMark/>
          </w:tcPr>
          <w:p w14:paraId="3B3CDED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9-11</w:t>
            </w:r>
          </w:p>
        </w:tc>
        <w:tc>
          <w:tcPr>
            <w:tcW w:w="0" w:type="auto"/>
            <w:noWrap/>
            <w:vAlign w:val="center"/>
            <w:hideMark/>
          </w:tcPr>
          <w:p w14:paraId="293D9A93"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28,455</w:t>
            </w:r>
          </w:p>
        </w:tc>
        <w:tc>
          <w:tcPr>
            <w:tcW w:w="0" w:type="auto"/>
            <w:noWrap/>
            <w:vAlign w:val="center"/>
            <w:hideMark/>
          </w:tcPr>
          <w:p w14:paraId="3B5FC34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14,781</w:t>
            </w:r>
          </w:p>
        </w:tc>
        <w:tc>
          <w:tcPr>
            <w:tcW w:w="0" w:type="auto"/>
            <w:noWrap/>
            <w:vAlign w:val="center"/>
            <w:hideMark/>
          </w:tcPr>
          <w:p w14:paraId="63D37EB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51.9%</w:t>
            </w:r>
          </w:p>
        </w:tc>
        <w:tc>
          <w:tcPr>
            <w:tcW w:w="0" w:type="auto"/>
            <w:noWrap/>
            <w:vAlign w:val="center"/>
            <w:hideMark/>
          </w:tcPr>
          <w:p w14:paraId="43B213D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15,366</w:t>
            </w:r>
          </w:p>
        </w:tc>
        <w:tc>
          <w:tcPr>
            <w:tcW w:w="0" w:type="auto"/>
            <w:noWrap/>
            <w:vAlign w:val="center"/>
            <w:hideMark/>
          </w:tcPr>
          <w:p w14:paraId="21B010A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54.0%</w:t>
            </w:r>
          </w:p>
        </w:tc>
        <w:tc>
          <w:tcPr>
            <w:tcW w:w="0" w:type="auto"/>
            <w:noWrap/>
            <w:vAlign w:val="center"/>
            <w:hideMark/>
          </w:tcPr>
          <w:p w14:paraId="7A7A84B7"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2,917</w:t>
            </w:r>
          </w:p>
        </w:tc>
        <w:tc>
          <w:tcPr>
            <w:tcW w:w="0" w:type="auto"/>
            <w:noWrap/>
            <w:vAlign w:val="center"/>
            <w:hideMark/>
          </w:tcPr>
          <w:p w14:paraId="4942625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10.3%</w:t>
            </w:r>
          </w:p>
        </w:tc>
      </w:tr>
      <w:tr w:rsidR="00407705" w:rsidRPr="00105FFC" w14:paraId="7320AFA0"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3F4A2BD" w14:textId="77777777" w:rsidR="00407705" w:rsidRPr="00105FFC" w:rsidRDefault="00407705" w:rsidP="00407705">
            <w:pPr>
              <w:rPr>
                <w:rFonts w:asciiTheme="minorHAnsi" w:hAnsiTheme="minorHAnsi" w:cs="Arial"/>
                <w:b w:val="0"/>
                <w:bCs w:val="0"/>
                <w:color w:val="555555"/>
                <w:sz w:val="20"/>
                <w:szCs w:val="20"/>
              </w:rPr>
            </w:pPr>
          </w:p>
        </w:tc>
        <w:tc>
          <w:tcPr>
            <w:tcW w:w="0" w:type="auto"/>
            <w:noWrap/>
            <w:vAlign w:val="center"/>
            <w:hideMark/>
          </w:tcPr>
          <w:p w14:paraId="3B14255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12-14</w:t>
            </w:r>
          </w:p>
        </w:tc>
        <w:tc>
          <w:tcPr>
            <w:tcW w:w="0" w:type="auto"/>
            <w:noWrap/>
            <w:vAlign w:val="center"/>
            <w:hideMark/>
          </w:tcPr>
          <w:p w14:paraId="0EEA78E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24,022</w:t>
            </w:r>
          </w:p>
        </w:tc>
        <w:tc>
          <w:tcPr>
            <w:tcW w:w="0" w:type="auto"/>
            <w:noWrap/>
            <w:vAlign w:val="center"/>
            <w:hideMark/>
          </w:tcPr>
          <w:p w14:paraId="542C925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10,290</w:t>
            </w:r>
          </w:p>
        </w:tc>
        <w:tc>
          <w:tcPr>
            <w:tcW w:w="0" w:type="auto"/>
            <w:noWrap/>
            <w:vAlign w:val="center"/>
            <w:hideMark/>
          </w:tcPr>
          <w:p w14:paraId="4CF66FA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42.8%</w:t>
            </w:r>
          </w:p>
        </w:tc>
        <w:tc>
          <w:tcPr>
            <w:tcW w:w="0" w:type="auto"/>
            <w:noWrap/>
            <w:vAlign w:val="center"/>
            <w:hideMark/>
          </w:tcPr>
          <w:p w14:paraId="2525B93A"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10,945</w:t>
            </w:r>
          </w:p>
        </w:tc>
        <w:tc>
          <w:tcPr>
            <w:tcW w:w="0" w:type="auto"/>
            <w:noWrap/>
            <w:vAlign w:val="center"/>
            <w:hideMark/>
          </w:tcPr>
          <w:p w14:paraId="333FA6F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45.6%</w:t>
            </w:r>
          </w:p>
        </w:tc>
        <w:tc>
          <w:tcPr>
            <w:tcW w:w="0" w:type="auto"/>
            <w:noWrap/>
            <w:vAlign w:val="center"/>
            <w:hideMark/>
          </w:tcPr>
          <w:p w14:paraId="2BF4EA6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2,354</w:t>
            </w:r>
          </w:p>
        </w:tc>
        <w:tc>
          <w:tcPr>
            <w:tcW w:w="0" w:type="auto"/>
            <w:noWrap/>
            <w:vAlign w:val="center"/>
            <w:hideMark/>
          </w:tcPr>
          <w:p w14:paraId="6DD08239"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9.8%</w:t>
            </w:r>
          </w:p>
        </w:tc>
      </w:tr>
      <w:tr w:rsidR="00407705" w:rsidRPr="00105FFC" w14:paraId="68972DEE" w14:textId="77777777" w:rsidTr="00407705">
        <w:trPr>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7FE951F" w14:textId="77777777" w:rsidR="00407705" w:rsidRPr="00105FFC" w:rsidRDefault="00407705" w:rsidP="00407705">
            <w:pPr>
              <w:rPr>
                <w:rFonts w:asciiTheme="minorHAnsi" w:hAnsiTheme="minorHAnsi" w:cs="Arial"/>
                <w:b w:val="0"/>
                <w:bCs w:val="0"/>
                <w:color w:val="555555"/>
                <w:sz w:val="20"/>
                <w:szCs w:val="20"/>
              </w:rPr>
            </w:pPr>
          </w:p>
        </w:tc>
        <w:tc>
          <w:tcPr>
            <w:tcW w:w="0" w:type="auto"/>
            <w:noWrap/>
            <w:vAlign w:val="center"/>
            <w:hideMark/>
          </w:tcPr>
          <w:p w14:paraId="0CAB93D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15-18</w:t>
            </w:r>
          </w:p>
        </w:tc>
        <w:tc>
          <w:tcPr>
            <w:tcW w:w="0" w:type="auto"/>
            <w:noWrap/>
            <w:vAlign w:val="center"/>
            <w:hideMark/>
          </w:tcPr>
          <w:p w14:paraId="2D526C5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28,555</w:t>
            </w:r>
          </w:p>
        </w:tc>
        <w:tc>
          <w:tcPr>
            <w:tcW w:w="0" w:type="auto"/>
            <w:noWrap/>
            <w:vAlign w:val="center"/>
            <w:hideMark/>
          </w:tcPr>
          <w:p w14:paraId="4E129D38"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9,454</w:t>
            </w:r>
          </w:p>
        </w:tc>
        <w:tc>
          <w:tcPr>
            <w:tcW w:w="0" w:type="auto"/>
            <w:noWrap/>
            <w:vAlign w:val="center"/>
            <w:hideMark/>
          </w:tcPr>
          <w:p w14:paraId="3B264ADB"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33.1%</w:t>
            </w:r>
          </w:p>
        </w:tc>
        <w:tc>
          <w:tcPr>
            <w:tcW w:w="0" w:type="auto"/>
            <w:noWrap/>
            <w:vAlign w:val="center"/>
            <w:hideMark/>
          </w:tcPr>
          <w:p w14:paraId="4712816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10,716</w:t>
            </w:r>
          </w:p>
        </w:tc>
        <w:tc>
          <w:tcPr>
            <w:tcW w:w="0" w:type="auto"/>
            <w:noWrap/>
            <w:vAlign w:val="center"/>
            <w:hideMark/>
          </w:tcPr>
          <w:p w14:paraId="2BFB686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37.5%</w:t>
            </w:r>
          </w:p>
        </w:tc>
        <w:tc>
          <w:tcPr>
            <w:tcW w:w="0" w:type="auto"/>
            <w:noWrap/>
            <w:vAlign w:val="center"/>
            <w:hideMark/>
          </w:tcPr>
          <w:p w14:paraId="66E1B174"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2,579</w:t>
            </w:r>
          </w:p>
        </w:tc>
        <w:tc>
          <w:tcPr>
            <w:tcW w:w="0" w:type="auto"/>
            <w:noWrap/>
            <w:vAlign w:val="center"/>
            <w:hideMark/>
          </w:tcPr>
          <w:p w14:paraId="7B618E2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9.0%</w:t>
            </w:r>
          </w:p>
        </w:tc>
      </w:tr>
      <w:tr w:rsidR="00407705" w:rsidRPr="00105FFC" w14:paraId="72CCC796" w14:textId="77777777" w:rsidTr="0040770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AC9F37B" w14:textId="77777777" w:rsidR="00407705" w:rsidRPr="00105FFC" w:rsidRDefault="00407705" w:rsidP="00407705">
            <w:pPr>
              <w:rPr>
                <w:rFonts w:asciiTheme="minorHAnsi" w:hAnsiTheme="minorHAnsi" w:cs="Arial"/>
                <w:b w:val="0"/>
                <w:bCs w:val="0"/>
                <w:color w:val="555555"/>
                <w:sz w:val="20"/>
                <w:szCs w:val="20"/>
              </w:rPr>
            </w:pPr>
          </w:p>
        </w:tc>
        <w:tc>
          <w:tcPr>
            <w:tcW w:w="0" w:type="auto"/>
            <w:noWrap/>
            <w:vAlign w:val="center"/>
            <w:hideMark/>
          </w:tcPr>
          <w:p w14:paraId="008E7E5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Ages 19-20</w:t>
            </w:r>
          </w:p>
        </w:tc>
        <w:tc>
          <w:tcPr>
            <w:tcW w:w="0" w:type="auto"/>
            <w:noWrap/>
            <w:vAlign w:val="center"/>
            <w:hideMark/>
          </w:tcPr>
          <w:p w14:paraId="759296F7"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10,101</w:t>
            </w:r>
          </w:p>
        </w:tc>
        <w:tc>
          <w:tcPr>
            <w:tcW w:w="0" w:type="auto"/>
            <w:noWrap/>
            <w:vAlign w:val="center"/>
            <w:hideMark/>
          </w:tcPr>
          <w:p w14:paraId="13B6722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1,910</w:t>
            </w:r>
          </w:p>
        </w:tc>
        <w:tc>
          <w:tcPr>
            <w:tcW w:w="0" w:type="auto"/>
            <w:noWrap/>
            <w:vAlign w:val="center"/>
            <w:hideMark/>
          </w:tcPr>
          <w:p w14:paraId="59450652"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18.9%</w:t>
            </w:r>
          </w:p>
        </w:tc>
        <w:tc>
          <w:tcPr>
            <w:tcW w:w="0" w:type="auto"/>
            <w:noWrap/>
            <w:vAlign w:val="center"/>
            <w:hideMark/>
          </w:tcPr>
          <w:p w14:paraId="481069AE"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2,486</w:t>
            </w:r>
          </w:p>
        </w:tc>
        <w:tc>
          <w:tcPr>
            <w:tcW w:w="0" w:type="auto"/>
            <w:noWrap/>
            <w:vAlign w:val="center"/>
            <w:hideMark/>
          </w:tcPr>
          <w:p w14:paraId="38B315A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24.6%</w:t>
            </w:r>
          </w:p>
        </w:tc>
        <w:tc>
          <w:tcPr>
            <w:tcW w:w="0" w:type="auto"/>
            <w:noWrap/>
            <w:vAlign w:val="center"/>
            <w:hideMark/>
          </w:tcPr>
          <w:p w14:paraId="49524830"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588</w:t>
            </w:r>
          </w:p>
        </w:tc>
        <w:tc>
          <w:tcPr>
            <w:tcW w:w="0" w:type="auto"/>
            <w:noWrap/>
            <w:vAlign w:val="center"/>
            <w:hideMark/>
          </w:tcPr>
          <w:p w14:paraId="74A82CD4"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55555"/>
                <w:sz w:val="20"/>
                <w:szCs w:val="20"/>
              </w:rPr>
            </w:pPr>
            <w:r w:rsidRPr="00105FFC">
              <w:rPr>
                <w:rFonts w:asciiTheme="minorHAnsi" w:hAnsiTheme="minorHAnsi" w:cs="Arial"/>
                <w:color w:val="555555"/>
                <w:sz w:val="20"/>
                <w:szCs w:val="20"/>
              </w:rPr>
              <w:t>5.8%</w:t>
            </w:r>
          </w:p>
        </w:tc>
      </w:tr>
      <w:tr w:rsidR="00407705" w:rsidRPr="00105FFC" w14:paraId="328D2363" w14:textId="77777777" w:rsidTr="00407705">
        <w:trPr>
          <w:cantSplit/>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511A806" w14:textId="77777777" w:rsidR="00407705" w:rsidRPr="00105FFC" w:rsidRDefault="00407705" w:rsidP="00407705">
            <w:pPr>
              <w:rPr>
                <w:rFonts w:asciiTheme="minorHAnsi" w:hAnsiTheme="minorHAnsi" w:cs="Arial"/>
                <w:b w:val="0"/>
                <w:bCs w:val="0"/>
                <w:color w:val="555555"/>
                <w:sz w:val="20"/>
                <w:szCs w:val="20"/>
              </w:rPr>
            </w:pPr>
          </w:p>
        </w:tc>
        <w:tc>
          <w:tcPr>
            <w:tcW w:w="0" w:type="auto"/>
            <w:noWrap/>
            <w:vAlign w:val="center"/>
            <w:hideMark/>
          </w:tcPr>
          <w:p w14:paraId="0167C2A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Ages 0-20</w:t>
            </w:r>
          </w:p>
        </w:tc>
        <w:tc>
          <w:tcPr>
            <w:tcW w:w="0" w:type="auto"/>
            <w:noWrap/>
            <w:vAlign w:val="center"/>
            <w:hideMark/>
          </w:tcPr>
          <w:p w14:paraId="04A242CE"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171,417</w:t>
            </w:r>
          </w:p>
        </w:tc>
        <w:tc>
          <w:tcPr>
            <w:tcW w:w="0" w:type="auto"/>
            <w:noWrap/>
            <w:vAlign w:val="center"/>
            <w:hideMark/>
          </w:tcPr>
          <w:p w14:paraId="5FE981AC"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70,578</w:t>
            </w:r>
          </w:p>
        </w:tc>
        <w:tc>
          <w:tcPr>
            <w:tcW w:w="0" w:type="auto"/>
            <w:noWrap/>
            <w:vAlign w:val="center"/>
            <w:hideMark/>
          </w:tcPr>
          <w:p w14:paraId="1C208899"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41.2%</w:t>
            </w:r>
          </w:p>
        </w:tc>
        <w:tc>
          <w:tcPr>
            <w:tcW w:w="0" w:type="auto"/>
            <w:noWrap/>
            <w:vAlign w:val="center"/>
            <w:hideMark/>
          </w:tcPr>
          <w:p w14:paraId="27251965"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75,635</w:t>
            </w:r>
          </w:p>
        </w:tc>
        <w:tc>
          <w:tcPr>
            <w:tcW w:w="0" w:type="auto"/>
            <w:noWrap/>
            <w:vAlign w:val="center"/>
            <w:hideMark/>
          </w:tcPr>
          <w:p w14:paraId="554BF9ED"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44.1%</w:t>
            </w:r>
          </w:p>
        </w:tc>
        <w:tc>
          <w:tcPr>
            <w:tcW w:w="0" w:type="auto"/>
            <w:noWrap/>
            <w:vAlign w:val="center"/>
            <w:hideMark/>
          </w:tcPr>
          <w:p w14:paraId="5EBFE8D0"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16,862</w:t>
            </w:r>
          </w:p>
        </w:tc>
        <w:tc>
          <w:tcPr>
            <w:tcW w:w="0" w:type="auto"/>
            <w:noWrap/>
            <w:vAlign w:val="center"/>
            <w:hideMark/>
          </w:tcPr>
          <w:p w14:paraId="03536D1A" w14:textId="77777777" w:rsidR="00407705" w:rsidRPr="00105FFC" w:rsidRDefault="00407705" w:rsidP="004077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9.8%</w:t>
            </w:r>
          </w:p>
        </w:tc>
      </w:tr>
      <w:tr w:rsidR="00407705" w:rsidRPr="00105FFC" w14:paraId="223CC062" w14:textId="77777777" w:rsidTr="0040770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14:paraId="6B93557F" w14:textId="77777777" w:rsidR="00407705" w:rsidRPr="00105FFC" w:rsidRDefault="00407705" w:rsidP="00407705">
            <w:pPr>
              <w:jc w:val="center"/>
              <w:rPr>
                <w:rFonts w:asciiTheme="minorHAnsi" w:hAnsiTheme="minorHAnsi" w:cs="Arial"/>
                <w:bCs w:val="0"/>
                <w:color w:val="555555"/>
                <w:sz w:val="20"/>
                <w:szCs w:val="20"/>
              </w:rPr>
            </w:pPr>
            <w:r w:rsidRPr="00105FFC">
              <w:rPr>
                <w:rFonts w:asciiTheme="minorHAnsi" w:hAnsiTheme="minorHAnsi" w:cs="Arial"/>
                <w:bCs w:val="0"/>
                <w:color w:val="555555"/>
                <w:sz w:val="20"/>
                <w:szCs w:val="20"/>
              </w:rPr>
              <w:t>Grand Total</w:t>
            </w:r>
          </w:p>
        </w:tc>
        <w:tc>
          <w:tcPr>
            <w:tcW w:w="0" w:type="auto"/>
            <w:noWrap/>
            <w:vAlign w:val="center"/>
            <w:hideMark/>
          </w:tcPr>
          <w:p w14:paraId="0E43D36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4,289,023</w:t>
            </w:r>
          </w:p>
        </w:tc>
        <w:tc>
          <w:tcPr>
            <w:tcW w:w="0" w:type="auto"/>
            <w:noWrap/>
            <w:vAlign w:val="center"/>
            <w:hideMark/>
          </w:tcPr>
          <w:p w14:paraId="5B114651"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1,754,982</w:t>
            </w:r>
          </w:p>
        </w:tc>
        <w:tc>
          <w:tcPr>
            <w:tcW w:w="0" w:type="auto"/>
            <w:noWrap/>
            <w:vAlign w:val="center"/>
            <w:hideMark/>
          </w:tcPr>
          <w:p w14:paraId="40C38AF6"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40.9%</w:t>
            </w:r>
          </w:p>
        </w:tc>
        <w:tc>
          <w:tcPr>
            <w:tcW w:w="0" w:type="auto"/>
            <w:noWrap/>
            <w:vAlign w:val="center"/>
            <w:hideMark/>
          </w:tcPr>
          <w:p w14:paraId="28B6CAA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1,894,747</w:t>
            </w:r>
          </w:p>
        </w:tc>
        <w:tc>
          <w:tcPr>
            <w:tcW w:w="0" w:type="auto"/>
            <w:noWrap/>
            <w:vAlign w:val="center"/>
            <w:hideMark/>
          </w:tcPr>
          <w:p w14:paraId="0789F105"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44.2%</w:t>
            </w:r>
          </w:p>
        </w:tc>
        <w:tc>
          <w:tcPr>
            <w:tcW w:w="0" w:type="auto"/>
            <w:noWrap/>
            <w:vAlign w:val="center"/>
            <w:hideMark/>
          </w:tcPr>
          <w:p w14:paraId="51EFF9B3"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292,719</w:t>
            </w:r>
          </w:p>
        </w:tc>
        <w:tc>
          <w:tcPr>
            <w:tcW w:w="0" w:type="auto"/>
            <w:noWrap/>
            <w:vAlign w:val="center"/>
            <w:hideMark/>
          </w:tcPr>
          <w:p w14:paraId="7E4B1A4C" w14:textId="77777777" w:rsidR="00407705" w:rsidRPr="00105FFC" w:rsidRDefault="00407705" w:rsidP="004077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555555"/>
                <w:sz w:val="20"/>
                <w:szCs w:val="20"/>
              </w:rPr>
            </w:pPr>
            <w:r w:rsidRPr="00105FFC">
              <w:rPr>
                <w:rFonts w:asciiTheme="minorHAnsi" w:hAnsiTheme="minorHAnsi" w:cs="Arial"/>
                <w:b/>
                <w:bCs/>
                <w:color w:val="555555"/>
                <w:sz w:val="20"/>
                <w:szCs w:val="20"/>
              </w:rPr>
              <w:t>6.8%</w:t>
            </w:r>
          </w:p>
        </w:tc>
      </w:tr>
    </w:tbl>
    <w:p w14:paraId="0FAD434D" w14:textId="77777777" w:rsidR="00407705" w:rsidRPr="00105FFC" w:rsidRDefault="00407705" w:rsidP="00407705">
      <w:pPr>
        <w:pStyle w:val="Caption"/>
        <w:spacing w:after="0"/>
        <w:rPr>
          <w:rFonts w:asciiTheme="minorHAnsi" w:eastAsiaTheme="minorHAnsi" w:hAnsiTheme="minorHAnsi" w:cstheme="minorBidi"/>
          <w:color w:val="auto"/>
          <w:sz w:val="20"/>
          <w:szCs w:val="20"/>
        </w:rPr>
      </w:pPr>
      <w:r w:rsidRPr="00105FFC">
        <w:rPr>
          <w:rFonts w:asciiTheme="minorHAnsi" w:eastAsiaTheme="minorHAnsi" w:hAnsiTheme="minorHAnsi" w:cstheme="minorBidi"/>
          <w:color w:val="auto"/>
          <w:sz w:val="20"/>
          <w:szCs w:val="20"/>
        </w:rPr>
        <w:t xml:space="preserve">Source: </w:t>
      </w:r>
      <w:r w:rsidRPr="00105FFC">
        <w:rPr>
          <w:rFonts w:asciiTheme="minorHAnsi" w:eastAsiaTheme="minorHAnsi" w:hAnsiTheme="minorHAnsi" w:cstheme="minorBidi"/>
          <w:b w:val="0"/>
          <w:color w:val="auto"/>
          <w:sz w:val="20"/>
          <w:szCs w:val="20"/>
        </w:rPr>
        <w:t>Prepared by DHCS’ Medi-Cal Dental Services Division using data from the MIS/DSS and the Medi-Cal Fiscal Intermediary’s 35c-file of paid claims records</w:t>
      </w:r>
    </w:p>
    <w:p w14:paraId="04FB9055" w14:textId="77777777" w:rsidR="00407705" w:rsidRPr="00105FFC" w:rsidRDefault="00407705" w:rsidP="00407705">
      <w:pPr>
        <w:pStyle w:val="Heading3"/>
        <w:rPr>
          <w:rFonts w:eastAsiaTheme="minorHAnsi"/>
        </w:rPr>
      </w:pPr>
      <w:r w:rsidRPr="00105FFC">
        <w:rPr>
          <w:rFonts w:eastAsiaTheme="minorHAnsi"/>
        </w:rPr>
        <w:br w:type="page"/>
      </w:r>
      <w:bookmarkStart w:id="535" w:name="_Toc458177970"/>
      <w:bookmarkStart w:id="536" w:name="_Toc459287789"/>
      <w:r w:rsidRPr="00105FFC">
        <w:rPr>
          <w:rFonts w:eastAsiaTheme="minorHAnsi"/>
        </w:rPr>
        <w:t>Reimbursement Rates Comparison</w:t>
      </w:r>
      <w:bookmarkEnd w:id="535"/>
      <w:bookmarkEnd w:id="536"/>
    </w:p>
    <w:p w14:paraId="41DCB890" w14:textId="77777777" w:rsidR="00407705" w:rsidRPr="00105FFC" w:rsidRDefault="00407705" w:rsidP="00407705">
      <w:pPr>
        <w:pStyle w:val="Caption"/>
        <w:spacing w:after="0"/>
        <w:rPr>
          <w:rFonts w:asciiTheme="minorHAnsi" w:eastAsiaTheme="minorHAnsi" w:hAnsiTheme="minorHAnsi" w:cstheme="minorBidi"/>
          <w:sz w:val="22"/>
          <w:szCs w:val="22"/>
        </w:rPr>
      </w:pPr>
    </w:p>
    <w:p w14:paraId="4BA1422E" w14:textId="77777777" w:rsidR="00407705" w:rsidRPr="00105FFC" w:rsidRDefault="00424206" w:rsidP="00407705">
      <w:pPr>
        <w:spacing w:line="276" w:lineRule="auto"/>
        <w:rPr>
          <w:rFonts w:asciiTheme="minorHAnsi" w:hAnsiTheme="minorHAnsi"/>
        </w:rPr>
      </w:pPr>
      <w:r w:rsidRPr="00105FFC">
        <w:rPr>
          <w:rFonts w:asciiTheme="minorHAnsi" w:hAnsiTheme="minorHAnsi"/>
        </w:rPr>
        <w:t xml:space="preserve">For the purposes of reimbursement rate comparison for dental services, DHCS utilized other available state Medicaid program information as it is the most appropriate given the lack of comparability with Medicare.  </w:t>
      </w:r>
      <w:r w:rsidR="00407705" w:rsidRPr="00105FFC">
        <w:rPr>
          <w:rFonts w:asciiTheme="minorHAnsi" w:hAnsiTheme="minorHAnsi"/>
        </w:rPr>
        <w:t xml:space="preserve">While the overall average of DHCS’s rates for the 25 most utilized FFS procedure codes may be lower, depending on the procedure, the applicable DHCS reimbursement rate was either higher or lower. In SFY 2013-14, Denti-Cal paid an overall average between 65.5 and 129.2 percent of New York, Illinois, Florida, and Texas’ Medicaid Program’s dental fee schedule. In SFY 2014-15, Denti-Cal paid an overall overage between 64.8 and 105.8 percent of New York, Illinois, Florida, and Texas’ Medicaid Program’s dental fee schedule. </w:t>
      </w:r>
    </w:p>
    <w:p w14:paraId="0474BEB3" w14:textId="77777777" w:rsidR="00407705" w:rsidRPr="00105FFC" w:rsidRDefault="00407705" w:rsidP="00407705">
      <w:pPr>
        <w:rPr>
          <w:rFonts w:asciiTheme="minorHAnsi" w:eastAsiaTheme="minorHAnsi" w:hAnsiTheme="minorHAnsi"/>
        </w:rPr>
      </w:pPr>
    </w:p>
    <w:p w14:paraId="0DC4804B" w14:textId="77777777" w:rsidR="00407705" w:rsidRPr="00105FFC" w:rsidRDefault="00407705" w:rsidP="00407705">
      <w:pPr>
        <w:pStyle w:val="Caption"/>
        <w:spacing w:after="0"/>
        <w:rPr>
          <w:rFonts w:asciiTheme="minorHAnsi" w:eastAsiaTheme="minorHAnsi" w:hAnsiTheme="minorHAnsi" w:cstheme="minorBidi"/>
          <w:b w:val="0"/>
          <w:color w:val="auto"/>
          <w:sz w:val="20"/>
          <w:szCs w:val="20"/>
        </w:rPr>
      </w:pPr>
      <w:bookmarkStart w:id="537" w:name="_Toc458178115"/>
      <w:bookmarkStart w:id="538" w:name="_Toc458783154"/>
      <w:bookmarkStart w:id="539" w:name="_Toc459285200"/>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55</w:t>
      </w:r>
      <w:r w:rsidRPr="00105FFC">
        <w:rPr>
          <w:rFonts w:asciiTheme="minorHAnsi" w:hAnsiTheme="minorHAnsi"/>
          <w:color w:val="auto"/>
          <w:sz w:val="20"/>
          <w:szCs w:val="20"/>
        </w:rPr>
        <w:fldChar w:fldCharType="end"/>
      </w:r>
      <w:r w:rsidRPr="00105FFC">
        <w:rPr>
          <w:rFonts w:asciiTheme="minorHAnsi" w:eastAsiaTheme="minorHAnsi" w:hAnsiTheme="minorHAnsi" w:cstheme="minorBidi"/>
          <w:b w:val="0"/>
          <w:color w:val="auto"/>
          <w:sz w:val="20"/>
          <w:szCs w:val="20"/>
        </w:rPr>
        <w:t>:</w:t>
      </w:r>
      <w:r w:rsidRPr="00105FFC">
        <w:rPr>
          <w:rFonts w:asciiTheme="minorHAnsi" w:eastAsiaTheme="minorHAnsi" w:hAnsiTheme="minorHAnsi" w:cstheme="minorBidi"/>
          <w:color w:val="auto"/>
          <w:sz w:val="20"/>
          <w:szCs w:val="20"/>
        </w:rPr>
        <w:t xml:space="preserve"> </w:t>
      </w:r>
      <w:r w:rsidRPr="00105FFC">
        <w:rPr>
          <w:rFonts w:asciiTheme="minorHAnsi" w:eastAsiaTheme="minorHAnsi" w:hAnsiTheme="minorHAnsi" w:cstheme="minorBidi"/>
          <w:b w:val="0"/>
          <w:color w:val="auto"/>
          <w:sz w:val="20"/>
          <w:szCs w:val="20"/>
        </w:rPr>
        <w:t>Percentage of 25 Most Utilized Denti-Cal Procedures Reimbursement Rates in SFY 2013-2014 in Relation to Other Comparable Medicaid Programs</w:t>
      </w:r>
      <w:bookmarkEnd w:id="537"/>
      <w:bookmarkEnd w:id="538"/>
      <w:bookmarkEnd w:id="539"/>
    </w:p>
    <w:tbl>
      <w:tblPr>
        <w:tblStyle w:val="GridTable6Colorful-Accent11"/>
        <w:tblpPr w:leftFromText="180" w:rightFromText="180" w:vertAnchor="text" w:horzAnchor="margin" w:tblpXSpec="center" w:tblpY="239"/>
        <w:tblW w:w="5000" w:type="pct"/>
        <w:tblLook w:val="04A0" w:firstRow="1" w:lastRow="0" w:firstColumn="1" w:lastColumn="0" w:noHBand="0" w:noVBand="1"/>
      </w:tblPr>
      <w:tblGrid>
        <w:gridCol w:w="1474"/>
        <w:gridCol w:w="1557"/>
        <w:gridCol w:w="1557"/>
        <w:gridCol w:w="1033"/>
        <w:gridCol w:w="1489"/>
        <w:gridCol w:w="1033"/>
        <w:gridCol w:w="1521"/>
        <w:gridCol w:w="1033"/>
        <w:gridCol w:w="1449"/>
        <w:gridCol w:w="1030"/>
      </w:tblGrid>
      <w:tr w:rsidR="00407705" w:rsidRPr="00105FFC" w14:paraId="40F06886" w14:textId="77777777" w:rsidTr="00407705">
        <w:trPr>
          <w:cnfStyle w:val="100000000000" w:firstRow="1" w:lastRow="0" w:firstColumn="0" w:lastColumn="0" w:oddVBand="0" w:evenVBand="0" w:oddHBand="0" w:evenHBand="0" w:firstRowFirstColumn="0" w:firstRowLastColumn="0" w:lastRowFirstColumn="0" w:lastRowLastColumn="0"/>
          <w:cantSplit/>
          <w:trHeight w:val="898"/>
          <w:tblHeader/>
        </w:trPr>
        <w:tc>
          <w:tcPr>
            <w:cnfStyle w:val="001000000000" w:firstRow="0" w:lastRow="0" w:firstColumn="1" w:lastColumn="0" w:oddVBand="0" w:evenVBand="0" w:oddHBand="0" w:evenHBand="0" w:firstRowFirstColumn="0" w:firstRowLastColumn="0" w:lastRowFirstColumn="0" w:lastRowLastColumn="0"/>
            <w:tcW w:w="559" w:type="pct"/>
            <w:vAlign w:val="center"/>
            <w:hideMark/>
          </w:tcPr>
          <w:p w14:paraId="467A779D" w14:textId="77777777" w:rsidR="00407705" w:rsidRPr="00105FFC" w:rsidRDefault="00407705" w:rsidP="00407705">
            <w:pPr>
              <w:jc w:val="center"/>
              <w:rPr>
                <w:rFonts w:asciiTheme="minorHAnsi" w:hAnsiTheme="minorHAnsi" w:cs="Arial"/>
                <w:bCs w:val="0"/>
                <w:color w:val="000000"/>
                <w:sz w:val="20"/>
                <w:szCs w:val="20"/>
              </w:rPr>
            </w:pPr>
            <w:r w:rsidRPr="00105FFC">
              <w:rPr>
                <w:rFonts w:asciiTheme="minorHAnsi" w:hAnsiTheme="minorHAnsi" w:cs="Arial"/>
                <w:bCs w:val="0"/>
                <w:color w:val="000000"/>
                <w:sz w:val="20"/>
                <w:szCs w:val="20"/>
              </w:rPr>
              <w:t>Procedure Code</w:t>
            </w:r>
          </w:p>
        </w:tc>
        <w:tc>
          <w:tcPr>
            <w:tcW w:w="591" w:type="pct"/>
            <w:vAlign w:val="center"/>
            <w:hideMark/>
          </w:tcPr>
          <w:p w14:paraId="634BAEFB"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20"/>
                <w:szCs w:val="20"/>
              </w:rPr>
            </w:pPr>
            <w:r w:rsidRPr="00105FFC">
              <w:rPr>
                <w:rFonts w:asciiTheme="minorHAnsi" w:hAnsiTheme="minorHAnsi" w:cs="Arial"/>
                <w:bCs w:val="0"/>
                <w:color w:val="000000"/>
                <w:sz w:val="20"/>
                <w:szCs w:val="20"/>
              </w:rPr>
              <w:t>Denti-Cal SMA</w:t>
            </w:r>
          </w:p>
        </w:tc>
        <w:tc>
          <w:tcPr>
            <w:tcW w:w="983" w:type="pct"/>
            <w:gridSpan w:val="2"/>
            <w:vAlign w:val="center"/>
            <w:hideMark/>
          </w:tcPr>
          <w:p w14:paraId="6984B111"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20"/>
                <w:szCs w:val="20"/>
              </w:rPr>
            </w:pPr>
            <w:r w:rsidRPr="00105FFC">
              <w:rPr>
                <w:rFonts w:asciiTheme="minorHAnsi" w:hAnsiTheme="minorHAnsi" w:cs="Arial"/>
                <w:bCs w:val="0"/>
                <w:color w:val="000000"/>
                <w:sz w:val="20"/>
                <w:szCs w:val="20"/>
              </w:rPr>
              <w:t xml:space="preserve"> New York Reimbursement Rates and % Denti-Cal Pays </w:t>
            </w:r>
          </w:p>
        </w:tc>
        <w:tc>
          <w:tcPr>
            <w:tcW w:w="957" w:type="pct"/>
            <w:gridSpan w:val="2"/>
            <w:vAlign w:val="center"/>
            <w:hideMark/>
          </w:tcPr>
          <w:p w14:paraId="2289C9DF"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20"/>
                <w:szCs w:val="20"/>
              </w:rPr>
            </w:pPr>
            <w:r w:rsidRPr="00105FFC">
              <w:rPr>
                <w:rFonts w:asciiTheme="minorHAnsi" w:hAnsiTheme="minorHAnsi" w:cs="Arial"/>
                <w:bCs w:val="0"/>
                <w:color w:val="000000"/>
                <w:sz w:val="20"/>
                <w:szCs w:val="20"/>
              </w:rPr>
              <w:t xml:space="preserve"> Illinois Reimbursement Rates and % Denti-Cal Pays </w:t>
            </w:r>
          </w:p>
        </w:tc>
        <w:tc>
          <w:tcPr>
            <w:tcW w:w="969" w:type="pct"/>
            <w:gridSpan w:val="2"/>
            <w:vAlign w:val="center"/>
            <w:hideMark/>
          </w:tcPr>
          <w:p w14:paraId="1B122AAF"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20"/>
                <w:szCs w:val="20"/>
              </w:rPr>
            </w:pPr>
            <w:r w:rsidRPr="00105FFC">
              <w:rPr>
                <w:rFonts w:asciiTheme="minorHAnsi" w:hAnsiTheme="minorHAnsi" w:cs="Arial"/>
                <w:bCs w:val="0"/>
                <w:color w:val="000000"/>
                <w:sz w:val="20"/>
                <w:szCs w:val="20"/>
              </w:rPr>
              <w:t xml:space="preserve"> Florida Reimbursement Rates and % Denti-Cal Pays </w:t>
            </w:r>
          </w:p>
        </w:tc>
        <w:tc>
          <w:tcPr>
            <w:tcW w:w="941" w:type="pct"/>
            <w:gridSpan w:val="2"/>
            <w:vAlign w:val="center"/>
            <w:hideMark/>
          </w:tcPr>
          <w:p w14:paraId="22FC37AB"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20"/>
                <w:szCs w:val="20"/>
              </w:rPr>
            </w:pPr>
            <w:r w:rsidRPr="00105FFC">
              <w:rPr>
                <w:rFonts w:asciiTheme="minorHAnsi" w:hAnsiTheme="minorHAnsi" w:cs="Arial"/>
                <w:bCs w:val="0"/>
                <w:color w:val="000000"/>
                <w:sz w:val="20"/>
                <w:szCs w:val="20"/>
              </w:rPr>
              <w:t xml:space="preserve"> Texas Reimbursement Rates and % Denti-Cal Pays </w:t>
            </w:r>
          </w:p>
        </w:tc>
      </w:tr>
      <w:tr w:rsidR="00407705" w:rsidRPr="00105FFC" w14:paraId="52FA6250"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61E6A881"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D0120</w:t>
            </w:r>
          </w:p>
        </w:tc>
        <w:tc>
          <w:tcPr>
            <w:tcW w:w="591" w:type="pct"/>
            <w:noWrap/>
            <w:vAlign w:val="center"/>
            <w:hideMark/>
          </w:tcPr>
          <w:p w14:paraId="68DB562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$15.00 </w:t>
            </w:r>
          </w:p>
        </w:tc>
        <w:tc>
          <w:tcPr>
            <w:tcW w:w="591" w:type="pct"/>
            <w:noWrap/>
            <w:vAlign w:val="center"/>
            <w:hideMark/>
          </w:tcPr>
          <w:p w14:paraId="4185B2B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$25.00 </w:t>
            </w:r>
          </w:p>
        </w:tc>
        <w:tc>
          <w:tcPr>
            <w:tcW w:w="392" w:type="pct"/>
            <w:noWrap/>
            <w:vAlign w:val="center"/>
            <w:hideMark/>
          </w:tcPr>
          <w:p w14:paraId="41271E4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60.0%</w:t>
            </w:r>
          </w:p>
        </w:tc>
        <w:tc>
          <w:tcPr>
            <w:tcW w:w="565" w:type="pct"/>
            <w:noWrap/>
            <w:vAlign w:val="center"/>
            <w:hideMark/>
          </w:tcPr>
          <w:p w14:paraId="14C1824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$28.00 </w:t>
            </w:r>
          </w:p>
        </w:tc>
        <w:tc>
          <w:tcPr>
            <w:tcW w:w="392" w:type="pct"/>
            <w:noWrap/>
            <w:vAlign w:val="center"/>
            <w:hideMark/>
          </w:tcPr>
          <w:p w14:paraId="5EAFBAA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53.6%</w:t>
            </w:r>
          </w:p>
        </w:tc>
        <w:tc>
          <w:tcPr>
            <w:tcW w:w="577" w:type="pct"/>
            <w:noWrap/>
            <w:vAlign w:val="center"/>
            <w:hideMark/>
          </w:tcPr>
          <w:p w14:paraId="16978E5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$29.12 </w:t>
            </w:r>
          </w:p>
        </w:tc>
        <w:tc>
          <w:tcPr>
            <w:tcW w:w="392" w:type="pct"/>
            <w:noWrap/>
            <w:vAlign w:val="center"/>
            <w:hideMark/>
          </w:tcPr>
          <w:p w14:paraId="4F3CE0B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51.5%</w:t>
            </w:r>
          </w:p>
        </w:tc>
        <w:tc>
          <w:tcPr>
            <w:tcW w:w="550" w:type="pct"/>
            <w:noWrap/>
            <w:vAlign w:val="center"/>
            <w:hideMark/>
          </w:tcPr>
          <w:p w14:paraId="6D84E9D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$28.85 </w:t>
            </w:r>
          </w:p>
        </w:tc>
        <w:tc>
          <w:tcPr>
            <w:tcW w:w="391" w:type="pct"/>
            <w:noWrap/>
            <w:vAlign w:val="center"/>
            <w:hideMark/>
          </w:tcPr>
          <w:p w14:paraId="1F0D0EB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52.0%</w:t>
            </w:r>
          </w:p>
        </w:tc>
      </w:tr>
      <w:tr w:rsidR="00407705" w:rsidRPr="00105FFC" w14:paraId="4F064A53"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6A9A7D1D"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D0150</w:t>
            </w:r>
          </w:p>
        </w:tc>
        <w:tc>
          <w:tcPr>
            <w:tcW w:w="591" w:type="pct"/>
            <w:noWrap/>
            <w:vAlign w:val="center"/>
            <w:hideMark/>
          </w:tcPr>
          <w:p w14:paraId="43BEAA8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$25.00 </w:t>
            </w:r>
          </w:p>
        </w:tc>
        <w:tc>
          <w:tcPr>
            <w:tcW w:w="591" w:type="pct"/>
            <w:noWrap/>
            <w:vAlign w:val="center"/>
            <w:hideMark/>
          </w:tcPr>
          <w:p w14:paraId="04A0296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$30.00 </w:t>
            </w:r>
          </w:p>
        </w:tc>
        <w:tc>
          <w:tcPr>
            <w:tcW w:w="392" w:type="pct"/>
            <w:noWrap/>
            <w:vAlign w:val="center"/>
            <w:hideMark/>
          </w:tcPr>
          <w:p w14:paraId="0F61F92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83.3%</w:t>
            </w:r>
          </w:p>
        </w:tc>
        <w:tc>
          <w:tcPr>
            <w:tcW w:w="565" w:type="pct"/>
            <w:noWrap/>
            <w:vAlign w:val="center"/>
            <w:hideMark/>
          </w:tcPr>
          <w:p w14:paraId="3CA08D6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$17.52 </w:t>
            </w:r>
          </w:p>
        </w:tc>
        <w:tc>
          <w:tcPr>
            <w:tcW w:w="392" w:type="pct"/>
            <w:noWrap/>
            <w:vAlign w:val="center"/>
            <w:hideMark/>
          </w:tcPr>
          <w:p w14:paraId="765EB89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142.7%</w:t>
            </w:r>
          </w:p>
        </w:tc>
        <w:tc>
          <w:tcPr>
            <w:tcW w:w="577" w:type="pct"/>
            <w:noWrap/>
            <w:vAlign w:val="center"/>
            <w:hideMark/>
          </w:tcPr>
          <w:p w14:paraId="2ADD17F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$29.12 </w:t>
            </w:r>
          </w:p>
        </w:tc>
        <w:tc>
          <w:tcPr>
            <w:tcW w:w="392" w:type="pct"/>
            <w:noWrap/>
            <w:vAlign w:val="center"/>
            <w:hideMark/>
          </w:tcPr>
          <w:p w14:paraId="7EEDD3D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85.9%</w:t>
            </w:r>
          </w:p>
        </w:tc>
        <w:tc>
          <w:tcPr>
            <w:tcW w:w="550" w:type="pct"/>
            <w:noWrap/>
            <w:vAlign w:val="center"/>
            <w:hideMark/>
          </w:tcPr>
          <w:p w14:paraId="04E3FEC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$35.32 </w:t>
            </w:r>
          </w:p>
        </w:tc>
        <w:tc>
          <w:tcPr>
            <w:tcW w:w="391" w:type="pct"/>
            <w:noWrap/>
            <w:vAlign w:val="center"/>
            <w:hideMark/>
          </w:tcPr>
          <w:p w14:paraId="39B0CF1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70.8%</w:t>
            </w:r>
          </w:p>
        </w:tc>
      </w:tr>
      <w:tr w:rsidR="00407705" w:rsidRPr="00105FFC" w14:paraId="46E5AEB1"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3F5E343C"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D0210</w:t>
            </w:r>
          </w:p>
        </w:tc>
        <w:tc>
          <w:tcPr>
            <w:tcW w:w="591" w:type="pct"/>
            <w:noWrap/>
            <w:vAlign w:val="center"/>
            <w:hideMark/>
          </w:tcPr>
          <w:p w14:paraId="1C06B2B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$40.00 </w:t>
            </w:r>
          </w:p>
        </w:tc>
        <w:tc>
          <w:tcPr>
            <w:tcW w:w="591" w:type="pct"/>
            <w:noWrap/>
            <w:vAlign w:val="center"/>
            <w:hideMark/>
          </w:tcPr>
          <w:p w14:paraId="48031D4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$50.00 </w:t>
            </w:r>
          </w:p>
        </w:tc>
        <w:tc>
          <w:tcPr>
            <w:tcW w:w="392" w:type="pct"/>
            <w:noWrap/>
            <w:vAlign w:val="center"/>
            <w:hideMark/>
          </w:tcPr>
          <w:p w14:paraId="3A86FDD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80.0%</w:t>
            </w:r>
          </w:p>
        </w:tc>
        <w:tc>
          <w:tcPr>
            <w:tcW w:w="565" w:type="pct"/>
            <w:noWrap/>
            <w:vAlign w:val="center"/>
            <w:hideMark/>
          </w:tcPr>
          <w:p w14:paraId="67C5F5A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$25.06 </w:t>
            </w:r>
          </w:p>
        </w:tc>
        <w:tc>
          <w:tcPr>
            <w:tcW w:w="392" w:type="pct"/>
            <w:noWrap/>
            <w:vAlign w:val="center"/>
            <w:hideMark/>
          </w:tcPr>
          <w:p w14:paraId="306DF6D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159.6%</w:t>
            </w:r>
          </w:p>
        </w:tc>
        <w:tc>
          <w:tcPr>
            <w:tcW w:w="577" w:type="pct"/>
            <w:noWrap/>
            <w:vAlign w:val="center"/>
            <w:hideMark/>
          </w:tcPr>
          <w:p w14:paraId="05A4450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$58.24 </w:t>
            </w:r>
          </w:p>
        </w:tc>
        <w:tc>
          <w:tcPr>
            <w:tcW w:w="392" w:type="pct"/>
            <w:noWrap/>
            <w:vAlign w:val="center"/>
            <w:hideMark/>
          </w:tcPr>
          <w:p w14:paraId="09F978C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68.7%</w:t>
            </w:r>
          </w:p>
        </w:tc>
        <w:tc>
          <w:tcPr>
            <w:tcW w:w="550" w:type="pct"/>
            <w:noWrap/>
            <w:vAlign w:val="center"/>
            <w:hideMark/>
          </w:tcPr>
          <w:p w14:paraId="429B7CE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$70.64 </w:t>
            </w:r>
          </w:p>
        </w:tc>
        <w:tc>
          <w:tcPr>
            <w:tcW w:w="391" w:type="pct"/>
            <w:noWrap/>
            <w:vAlign w:val="center"/>
            <w:hideMark/>
          </w:tcPr>
          <w:p w14:paraId="62147BF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56.6%</w:t>
            </w:r>
          </w:p>
        </w:tc>
      </w:tr>
      <w:tr w:rsidR="00407705" w:rsidRPr="00105FFC" w14:paraId="12815B74"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746B99F5"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D0220</w:t>
            </w:r>
          </w:p>
        </w:tc>
        <w:tc>
          <w:tcPr>
            <w:tcW w:w="591" w:type="pct"/>
            <w:noWrap/>
            <w:vAlign w:val="center"/>
            <w:hideMark/>
          </w:tcPr>
          <w:p w14:paraId="5EFE4E2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$10.00 </w:t>
            </w:r>
          </w:p>
        </w:tc>
        <w:tc>
          <w:tcPr>
            <w:tcW w:w="591" w:type="pct"/>
            <w:noWrap/>
            <w:vAlign w:val="center"/>
            <w:hideMark/>
          </w:tcPr>
          <w:p w14:paraId="5D091BA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$8.00 </w:t>
            </w:r>
          </w:p>
        </w:tc>
        <w:tc>
          <w:tcPr>
            <w:tcW w:w="392" w:type="pct"/>
            <w:noWrap/>
            <w:vAlign w:val="center"/>
            <w:hideMark/>
          </w:tcPr>
          <w:p w14:paraId="4176248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125.0%</w:t>
            </w:r>
          </w:p>
        </w:tc>
        <w:tc>
          <w:tcPr>
            <w:tcW w:w="565" w:type="pct"/>
            <w:noWrap/>
            <w:vAlign w:val="center"/>
            <w:hideMark/>
          </w:tcPr>
          <w:p w14:paraId="6C63AFC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$4.66 </w:t>
            </w:r>
          </w:p>
        </w:tc>
        <w:tc>
          <w:tcPr>
            <w:tcW w:w="392" w:type="pct"/>
            <w:noWrap/>
            <w:vAlign w:val="center"/>
            <w:hideMark/>
          </w:tcPr>
          <w:p w14:paraId="475C08C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214.6%</w:t>
            </w:r>
          </w:p>
        </w:tc>
        <w:tc>
          <w:tcPr>
            <w:tcW w:w="577" w:type="pct"/>
            <w:noWrap/>
            <w:vAlign w:val="center"/>
            <w:hideMark/>
          </w:tcPr>
          <w:p w14:paraId="30C9112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$10.92 </w:t>
            </w:r>
          </w:p>
        </w:tc>
        <w:tc>
          <w:tcPr>
            <w:tcW w:w="392" w:type="pct"/>
            <w:noWrap/>
            <w:vAlign w:val="center"/>
            <w:hideMark/>
          </w:tcPr>
          <w:p w14:paraId="2CA4101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91.6%</w:t>
            </w:r>
          </w:p>
        </w:tc>
        <w:tc>
          <w:tcPr>
            <w:tcW w:w="550" w:type="pct"/>
            <w:noWrap/>
            <w:vAlign w:val="center"/>
            <w:hideMark/>
          </w:tcPr>
          <w:p w14:paraId="2D09ECB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$12.56 </w:t>
            </w:r>
          </w:p>
        </w:tc>
        <w:tc>
          <w:tcPr>
            <w:tcW w:w="391" w:type="pct"/>
            <w:noWrap/>
            <w:vAlign w:val="center"/>
            <w:hideMark/>
          </w:tcPr>
          <w:p w14:paraId="70CA0DD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79.6%</w:t>
            </w:r>
          </w:p>
        </w:tc>
      </w:tr>
      <w:tr w:rsidR="00407705" w:rsidRPr="00105FFC" w14:paraId="619EF225"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079E381A"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D0230</w:t>
            </w:r>
          </w:p>
        </w:tc>
        <w:tc>
          <w:tcPr>
            <w:tcW w:w="591" w:type="pct"/>
            <w:noWrap/>
            <w:vAlign w:val="center"/>
            <w:hideMark/>
          </w:tcPr>
          <w:p w14:paraId="5BDAF17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$3.00 </w:t>
            </w:r>
          </w:p>
        </w:tc>
        <w:tc>
          <w:tcPr>
            <w:tcW w:w="591" w:type="pct"/>
            <w:noWrap/>
            <w:vAlign w:val="center"/>
            <w:hideMark/>
          </w:tcPr>
          <w:p w14:paraId="796D7E7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$5.00 </w:t>
            </w:r>
          </w:p>
        </w:tc>
        <w:tc>
          <w:tcPr>
            <w:tcW w:w="392" w:type="pct"/>
            <w:noWrap/>
            <w:vAlign w:val="center"/>
            <w:hideMark/>
          </w:tcPr>
          <w:p w14:paraId="789AD76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60.0%</w:t>
            </w:r>
          </w:p>
        </w:tc>
        <w:tc>
          <w:tcPr>
            <w:tcW w:w="565" w:type="pct"/>
            <w:noWrap/>
            <w:vAlign w:val="center"/>
            <w:hideMark/>
          </w:tcPr>
          <w:p w14:paraId="674681A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$3.16 </w:t>
            </w:r>
          </w:p>
        </w:tc>
        <w:tc>
          <w:tcPr>
            <w:tcW w:w="392" w:type="pct"/>
            <w:noWrap/>
            <w:vAlign w:val="center"/>
            <w:hideMark/>
          </w:tcPr>
          <w:p w14:paraId="16E7D70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94.9%</w:t>
            </w:r>
          </w:p>
        </w:tc>
        <w:tc>
          <w:tcPr>
            <w:tcW w:w="577" w:type="pct"/>
            <w:noWrap/>
            <w:vAlign w:val="center"/>
            <w:hideMark/>
          </w:tcPr>
          <w:p w14:paraId="573103B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$6.76 </w:t>
            </w:r>
          </w:p>
        </w:tc>
        <w:tc>
          <w:tcPr>
            <w:tcW w:w="392" w:type="pct"/>
            <w:noWrap/>
            <w:vAlign w:val="center"/>
            <w:hideMark/>
          </w:tcPr>
          <w:p w14:paraId="0E67FA4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44.4%</w:t>
            </w:r>
          </w:p>
        </w:tc>
        <w:tc>
          <w:tcPr>
            <w:tcW w:w="550" w:type="pct"/>
            <w:noWrap/>
            <w:vAlign w:val="center"/>
            <w:hideMark/>
          </w:tcPr>
          <w:p w14:paraId="45F8CF6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$11.51 </w:t>
            </w:r>
          </w:p>
        </w:tc>
        <w:tc>
          <w:tcPr>
            <w:tcW w:w="391" w:type="pct"/>
            <w:noWrap/>
            <w:vAlign w:val="center"/>
            <w:hideMark/>
          </w:tcPr>
          <w:p w14:paraId="753A88C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26.1%</w:t>
            </w:r>
          </w:p>
        </w:tc>
      </w:tr>
      <w:tr w:rsidR="00407705" w:rsidRPr="00105FFC" w14:paraId="707A0652"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29BC4EFB"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D0272</w:t>
            </w:r>
          </w:p>
        </w:tc>
        <w:tc>
          <w:tcPr>
            <w:tcW w:w="591" w:type="pct"/>
            <w:noWrap/>
            <w:vAlign w:val="center"/>
            <w:hideMark/>
          </w:tcPr>
          <w:p w14:paraId="382ECF5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$10.00 </w:t>
            </w:r>
          </w:p>
        </w:tc>
        <w:tc>
          <w:tcPr>
            <w:tcW w:w="591" w:type="pct"/>
            <w:noWrap/>
            <w:vAlign w:val="center"/>
            <w:hideMark/>
          </w:tcPr>
          <w:p w14:paraId="76D54CD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$14.00 </w:t>
            </w:r>
          </w:p>
        </w:tc>
        <w:tc>
          <w:tcPr>
            <w:tcW w:w="392" w:type="pct"/>
            <w:noWrap/>
            <w:vAlign w:val="center"/>
            <w:hideMark/>
          </w:tcPr>
          <w:p w14:paraId="6FF1C73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71.4%</w:t>
            </w:r>
          </w:p>
        </w:tc>
        <w:tc>
          <w:tcPr>
            <w:tcW w:w="565" w:type="pct"/>
            <w:noWrap/>
            <w:vAlign w:val="center"/>
            <w:hideMark/>
          </w:tcPr>
          <w:p w14:paraId="2973A30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$7.83 </w:t>
            </w:r>
          </w:p>
        </w:tc>
        <w:tc>
          <w:tcPr>
            <w:tcW w:w="392" w:type="pct"/>
            <w:noWrap/>
            <w:vAlign w:val="center"/>
            <w:hideMark/>
          </w:tcPr>
          <w:p w14:paraId="54412F1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127.7%</w:t>
            </w:r>
          </w:p>
        </w:tc>
        <w:tc>
          <w:tcPr>
            <w:tcW w:w="577" w:type="pct"/>
            <w:noWrap/>
            <w:vAlign w:val="center"/>
            <w:hideMark/>
          </w:tcPr>
          <w:p w14:paraId="63B9258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$18.93 </w:t>
            </w:r>
          </w:p>
        </w:tc>
        <w:tc>
          <w:tcPr>
            <w:tcW w:w="392" w:type="pct"/>
            <w:noWrap/>
            <w:vAlign w:val="center"/>
            <w:hideMark/>
          </w:tcPr>
          <w:p w14:paraId="50E19C8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52.8%</w:t>
            </w:r>
          </w:p>
        </w:tc>
        <w:tc>
          <w:tcPr>
            <w:tcW w:w="550" w:type="pct"/>
            <w:noWrap/>
            <w:vAlign w:val="center"/>
            <w:hideMark/>
          </w:tcPr>
          <w:p w14:paraId="7A3E19B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$23.38 </w:t>
            </w:r>
          </w:p>
        </w:tc>
        <w:tc>
          <w:tcPr>
            <w:tcW w:w="391" w:type="pct"/>
            <w:noWrap/>
            <w:vAlign w:val="center"/>
            <w:hideMark/>
          </w:tcPr>
          <w:p w14:paraId="3B6D704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42.8%</w:t>
            </w:r>
          </w:p>
        </w:tc>
      </w:tr>
      <w:tr w:rsidR="00407705" w:rsidRPr="00105FFC" w14:paraId="51E88C54"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14517B84"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D0274</w:t>
            </w:r>
          </w:p>
        </w:tc>
        <w:tc>
          <w:tcPr>
            <w:tcW w:w="591" w:type="pct"/>
            <w:noWrap/>
            <w:vAlign w:val="center"/>
            <w:hideMark/>
          </w:tcPr>
          <w:p w14:paraId="14FC370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$18.00 </w:t>
            </w:r>
          </w:p>
        </w:tc>
        <w:tc>
          <w:tcPr>
            <w:tcW w:w="591" w:type="pct"/>
            <w:noWrap/>
            <w:vAlign w:val="center"/>
            <w:hideMark/>
          </w:tcPr>
          <w:p w14:paraId="2AD779E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$24.00 </w:t>
            </w:r>
          </w:p>
        </w:tc>
        <w:tc>
          <w:tcPr>
            <w:tcW w:w="392" w:type="pct"/>
            <w:noWrap/>
            <w:vAlign w:val="center"/>
            <w:hideMark/>
          </w:tcPr>
          <w:p w14:paraId="276C90E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75.0%</w:t>
            </w:r>
          </w:p>
        </w:tc>
        <w:tc>
          <w:tcPr>
            <w:tcW w:w="565" w:type="pct"/>
            <w:noWrap/>
            <w:vAlign w:val="center"/>
            <w:hideMark/>
          </w:tcPr>
          <w:p w14:paraId="0AFEA1D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$14.07 </w:t>
            </w:r>
          </w:p>
        </w:tc>
        <w:tc>
          <w:tcPr>
            <w:tcW w:w="392" w:type="pct"/>
            <w:noWrap/>
            <w:vAlign w:val="center"/>
            <w:hideMark/>
          </w:tcPr>
          <w:p w14:paraId="65928A7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127.9%</w:t>
            </w:r>
          </w:p>
        </w:tc>
        <w:tc>
          <w:tcPr>
            <w:tcW w:w="577" w:type="pct"/>
            <w:noWrap/>
            <w:vAlign w:val="center"/>
            <w:hideMark/>
          </w:tcPr>
          <w:p w14:paraId="41D7ED1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$25.48 </w:t>
            </w:r>
          </w:p>
        </w:tc>
        <w:tc>
          <w:tcPr>
            <w:tcW w:w="392" w:type="pct"/>
            <w:noWrap/>
            <w:vAlign w:val="center"/>
            <w:hideMark/>
          </w:tcPr>
          <w:p w14:paraId="13B0A6F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70.6%</w:t>
            </w:r>
          </w:p>
        </w:tc>
        <w:tc>
          <w:tcPr>
            <w:tcW w:w="550" w:type="pct"/>
            <w:noWrap/>
            <w:vAlign w:val="center"/>
            <w:hideMark/>
          </w:tcPr>
          <w:p w14:paraId="7B01158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$34.61 </w:t>
            </w:r>
          </w:p>
        </w:tc>
        <w:tc>
          <w:tcPr>
            <w:tcW w:w="391" w:type="pct"/>
            <w:noWrap/>
            <w:vAlign w:val="center"/>
            <w:hideMark/>
          </w:tcPr>
          <w:p w14:paraId="73A311A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52.0%</w:t>
            </w:r>
          </w:p>
        </w:tc>
      </w:tr>
      <w:tr w:rsidR="00407705" w:rsidRPr="00105FFC" w14:paraId="120CB5EB"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615C64EE"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D0350</w:t>
            </w:r>
          </w:p>
        </w:tc>
        <w:tc>
          <w:tcPr>
            <w:tcW w:w="591" w:type="pct"/>
            <w:noWrap/>
            <w:vAlign w:val="center"/>
            <w:hideMark/>
          </w:tcPr>
          <w:p w14:paraId="3098E65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$6.00 </w:t>
            </w:r>
          </w:p>
        </w:tc>
        <w:tc>
          <w:tcPr>
            <w:tcW w:w="591" w:type="pct"/>
            <w:noWrap/>
            <w:vAlign w:val="center"/>
            <w:hideMark/>
          </w:tcPr>
          <w:p w14:paraId="74C85B7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$12.00 </w:t>
            </w:r>
          </w:p>
        </w:tc>
        <w:tc>
          <w:tcPr>
            <w:tcW w:w="392" w:type="pct"/>
            <w:noWrap/>
            <w:vAlign w:val="center"/>
            <w:hideMark/>
          </w:tcPr>
          <w:p w14:paraId="456993E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50.0%</w:t>
            </w:r>
          </w:p>
        </w:tc>
        <w:tc>
          <w:tcPr>
            <w:tcW w:w="565" w:type="pct"/>
            <w:noWrap/>
            <w:vAlign w:val="center"/>
            <w:hideMark/>
          </w:tcPr>
          <w:p w14:paraId="7E5B330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0BC1329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77" w:type="pct"/>
            <w:noWrap/>
            <w:vAlign w:val="center"/>
            <w:hideMark/>
          </w:tcPr>
          <w:p w14:paraId="0DBD9FF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$26.00 </w:t>
            </w:r>
          </w:p>
        </w:tc>
        <w:tc>
          <w:tcPr>
            <w:tcW w:w="392" w:type="pct"/>
            <w:noWrap/>
            <w:vAlign w:val="center"/>
            <w:hideMark/>
          </w:tcPr>
          <w:p w14:paraId="3EADD46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23.1%</w:t>
            </w:r>
          </w:p>
        </w:tc>
        <w:tc>
          <w:tcPr>
            <w:tcW w:w="550" w:type="pct"/>
            <w:noWrap/>
            <w:vAlign w:val="center"/>
            <w:hideMark/>
          </w:tcPr>
          <w:p w14:paraId="2DB9D32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$18.38 </w:t>
            </w:r>
          </w:p>
        </w:tc>
        <w:tc>
          <w:tcPr>
            <w:tcW w:w="391" w:type="pct"/>
            <w:noWrap/>
            <w:vAlign w:val="center"/>
            <w:hideMark/>
          </w:tcPr>
          <w:p w14:paraId="4CE5417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32.6%</w:t>
            </w:r>
          </w:p>
        </w:tc>
      </w:tr>
      <w:tr w:rsidR="00407705" w:rsidRPr="00105FFC" w14:paraId="5D597825"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0CABA362"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D1110</w:t>
            </w:r>
          </w:p>
        </w:tc>
        <w:tc>
          <w:tcPr>
            <w:tcW w:w="591" w:type="pct"/>
            <w:noWrap/>
            <w:vAlign w:val="center"/>
            <w:hideMark/>
          </w:tcPr>
          <w:p w14:paraId="2FA7A41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$40.00 </w:t>
            </w:r>
          </w:p>
        </w:tc>
        <w:tc>
          <w:tcPr>
            <w:tcW w:w="591" w:type="pct"/>
            <w:noWrap/>
            <w:vAlign w:val="center"/>
            <w:hideMark/>
          </w:tcPr>
          <w:p w14:paraId="4D4FF19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$45.00 </w:t>
            </w:r>
          </w:p>
        </w:tc>
        <w:tc>
          <w:tcPr>
            <w:tcW w:w="392" w:type="pct"/>
            <w:noWrap/>
            <w:vAlign w:val="center"/>
            <w:hideMark/>
          </w:tcPr>
          <w:p w14:paraId="0EF4B7E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88.9%</w:t>
            </w:r>
          </w:p>
        </w:tc>
        <w:tc>
          <w:tcPr>
            <w:tcW w:w="565" w:type="pct"/>
            <w:noWrap/>
            <w:vAlign w:val="center"/>
            <w:hideMark/>
          </w:tcPr>
          <w:p w14:paraId="5D40D92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$21.15 </w:t>
            </w:r>
          </w:p>
        </w:tc>
        <w:tc>
          <w:tcPr>
            <w:tcW w:w="392" w:type="pct"/>
            <w:noWrap/>
            <w:vAlign w:val="center"/>
            <w:hideMark/>
          </w:tcPr>
          <w:p w14:paraId="1BD7E07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189.1%</w:t>
            </w:r>
          </w:p>
        </w:tc>
        <w:tc>
          <w:tcPr>
            <w:tcW w:w="577" w:type="pct"/>
            <w:noWrap/>
            <w:vAlign w:val="center"/>
            <w:hideMark/>
          </w:tcPr>
          <w:p w14:paraId="43CB4EF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$36.40 </w:t>
            </w:r>
          </w:p>
        </w:tc>
        <w:tc>
          <w:tcPr>
            <w:tcW w:w="392" w:type="pct"/>
            <w:noWrap/>
            <w:vAlign w:val="center"/>
            <w:hideMark/>
          </w:tcPr>
          <w:p w14:paraId="69A1E8E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109.9%</w:t>
            </w:r>
          </w:p>
        </w:tc>
        <w:tc>
          <w:tcPr>
            <w:tcW w:w="550" w:type="pct"/>
            <w:noWrap/>
            <w:vAlign w:val="center"/>
            <w:hideMark/>
          </w:tcPr>
          <w:p w14:paraId="037080B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$54.88 </w:t>
            </w:r>
          </w:p>
        </w:tc>
        <w:tc>
          <w:tcPr>
            <w:tcW w:w="391" w:type="pct"/>
            <w:noWrap/>
            <w:vAlign w:val="center"/>
            <w:hideMark/>
          </w:tcPr>
          <w:p w14:paraId="0E07D3E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72.9%</w:t>
            </w:r>
          </w:p>
        </w:tc>
      </w:tr>
      <w:tr w:rsidR="00407705" w:rsidRPr="00105FFC" w14:paraId="448D01CC"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4C630FDD"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D1120</w:t>
            </w:r>
          </w:p>
        </w:tc>
        <w:tc>
          <w:tcPr>
            <w:tcW w:w="591" w:type="pct"/>
            <w:noWrap/>
            <w:vAlign w:val="center"/>
            <w:hideMark/>
          </w:tcPr>
          <w:p w14:paraId="0F6464C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$30.00 </w:t>
            </w:r>
          </w:p>
        </w:tc>
        <w:tc>
          <w:tcPr>
            <w:tcW w:w="591" w:type="pct"/>
            <w:noWrap/>
            <w:vAlign w:val="center"/>
            <w:hideMark/>
          </w:tcPr>
          <w:p w14:paraId="197A274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$43.00 </w:t>
            </w:r>
          </w:p>
        </w:tc>
        <w:tc>
          <w:tcPr>
            <w:tcW w:w="392" w:type="pct"/>
            <w:noWrap/>
            <w:vAlign w:val="center"/>
            <w:hideMark/>
          </w:tcPr>
          <w:p w14:paraId="7E42204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69.8%</w:t>
            </w:r>
          </w:p>
        </w:tc>
        <w:tc>
          <w:tcPr>
            <w:tcW w:w="565" w:type="pct"/>
            <w:noWrap/>
            <w:vAlign w:val="center"/>
            <w:hideMark/>
          </w:tcPr>
          <w:p w14:paraId="49DDB1F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$41.00 </w:t>
            </w:r>
          </w:p>
        </w:tc>
        <w:tc>
          <w:tcPr>
            <w:tcW w:w="392" w:type="pct"/>
            <w:noWrap/>
            <w:vAlign w:val="center"/>
            <w:hideMark/>
          </w:tcPr>
          <w:p w14:paraId="5902218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73.2%</w:t>
            </w:r>
          </w:p>
        </w:tc>
        <w:tc>
          <w:tcPr>
            <w:tcW w:w="577" w:type="pct"/>
            <w:noWrap/>
            <w:vAlign w:val="center"/>
            <w:hideMark/>
          </w:tcPr>
          <w:p w14:paraId="41CD4A7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$26.00 </w:t>
            </w:r>
          </w:p>
        </w:tc>
        <w:tc>
          <w:tcPr>
            <w:tcW w:w="392" w:type="pct"/>
            <w:noWrap/>
            <w:vAlign w:val="center"/>
            <w:hideMark/>
          </w:tcPr>
          <w:p w14:paraId="7BAE1B2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115.4%</w:t>
            </w:r>
          </w:p>
        </w:tc>
        <w:tc>
          <w:tcPr>
            <w:tcW w:w="550" w:type="pct"/>
            <w:noWrap/>
            <w:vAlign w:val="center"/>
            <w:hideMark/>
          </w:tcPr>
          <w:p w14:paraId="6153BCC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$36.75 </w:t>
            </w:r>
          </w:p>
        </w:tc>
        <w:tc>
          <w:tcPr>
            <w:tcW w:w="391" w:type="pct"/>
            <w:noWrap/>
            <w:vAlign w:val="center"/>
            <w:hideMark/>
          </w:tcPr>
          <w:p w14:paraId="647DAE1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81.6%</w:t>
            </w:r>
          </w:p>
        </w:tc>
      </w:tr>
      <w:tr w:rsidR="00407705" w:rsidRPr="00105FFC" w14:paraId="4608CDD5"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708ACD97"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D1206</w:t>
            </w:r>
          </w:p>
        </w:tc>
        <w:tc>
          <w:tcPr>
            <w:tcW w:w="591" w:type="pct"/>
            <w:noWrap/>
            <w:vAlign w:val="center"/>
            <w:hideMark/>
          </w:tcPr>
          <w:p w14:paraId="17FE1BE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$11.00 </w:t>
            </w:r>
          </w:p>
        </w:tc>
        <w:tc>
          <w:tcPr>
            <w:tcW w:w="591" w:type="pct"/>
            <w:noWrap/>
            <w:vAlign w:val="center"/>
            <w:hideMark/>
          </w:tcPr>
          <w:p w14:paraId="0A825FE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$30.00 </w:t>
            </w:r>
          </w:p>
        </w:tc>
        <w:tc>
          <w:tcPr>
            <w:tcW w:w="392" w:type="pct"/>
            <w:noWrap/>
            <w:vAlign w:val="center"/>
            <w:hideMark/>
          </w:tcPr>
          <w:p w14:paraId="46A56CE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36.7%</w:t>
            </w:r>
          </w:p>
        </w:tc>
        <w:tc>
          <w:tcPr>
            <w:tcW w:w="565" w:type="pct"/>
            <w:noWrap/>
            <w:vAlign w:val="center"/>
            <w:hideMark/>
          </w:tcPr>
          <w:p w14:paraId="53504AF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$26.00 </w:t>
            </w:r>
          </w:p>
        </w:tc>
        <w:tc>
          <w:tcPr>
            <w:tcW w:w="392" w:type="pct"/>
            <w:noWrap/>
            <w:vAlign w:val="center"/>
            <w:hideMark/>
          </w:tcPr>
          <w:p w14:paraId="4A58A62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42.3%</w:t>
            </w:r>
          </w:p>
        </w:tc>
        <w:tc>
          <w:tcPr>
            <w:tcW w:w="577" w:type="pct"/>
            <w:noWrap/>
            <w:vAlign w:val="center"/>
            <w:hideMark/>
          </w:tcPr>
          <w:p w14:paraId="45EBA18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$4.16 </w:t>
            </w:r>
          </w:p>
        </w:tc>
        <w:tc>
          <w:tcPr>
            <w:tcW w:w="392" w:type="pct"/>
            <w:noWrap/>
            <w:vAlign w:val="center"/>
            <w:hideMark/>
          </w:tcPr>
          <w:p w14:paraId="7BA1879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264.4%</w:t>
            </w:r>
          </w:p>
        </w:tc>
        <w:tc>
          <w:tcPr>
            <w:tcW w:w="550" w:type="pct"/>
            <w:noWrap/>
            <w:vAlign w:val="center"/>
            <w:hideMark/>
          </w:tcPr>
          <w:p w14:paraId="7EDAD4B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$14.70 </w:t>
            </w:r>
          </w:p>
        </w:tc>
        <w:tc>
          <w:tcPr>
            <w:tcW w:w="391" w:type="pct"/>
            <w:noWrap/>
            <w:vAlign w:val="center"/>
            <w:hideMark/>
          </w:tcPr>
          <w:p w14:paraId="2C1F40E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74.8%</w:t>
            </w:r>
          </w:p>
        </w:tc>
      </w:tr>
      <w:tr w:rsidR="00407705" w:rsidRPr="00105FFC" w14:paraId="4D75D806"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5ACD32E7"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D1351</w:t>
            </w:r>
          </w:p>
        </w:tc>
        <w:tc>
          <w:tcPr>
            <w:tcW w:w="591" w:type="pct"/>
            <w:noWrap/>
            <w:vAlign w:val="center"/>
            <w:hideMark/>
          </w:tcPr>
          <w:p w14:paraId="0D26AF8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$22.00 </w:t>
            </w:r>
          </w:p>
        </w:tc>
        <w:tc>
          <w:tcPr>
            <w:tcW w:w="591" w:type="pct"/>
            <w:noWrap/>
            <w:vAlign w:val="center"/>
            <w:hideMark/>
          </w:tcPr>
          <w:p w14:paraId="2029495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$35.00 </w:t>
            </w:r>
          </w:p>
        </w:tc>
        <w:tc>
          <w:tcPr>
            <w:tcW w:w="392" w:type="pct"/>
            <w:noWrap/>
            <w:vAlign w:val="center"/>
            <w:hideMark/>
          </w:tcPr>
          <w:p w14:paraId="6AEFE41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62.9%</w:t>
            </w:r>
          </w:p>
        </w:tc>
        <w:tc>
          <w:tcPr>
            <w:tcW w:w="565" w:type="pct"/>
            <w:noWrap/>
            <w:vAlign w:val="center"/>
            <w:hideMark/>
          </w:tcPr>
          <w:p w14:paraId="100D99B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$36.00 </w:t>
            </w:r>
          </w:p>
        </w:tc>
        <w:tc>
          <w:tcPr>
            <w:tcW w:w="392" w:type="pct"/>
            <w:noWrap/>
            <w:vAlign w:val="center"/>
            <w:hideMark/>
          </w:tcPr>
          <w:p w14:paraId="74CE37F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61.1%</w:t>
            </w:r>
          </w:p>
        </w:tc>
        <w:tc>
          <w:tcPr>
            <w:tcW w:w="577" w:type="pct"/>
            <w:noWrap/>
            <w:vAlign w:val="center"/>
            <w:hideMark/>
          </w:tcPr>
          <w:p w14:paraId="2646446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$24.32 </w:t>
            </w:r>
          </w:p>
        </w:tc>
        <w:tc>
          <w:tcPr>
            <w:tcW w:w="392" w:type="pct"/>
            <w:noWrap/>
            <w:vAlign w:val="center"/>
            <w:hideMark/>
          </w:tcPr>
          <w:p w14:paraId="70BA90C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90.5%</w:t>
            </w:r>
          </w:p>
        </w:tc>
        <w:tc>
          <w:tcPr>
            <w:tcW w:w="550" w:type="pct"/>
            <w:noWrap/>
            <w:vAlign w:val="center"/>
            <w:hideMark/>
          </w:tcPr>
          <w:p w14:paraId="405059E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$28.24 </w:t>
            </w:r>
          </w:p>
        </w:tc>
        <w:tc>
          <w:tcPr>
            <w:tcW w:w="391" w:type="pct"/>
            <w:noWrap/>
            <w:vAlign w:val="center"/>
            <w:hideMark/>
          </w:tcPr>
          <w:p w14:paraId="65962E2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77.9%</w:t>
            </w:r>
          </w:p>
        </w:tc>
      </w:tr>
      <w:tr w:rsidR="00407705" w:rsidRPr="00105FFC" w14:paraId="4577378A"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3CED450F"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D2140</w:t>
            </w:r>
          </w:p>
        </w:tc>
        <w:tc>
          <w:tcPr>
            <w:tcW w:w="591" w:type="pct"/>
            <w:noWrap/>
            <w:vAlign w:val="center"/>
            <w:hideMark/>
          </w:tcPr>
          <w:p w14:paraId="757F12F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$39.00 </w:t>
            </w:r>
          </w:p>
        </w:tc>
        <w:tc>
          <w:tcPr>
            <w:tcW w:w="591" w:type="pct"/>
            <w:noWrap/>
            <w:vAlign w:val="center"/>
            <w:hideMark/>
          </w:tcPr>
          <w:p w14:paraId="270832C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$50.00 </w:t>
            </w:r>
          </w:p>
        </w:tc>
        <w:tc>
          <w:tcPr>
            <w:tcW w:w="392" w:type="pct"/>
            <w:noWrap/>
            <w:vAlign w:val="center"/>
            <w:hideMark/>
          </w:tcPr>
          <w:p w14:paraId="0090BF0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78.0%</w:t>
            </w:r>
          </w:p>
        </w:tc>
        <w:tc>
          <w:tcPr>
            <w:tcW w:w="565" w:type="pct"/>
            <w:noWrap/>
            <w:vAlign w:val="center"/>
            <w:hideMark/>
          </w:tcPr>
          <w:p w14:paraId="4BFE4FD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$25.68 </w:t>
            </w:r>
          </w:p>
        </w:tc>
        <w:tc>
          <w:tcPr>
            <w:tcW w:w="392" w:type="pct"/>
            <w:noWrap/>
            <w:vAlign w:val="center"/>
            <w:hideMark/>
          </w:tcPr>
          <w:p w14:paraId="764A613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151.9%</w:t>
            </w:r>
          </w:p>
        </w:tc>
        <w:tc>
          <w:tcPr>
            <w:tcW w:w="577" w:type="pct"/>
            <w:noWrap/>
            <w:vAlign w:val="center"/>
            <w:hideMark/>
          </w:tcPr>
          <w:p w14:paraId="1E81874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6A2F7D1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50" w:type="pct"/>
            <w:noWrap/>
            <w:vAlign w:val="center"/>
            <w:hideMark/>
          </w:tcPr>
          <w:p w14:paraId="3ADED47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$64.41 </w:t>
            </w:r>
          </w:p>
        </w:tc>
        <w:tc>
          <w:tcPr>
            <w:tcW w:w="391" w:type="pct"/>
            <w:noWrap/>
            <w:vAlign w:val="center"/>
            <w:hideMark/>
          </w:tcPr>
          <w:p w14:paraId="1188BAE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60.5%</w:t>
            </w:r>
          </w:p>
        </w:tc>
      </w:tr>
      <w:tr w:rsidR="00407705" w:rsidRPr="00105FFC" w14:paraId="2882573E"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099A7A22"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D2150</w:t>
            </w:r>
          </w:p>
        </w:tc>
        <w:tc>
          <w:tcPr>
            <w:tcW w:w="591" w:type="pct"/>
            <w:noWrap/>
            <w:vAlign w:val="center"/>
            <w:hideMark/>
          </w:tcPr>
          <w:p w14:paraId="064C2B6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$48.00 </w:t>
            </w:r>
          </w:p>
        </w:tc>
        <w:tc>
          <w:tcPr>
            <w:tcW w:w="591" w:type="pct"/>
            <w:noWrap/>
            <w:vAlign w:val="center"/>
            <w:hideMark/>
          </w:tcPr>
          <w:p w14:paraId="3329684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$67.00 </w:t>
            </w:r>
          </w:p>
        </w:tc>
        <w:tc>
          <w:tcPr>
            <w:tcW w:w="392" w:type="pct"/>
            <w:noWrap/>
            <w:vAlign w:val="center"/>
            <w:hideMark/>
          </w:tcPr>
          <w:p w14:paraId="56925A8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71.6%</w:t>
            </w:r>
          </w:p>
        </w:tc>
        <w:tc>
          <w:tcPr>
            <w:tcW w:w="565" w:type="pct"/>
            <w:noWrap/>
            <w:vAlign w:val="center"/>
            <w:hideMark/>
          </w:tcPr>
          <w:p w14:paraId="47A8257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$40.08 </w:t>
            </w:r>
          </w:p>
        </w:tc>
        <w:tc>
          <w:tcPr>
            <w:tcW w:w="392" w:type="pct"/>
            <w:noWrap/>
            <w:vAlign w:val="center"/>
            <w:hideMark/>
          </w:tcPr>
          <w:p w14:paraId="18B13A9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119.8%</w:t>
            </w:r>
          </w:p>
        </w:tc>
        <w:tc>
          <w:tcPr>
            <w:tcW w:w="577" w:type="pct"/>
            <w:noWrap/>
            <w:vAlign w:val="center"/>
            <w:hideMark/>
          </w:tcPr>
          <w:p w14:paraId="6220905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164E0DE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50" w:type="pct"/>
            <w:noWrap/>
            <w:vAlign w:val="center"/>
            <w:hideMark/>
          </w:tcPr>
          <w:p w14:paraId="4B784EE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$85.71 </w:t>
            </w:r>
          </w:p>
        </w:tc>
        <w:tc>
          <w:tcPr>
            <w:tcW w:w="391" w:type="pct"/>
            <w:noWrap/>
            <w:vAlign w:val="center"/>
            <w:hideMark/>
          </w:tcPr>
          <w:p w14:paraId="6176E02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56.0%</w:t>
            </w:r>
          </w:p>
        </w:tc>
      </w:tr>
      <w:tr w:rsidR="00407705" w:rsidRPr="00105FFC" w14:paraId="07734A59"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2B59B0E7"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D2160</w:t>
            </w:r>
          </w:p>
        </w:tc>
        <w:tc>
          <w:tcPr>
            <w:tcW w:w="591" w:type="pct"/>
            <w:noWrap/>
            <w:vAlign w:val="center"/>
            <w:hideMark/>
          </w:tcPr>
          <w:p w14:paraId="2AE45D6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$57.00 </w:t>
            </w:r>
          </w:p>
        </w:tc>
        <w:tc>
          <w:tcPr>
            <w:tcW w:w="591" w:type="pct"/>
            <w:noWrap/>
            <w:vAlign w:val="center"/>
            <w:hideMark/>
          </w:tcPr>
          <w:p w14:paraId="15E0A10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$82.00 </w:t>
            </w:r>
          </w:p>
        </w:tc>
        <w:tc>
          <w:tcPr>
            <w:tcW w:w="392" w:type="pct"/>
            <w:noWrap/>
            <w:vAlign w:val="center"/>
            <w:hideMark/>
          </w:tcPr>
          <w:p w14:paraId="658D294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69.5%</w:t>
            </w:r>
          </w:p>
        </w:tc>
        <w:tc>
          <w:tcPr>
            <w:tcW w:w="565" w:type="pct"/>
            <w:noWrap/>
            <w:vAlign w:val="center"/>
            <w:hideMark/>
          </w:tcPr>
          <w:p w14:paraId="7375966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$48.33 </w:t>
            </w:r>
          </w:p>
        </w:tc>
        <w:tc>
          <w:tcPr>
            <w:tcW w:w="392" w:type="pct"/>
            <w:noWrap/>
            <w:vAlign w:val="center"/>
            <w:hideMark/>
          </w:tcPr>
          <w:p w14:paraId="0117F92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117.9%</w:t>
            </w:r>
          </w:p>
        </w:tc>
        <w:tc>
          <w:tcPr>
            <w:tcW w:w="577" w:type="pct"/>
            <w:noWrap/>
            <w:vAlign w:val="center"/>
            <w:hideMark/>
          </w:tcPr>
          <w:p w14:paraId="0FBE6A9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170C14C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50" w:type="pct"/>
            <w:noWrap/>
            <w:vAlign w:val="center"/>
            <w:hideMark/>
          </w:tcPr>
          <w:p w14:paraId="4584CC5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$109.19 </w:t>
            </w:r>
          </w:p>
        </w:tc>
        <w:tc>
          <w:tcPr>
            <w:tcW w:w="391" w:type="pct"/>
            <w:noWrap/>
            <w:vAlign w:val="center"/>
            <w:hideMark/>
          </w:tcPr>
          <w:p w14:paraId="129F61B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52.2%</w:t>
            </w:r>
          </w:p>
        </w:tc>
      </w:tr>
      <w:tr w:rsidR="00407705" w:rsidRPr="00105FFC" w14:paraId="6A05CCC9"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6CF7EEA7"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D2330</w:t>
            </w:r>
          </w:p>
        </w:tc>
        <w:tc>
          <w:tcPr>
            <w:tcW w:w="591" w:type="pct"/>
            <w:noWrap/>
            <w:vAlign w:val="center"/>
            <w:hideMark/>
          </w:tcPr>
          <w:p w14:paraId="7E8B70F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$55.00 </w:t>
            </w:r>
          </w:p>
        </w:tc>
        <w:tc>
          <w:tcPr>
            <w:tcW w:w="591" w:type="pct"/>
            <w:noWrap/>
            <w:vAlign w:val="center"/>
            <w:hideMark/>
          </w:tcPr>
          <w:p w14:paraId="46793D3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$50.00 </w:t>
            </w:r>
          </w:p>
        </w:tc>
        <w:tc>
          <w:tcPr>
            <w:tcW w:w="392" w:type="pct"/>
            <w:noWrap/>
            <w:vAlign w:val="center"/>
            <w:hideMark/>
          </w:tcPr>
          <w:p w14:paraId="342F766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110.0%</w:t>
            </w:r>
          </w:p>
        </w:tc>
        <w:tc>
          <w:tcPr>
            <w:tcW w:w="565" w:type="pct"/>
            <w:noWrap/>
            <w:vAlign w:val="center"/>
            <w:hideMark/>
          </w:tcPr>
          <w:p w14:paraId="1BDEF39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$28.80 </w:t>
            </w:r>
          </w:p>
        </w:tc>
        <w:tc>
          <w:tcPr>
            <w:tcW w:w="392" w:type="pct"/>
            <w:noWrap/>
            <w:vAlign w:val="center"/>
            <w:hideMark/>
          </w:tcPr>
          <w:p w14:paraId="53339FF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191.0%</w:t>
            </w:r>
          </w:p>
        </w:tc>
        <w:tc>
          <w:tcPr>
            <w:tcW w:w="577" w:type="pct"/>
            <w:noWrap/>
            <w:vAlign w:val="center"/>
            <w:hideMark/>
          </w:tcPr>
          <w:p w14:paraId="7E8D158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057FE8D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50" w:type="pct"/>
            <w:noWrap/>
            <w:vAlign w:val="center"/>
            <w:hideMark/>
          </w:tcPr>
          <w:p w14:paraId="171418E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$77.75 </w:t>
            </w:r>
          </w:p>
        </w:tc>
        <w:tc>
          <w:tcPr>
            <w:tcW w:w="391" w:type="pct"/>
            <w:noWrap/>
            <w:vAlign w:val="center"/>
            <w:hideMark/>
          </w:tcPr>
          <w:p w14:paraId="790C5AD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70.7%</w:t>
            </w:r>
          </w:p>
        </w:tc>
      </w:tr>
      <w:tr w:rsidR="00407705" w:rsidRPr="00105FFC" w14:paraId="03372FA5"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7B8E1D66"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D2391</w:t>
            </w:r>
          </w:p>
        </w:tc>
        <w:tc>
          <w:tcPr>
            <w:tcW w:w="591" w:type="pct"/>
            <w:noWrap/>
            <w:vAlign w:val="center"/>
            <w:hideMark/>
          </w:tcPr>
          <w:p w14:paraId="160ABED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$39.00 </w:t>
            </w:r>
          </w:p>
        </w:tc>
        <w:tc>
          <w:tcPr>
            <w:tcW w:w="591" w:type="pct"/>
            <w:noWrap/>
            <w:vAlign w:val="center"/>
            <w:hideMark/>
          </w:tcPr>
          <w:p w14:paraId="3548812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$50.00 </w:t>
            </w:r>
          </w:p>
        </w:tc>
        <w:tc>
          <w:tcPr>
            <w:tcW w:w="392" w:type="pct"/>
            <w:noWrap/>
            <w:vAlign w:val="center"/>
            <w:hideMark/>
          </w:tcPr>
          <w:p w14:paraId="398F3B0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78.0%</w:t>
            </w:r>
          </w:p>
        </w:tc>
        <w:tc>
          <w:tcPr>
            <w:tcW w:w="565" w:type="pct"/>
            <w:noWrap/>
            <w:vAlign w:val="center"/>
            <w:hideMark/>
          </w:tcPr>
          <w:p w14:paraId="46D7C25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$25.68 </w:t>
            </w:r>
          </w:p>
        </w:tc>
        <w:tc>
          <w:tcPr>
            <w:tcW w:w="392" w:type="pct"/>
            <w:noWrap/>
            <w:vAlign w:val="center"/>
            <w:hideMark/>
          </w:tcPr>
          <w:p w14:paraId="5E48A00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151.9%</w:t>
            </w:r>
          </w:p>
        </w:tc>
        <w:tc>
          <w:tcPr>
            <w:tcW w:w="577" w:type="pct"/>
            <w:noWrap/>
            <w:vAlign w:val="center"/>
            <w:hideMark/>
          </w:tcPr>
          <w:p w14:paraId="232F635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6C02C8A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50" w:type="pct"/>
            <w:noWrap/>
            <w:vAlign w:val="center"/>
            <w:hideMark/>
          </w:tcPr>
          <w:p w14:paraId="41D9D7B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$82.40 </w:t>
            </w:r>
          </w:p>
        </w:tc>
        <w:tc>
          <w:tcPr>
            <w:tcW w:w="391" w:type="pct"/>
            <w:noWrap/>
            <w:vAlign w:val="center"/>
            <w:hideMark/>
          </w:tcPr>
          <w:p w14:paraId="5D36325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47.3%</w:t>
            </w:r>
          </w:p>
        </w:tc>
      </w:tr>
      <w:tr w:rsidR="00407705" w:rsidRPr="00105FFC" w14:paraId="218F127E"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772B8B34"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D2392</w:t>
            </w:r>
          </w:p>
        </w:tc>
        <w:tc>
          <w:tcPr>
            <w:tcW w:w="591" w:type="pct"/>
            <w:noWrap/>
            <w:vAlign w:val="center"/>
            <w:hideMark/>
          </w:tcPr>
          <w:p w14:paraId="5C8847E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$48.00 </w:t>
            </w:r>
          </w:p>
        </w:tc>
        <w:tc>
          <w:tcPr>
            <w:tcW w:w="591" w:type="pct"/>
            <w:noWrap/>
            <w:vAlign w:val="center"/>
            <w:hideMark/>
          </w:tcPr>
          <w:p w14:paraId="733C073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$67.00 </w:t>
            </w:r>
          </w:p>
        </w:tc>
        <w:tc>
          <w:tcPr>
            <w:tcW w:w="392" w:type="pct"/>
            <w:noWrap/>
            <w:vAlign w:val="center"/>
            <w:hideMark/>
          </w:tcPr>
          <w:p w14:paraId="60EDCB0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71.6%</w:t>
            </w:r>
          </w:p>
        </w:tc>
        <w:tc>
          <w:tcPr>
            <w:tcW w:w="565" w:type="pct"/>
            <w:noWrap/>
            <w:vAlign w:val="center"/>
            <w:hideMark/>
          </w:tcPr>
          <w:p w14:paraId="1D93BE8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$40.08 </w:t>
            </w:r>
          </w:p>
        </w:tc>
        <w:tc>
          <w:tcPr>
            <w:tcW w:w="392" w:type="pct"/>
            <w:noWrap/>
            <w:vAlign w:val="center"/>
            <w:hideMark/>
          </w:tcPr>
          <w:p w14:paraId="48008D0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119.8%</w:t>
            </w:r>
          </w:p>
        </w:tc>
        <w:tc>
          <w:tcPr>
            <w:tcW w:w="577" w:type="pct"/>
            <w:noWrap/>
            <w:vAlign w:val="center"/>
            <w:hideMark/>
          </w:tcPr>
          <w:p w14:paraId="582FB69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397C7F4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50" w:type="pct"/>
            <w:noWrap/>
            <w:vAlign w:val="center"/>
            <w:hideMark/>
          </w:tcPr>
          <w:p w14:paraId="782C422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$108.00 </w:t>
            </w:r>
          </w:p>
        </w:tc>
        <w:tc>
          <w:tcPr>
            <w:tcW w:w="391" w:type="pct"/>
            <w:noWrap/>
            <w:vAlign w:val="center"/>
            <w:hideMark/>
          </w:tcPr>
          <w:p w14:paraId="54F3A1B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44.4%</w:t>
            </w:r>
          </w:p>
        </w:tc>
      </w:tr>
      <w:tr w:rsidR="00407705" w:rsidRPr="00105FFC" w14:paraId="68FC5F86"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08C523AC"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D2930</w:t>
            </w:r>
          </w:p>
        </w:tc>
        <w:tc>
          <w:tcPr>
            <w:tcW w:w="591" w:type="pct"/>
            <w:noWrap/>
            <w:vAlign w:val="center"/>
            <w:hideMark/>
          </w:tcPr>
          <w:p w14:paraId="0DF6444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$75.00 </w:t>
            </w:r>
          </w:p>
        </w:tc>
        <w:tc>
          <w:tcPr>
            <w:tcW w:w="591" w:type="pct"/>
            <w:noWrap/>
            <w:vAlign w:val="center"/>
            <w:hideMark/>
          </w:tcPr>
          <w:p w14:paraId="3BA6BDA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$116.00 </w:t>
            </w:r>
          </w:p>
        </w:tc>
        <w:tc>
          <w:tcPr>
            <w:tcW w:w="392" w:type="pct"/>
            <w:noWrap/>
            <w:vAlign w:val="center"/>
            <w:hideMark/>
          </w:tcPr>
          <w:p w14:paraId="06C753D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64.7%</w:t>
            </w:r>
          </w:p>
        </w:tc>
        <w:tc>
          <w:tcPr>
            <w:tcW w:w="565" w:type="pct"/>
            <w:noWrap/>
            <w:vAlign w:val="center"/>
            <w:hideMark/>
          </w:tcPr>
          <w:p w14:paraId="27E734B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$61.11 </w:t>
            </w:r>
          </w:p>
        </w:tc>
        <w:tc>
          <w:tcPr>
            <w:tcW w:w="392" w:type="pct"/>
            <w:noWrap/>
            <w:vAlign w:val="center"/>
            <w:hideMark/>
          </w:tcPr>
          <w:p w14:paraId="6BDE4EB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122.7%</w:t>
            </w:r>
          </w:p>
        </w:tc>
        <w:tc>
          <w:tcPr>
            <w:tcW w:w="577" w:type="pct"/>
            <w:noWrap/>
            <w:vAlign w:val="center"/>
            <w:hideMark/>
          </w:tcPr>
          <w:p w14:paraId="4A7F5E9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$74.36 </w:t>
            </w:r>
          </w:p>
        </w:tc>
        <w:tc>
          <w:tcPr>
            <w:tcW w:w="392" w:type="pct"/>
            <w:noWrap/>
            <w:vAlign w:val="center"/>
            <w:hideMark/>
          </w:tcPr>
          <w:p w14:paraId="135D581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100.9%</w:t>
            </w:r>
          </w:p>
        </w:tc>
        <w:tc>
          <w:tcPr>
            <w:tcW w:w="550" w:type="pct"/>
            <w:noWrap/>
            <w:vAlign w:val="center"/>
            <w:hideMark/>
          </w:tcPr>
          <w:p w14:paraId="7F0A61B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$152.94 </w:t>
            </w:r>
          </w:p>
        </w:tc>
        <w:tc>
          <w:tcPr>
            <w:tcW w:w="391" w:type="pct"/>
            <w:noWrap/>
            <w:vAlign w:val="center"/>
            <w:hideMark/>
          </w:tcPr>
          <w:p w14:paraId="4C54B6F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49.0%</w:t>
            </w:r>
          </w:p>
        </w:tc>
      </w:tr>
      <w:tr w:rsidR="00407705" w:rsidRPr="00105FFC" w14:paraId="41FCA41B"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34E97531"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D3220</w:t>
            </w:r>
          </w:p>
        </w:tc>
        <w:tc>
          <w:tcPr>
            <w:tcW w:w="591" w:type="pct"/>
            <w:noWrap/>
            <w:vAlign w:val="center"/>
            <w:hideMark/>
          </w:tcPr>
          <w:p w14:paraId="7B41A6A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$71.00 </w:t>
            </w:r>
          </w:p>
        </w:tc>
        <w:tc>
          <w:tcPr>
            <w:tcW w:w="591" w:type="pct"/>
            <w:noWrap/>
            <w:vAlign w:val="center"/>
            <w:hideMark/>
          </w:tcPr>
          <w:p w14:paraId="20A323F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$87.00 </w:t>
            </w:r>
          </w:p>
        </w:tc>
        <w:tc>
          <w:tcPr>
            <w:tcW w:w="392" w:type="pct"/>
            <w:noWrap/>
            <w:vAlign w:val="center"/>
            <w:hideMark/>
          </w:tcPr>
          <w:p w14:paraId="2DA6B54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81.6%</w:t>
            </w:r>
          </w:p>
        </w:tc>
        <w:tc>
          <w:tcPr>
            <w:tcW w:w="565" w:type="pct"/>
            <w:noWrap/>
            <w:vAlign w:val="center"/>
            <w:hideMark/>
          </w:tcPr>
          <w:p w14:paraId="6F85781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$43.87 </w:t>
            </w:r>
          </w:p>
        </w:tc>
        <w:tc>
          <w:tcPr>
            <w:tcW w:w="392" w:type="pct"/>
            <w:noWrap/>
            <w:vAlign w:val="center"/>
            <w:hideMark/>
          </w:tcPr>
          <w:p w14:paraId="6E5D5B5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161.8%</w:t>
            </w:r>
          </w:p>
        </w:tc>
        <w:tc>
          <w:tcPr>
            <w:tcW w:w="577" w:type="pct"/>
            <w:noWrap/>
            <w:vAlign w:val="center"/>
            <w:hideMark/>
          </w:tcPr>
          <w:p w14:paraId="0E85964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$67.60 </w:t>
            </w:r>
          </w:p>
        </w:tc>
        <w:tc>
          <w:tcPr>
            <w:tcW w:w="392" w:type="pct"/>
            <w:noWrap/>
            <w:vAlign w:val="center"/>
            <w:hideMark/>
          </w:tcPr>
          <w:p w14:paraId="35E3303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105.0%</w:t>
            </w:r>
          </w:p>
        </w:tc>
        <w:tc>
          <w:tcPr>
            <w:tcW w:w="550" w:type="pct"/>
            <w:noWrap/>
            <w:vAlign w:val="center"/>
            <w:hideMark/>
          </w:tcPr>
          <w:p w14:paraId="67BE2CB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$86.20 </w:t>
            </w:r>
          </w:p>
        </w:tc>
        <w:tc>
          <w:tcPr>
            <w:tcW w:w="391" w:type="pct"/>
            <w:noWrap/>
            <w:vAlign w:val="center"/>
            <w:hideMark/>
          </w:tcPr>
          <w:p w14:paraId="05C7185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82.4%</w:t>
            </w:r>
          </w:p>
        </w:tc>
      </w:tr>
      <w:tr w:rsidR="00407705" w:rsidRPr="00105FFC" w14:paraId="0E35D487"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143080FE"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D7140</w:t>
            </w:r>
          </w:p>
        </w:tc>
        <w:tc>
          <w:tcPr>
            <w:tcW w:w="591" w:type="pct"/>
            <w:noWrap/>
            <w:vAlign w:val="center"/>
            <w:hideMark/>
          </w:tcPr>
          <w:p w14:paraId="23D15A4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$41.00 </w:t>
            </w:r>
          </w:p>
        </w:tc>
        <w:tc>
          <w:tcPr>
            <w:tcW w:w="591" w:type="pct"/>
            <w:noWrap/>
            <w:vAlign w:val="center"/>
            <w:hideMark/>
          </w:tcPr>
          <w:p w14:paraId="3182277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$50.00 </w:t>
            </w:r>
          </w:p>
        </w:tc>
        <w:tc>
          <w:tcPr>
            <w:tcW w:w="392" w:type="pct"/>
            <w:noWrap/>
            <w:vAlign w:val="center"/>
            <w:hideMark/>
          </w:tcPr>
          <w:p w14:paraId="6931FFB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82.0%</w:t>
            </w:r>
          </w:p>
        </w:tc>
        <w:tc>
          <w:tcPr>
            <w:tcW w:w="565" w:type="pct"/>
            <w:noWrap/>
            <w:vAlign w:val="center"/>
            <w:hideMark/>
          </w:tcPr>
          <w:p w14:paraId="3E2BDB6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$32.57 </w:t>
            </w:r>
          </w:p>
        </w:tc>
        <w:tc>
          <w:tcPr>
            <w:tcW w:w="392" w:type="pct"/>
            <w:noWrap/>
            <w:vAlign w:val="center"/>
            <w:hideMark/>
          </w:tcPr>
          <w:p w14:paraId="338C188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125.9%</w:t>
            </w:r>
          </w:p>
        </w:tc>
        <w:tc>
          <w:tcPr>
            <w:tcW w:w="577" w:type="pct"/>
            <w:noWrap/>
            <w:vAlign w:val="center"/>
            <w:hideMark/>
          </w:tcPr>
          <w:p w14:paraId="2095589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1C74947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50" w:type="pct"/>
            <w:noWrap/>
            <w:vAlign w:val="center"/>
            <w:hideMark/>
          </w:tcPr>
          <w:p w14:paraId="3F714E0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$65.70 </w:t>
            </w:r>
          </w:p>
        </w:tc>
        <w:tc>
          <w:tcPr>
            <w:tcW w:w="391" w:type="pct"/>
            <w:noWrap/>
            <w:vAlign w:val="center"/>
            <w:hideMark/>
          </w:tcPr>
          <w:p w14:paraId="78CA915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62.4%</w:t>
            </w:r>
          </w:p>
        </w:tc>
      </w:tr>
      <w:tr w:rsidR="00407705" w:rsidRPr="00105FFC" w14:paraId="1718135A"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4226FB83"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D7210</w:t>
            </w:r>
          </w:p>
        </w:tc>
        <w:tc>
          <w:tcPr>
            <w:tcW w:w="591" w:type="pct"/>
            <w:noWrap/>
            <w:vAlign w:val="center"/>
            <w:hideMark/>
          </w:tcPr>
          <w:p w14:paraId="6C8B9A7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$85.00 </w:t>
            </w:r>
          </w:p>
        </w:tc>
        <w:tc>
          <w:tcPr>
            <w:tcW w:w="591" w:type="pct"/>
            <w:noWrap/>
            <w:vAlign w:val="center"/>
            <w:hideMark/>
          </w:tcPr>
          <w:p w14:paraId="42B1CB2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$85.00 </w:t>
            </w:r>
          </w:p>
        </w:tc>
        <w:tc>
          <w:tcPr>
            <w:tcW w:w="392" w:type="pct"/>
            <w:noWrap/>
            <w:vAlign w:val="center"/>
            <w:hideMark/>
          </w:tcPr>
          <w:p w14:paraId="39CC789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100.0%</w:t>
            </w:r>
          </w:p>
        </w:tc>
        <w:tc>
          <w:tcPr>
            <w:tcW w:w="565" w:type="pct"/>
            <w:noWrap/>
            <w:vAlign w:val="center"/>
            <w:hideMark/>
          </w:tcPr>
          <w:p w14:paraId="743BA46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$47.79 </w:t>
            </w:r>
          </w:p>
        </w:tc>
        <w:tc>
          <w:tcPr>
            <w:tcW w:w="392" w:type="pct"/>
            <w:noWrap/>
            <w:vAlign w:val="center"/>
            <w:hideMark/>
          </w:tcPr>
          <w:p w14:paraId="2F1FECC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177.9%</w:t>
            </w:r>
          </w:p>
        </w:tc>
        <w:tc>
          <w:tcPr>
            <w:tcW w:w="577" w:type="pct"/>
            <w:noWrap/>
            <w:vAlign w:val="center"/>
            <w:hideMark/>
          </w:tcPr>
          <w:p w14:paraId="76CC2A0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$145.60 </w:t>
            </w:r>
          </w:p>
        </w:tc>
        <w:tc>
          <w:tcPr>
            <w:tcW w:w="392" w:type="pct"/>
            <w:noWrap/>
            <w:vAlign w:val="center"/>
            <w:hideMark/>
          </w:tcPr>
          <w:p w14:paraId="1175E35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58.4%</w:t>
            </w:r>
          </w:p>
        </w:tc>
        <w:tc>
          <w:tcPr>
            <w:tcW w:w="550" w:type="pct"/>
            <w:noWrap/>
            <w:vAlign w:val="center"/>
            <w:hideMark/>
          </w:tcPr>
          <w:p w14:paraId="729EE6C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$100.75 </w:t>
            </w:r>
          </w:p>
        </w:tc>
        <w:tc>
          <w:tcPr>
            <w:tcW w:w="391" w:type="pct"/>
            <w:noWrap/>
            <w:vAlign w:val="center"/>
            <w:hideMark/>
          </w:tcPr>
          <w:p w14:paraId="550760C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84.4%</w:t>
            </w:r>
          </w:p>
        </w:tc>
      </w:tr>
      <w:tr w:rsidR="00407705" w:rsidRPr="00105FFC" w14:paraId="58206EE7"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11AB1680"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D9230</w:t>
            </w:r>
          </w:p>
        </w:tc>
        <w:tc>
          <w:tcPr>
            <w:tcW w:w="591" w:type="pct"/>
            <w:noWrap/>
            <w:vAlign w:val="center"/>
            <w:hideMark/>
          </w:tcPr>
          <w:p w14:paraId="6B8AE5D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$25.00 </w:t>
            </w:r>
          </w:p>
        </w:tc>
        <w:tc>
          <w:tcPr>
            <w:tcW w:w="591" w:type="pct"/>
            <w:noWrap/>
            <w:vAlign w:val="center"/>
            <w:hideMark/>
          </w:tcPr>
          <w:p w14:paraId="4A9F816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64343DA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65" w:type="pct"/>
            <w:noWrap/>
            <w:vAlign w:val="center"/>
            <w:hideMark/>
          </w:tcPr>
          <w:p w14:paraId="432D5B4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$21.65 </w:t>
            </w:r>
          </w:p>
        </w:tc>
        <w:tc>
          <w:tcPr>
            <w:tcW w:w="392" w:type="pct"/>
            <w:noWrap/>
            <w:vAlign w:val="center"/>
            <w:hideMark/>
          </w:tcPr>
          <w:p w14:paraId="3E145E9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115.5%</w:t>
            </w:r>
          </w:p>
        </w:tc>
        <w:tc>
          <w:tcPr>
            <w:tcW w:w="577" w:type="pct"/>
            <w:noWrap/>
            <w:vAlign w:val="center"/>
            <w:hideMark/>
          </w:tcPr>
          <w:p w14:paraId="2E7D4A2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$55.99 </w:t>
            </w:r>
          </w:p>
        </w:tc>
        <w:tc>
          <w:tcPr>
            <w:tcW w:w="392" w:type="pct"/>
            <w:noWrap/>
            <w:vAlign w:val="center"/>
            <w:hideMark/>
          </w:tcPr>
          <w:p w14:paraId="179293B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44.7%</w:t>
            </w:r>
          </w:p>
        </w:tc>
        <w:tc>
          <w:tcPr>
            <w:tcW w:w="550" w:type="pct"/>
            <w:noWrap/>
            <w:vAlign w:val="center"/>
            <w:hideMark/>
          </w:tcPr>
          <w:p w14:paraId="6D3962E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$27.81 </w:t>
            </w:r>
          </w:p>
        </w:tc>
        <w:tc>
          <w:tcPr>
            <w:tcW w:w="391" w:type="pct"/>
            <w:noWrap/>
            <w:vAlign w:val="center"/>
            <w:hideMark/>
          </w:tcPr>
          <w:p w14:paraId="4D9494E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89.9%</w:t>
            </w:r>
          </w:p>
        </w:tc>
      </w:tr>
      <w:tr w:rsidR="00407705" w:rsidRPr="00105FFC" w14:paraId="4E4300FA" w14:textId="77777777" w:rsidTr="00407705">
        <w:trPr>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6F4B74B9"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D9410</w:t>
            </w:r>
          </w:p>
        </w:tc>
        <w:tc>
          <w:tcPr>
            <w:tcW w:w="591" w:type="pct"/>
            <w:noWrap/>
            <w:vAlign w:val="center"/>
            <w:hideMark/>
          </w:tcPr>
          <w:p w14:paraId="3CC9D11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$20.00 </w:t>
            </w:r>
          </w:p>
        </w:tc>
        <w:tc>
          <w:tcPr>
            <w:tcW w:w="591" w:type="pct"/>
            <w:noWrap/>
            <w:vAlign w:val="center"/>
            <w:hideMark/>
          </w:tcPr>
          <w:p w14:paraId="25686C1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$50.00 </w:t>
            </w:r>
          </w:p>
        </w:tc>
        <w:tc>
          <w:tcPr>
            <w:tcW w:w="392" w:type="pct"/>
            <w:noWrap/>
            <w:vAlign w:val="center"/>
            <w:hideMark/>
          </w:tcPr>
          <w:p w14:paraId="3207F31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40.0%</w:t>
            </w:r>
          </w:p>
        </w:tc>
        <w:tc>
          <w:tcPr>
            <w:tcW w:w="565" w:type="pct"/>
            <w:noWrap/>
            <w:vAlign w:val="center"/>
            <w:hideMark/>
          </w:tcPr>
          <w:p w14:paraId="76069F4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7719A81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77" w:type="pct"/>
            <w:noWrap/>
            <w:vAlign w:val="center"/>
            <w:hideMark/>
          </w:tcPr>
          <w:p w14:paraId="2E5305E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4217212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50" w:type="pct"/>
            <w:noWrap/>
            <w:vAlign w:val="center"/>
            <w:hideMark/>
          </w:tcPr>
          <w:p w14:paraId="0C5F96A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$24.50 </w:t>
            </w:r>
          </w:p>
        </w:tc>
        <w:tc>
          <w:tcPr>
            <w:tcW w:w="391" w:type="pct"/>
            <w:noWrap/>
            <w:vAlign w:val="center"/>
            <w:hideMark/>
          </w:tcPr>
          <w:p w14:paraId="4A237B6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81.6%</w:t>
            </w:r>
          </w:p>
        </w:tc>
      </w:tr>
      <w:tr w:rsidR="00407705" w:rsidRPr="00105FFC" w14:paraId="4D58C465" w14:textId="77777777" w:rsidTr="00407705">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559" w:type="pct"/>
            <w:noWrap/>
            <w:vAlign w:val="center"/>
            <w:hideMark/>
          </w:tcPr>
          <w:p w14:paraId="7B8964BD"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D9430</w:t>
            </w:r>
          </w:p>
        </w:tc>
        <w:tc>
          <w:tcPr>
            <w:tcW w:w="591" w:type="pct"/>
            <w:noWrap/>
            <w:vAlign w:val="center"/>
            <w:hideMark/>
          </w:tcPr>
          <w:p w14:paraId="60EA926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$20.00 </w:t>
            </w:r>
          </w:p>
        </w:tc>
        <w:tc>
          <w:tcPr>
            <w:tcW w:w="591" w:type="pct"/>
            <w:noWrap/>
            <w:vAlign w:val="center"/>
            <w:hideMark/>
          </w:tcPr>
          <w:p w14:paraId="21FF816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$20.00 </w:t>
            </w:r>
          </w:p>
        </w:tc>
        <w:tc>
          <w:tcPr>
            <w:tcW w:w="392" w:type="pct"/>
            <w:noWrap/>
            <w:vAlign w:val="center"/>
            <w:hideMark/>
          </w:tcPr>
          <w:p w14:paraId="62148CF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100.0%</w:t>
            </w:r>
          </w:p>
        </w:tc>
        <w:tc>
          <w:tcPr>
            <w:tcW w:w="565" w:type="pct"/>
            <w:noWrap/>
            <w:vAlign w:val="center"/>
            <w:hideMark/>
          </w:tcPr>
          <w:p w14:paraId="4971725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203C68C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77" w:type="pct"/>
            <w:noWrap/>
            <w:vAlign w:val="center"/>
            <w:hideMark/>
          </w:tcPr>
          <w:p w14:paraId="488D10E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392" w:type="pct"/>
            <w:noWrap/>
            <w:vAlign w:val="center"/>
            <w:hideMark/>
          </w:tcPr>
          <w:p w14:paraId="66CD7F7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N/A </w:t>
            </w:r>
          </w:p>
        </w:tc>
        <w:tc>
          <w:tcPr>
            <w:tcW w:w="550" w:type="pct"/>
            <w:noWrap/>
            <w:vAlign w:val="center"/>
            <w:hideMark/>
          </w:tcPr>
          <w:p w14:paraId="74A028D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xml:space="preserve"> $14.70 </w:t>
            </w:r>
          </w:p>
        </w:tc>
        <w:tc>
          <w:tcPr>
            <w:tcW w:w="391" w:type="pct"/>
            <w:noWrap/>
            <w:vAlign w:val="center"/>
            <w:hideMark/>
          </w:tcPr>
          <w:p w14:paraId="3F4B787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136.1%</w:t>
            </w:r>
          </w:p>
        </w:tc>
      </w:tr>
      <w:tr w:rsidR="00407705" w:rsidRPr="00105FFC" w14:paraId="0A468BA2" w14:textId="77777777" w:rsidTr="00407705">
        <w:trPr>
          <w:cantSplit/>
          <w:trHeight w:val="823"/>
        </w:trPr>
        <w:tc>
          <w:tcPr>
            <w:cnfStyle w:val="001000000000" w:firstRow="0" w:lastRow="0" w:firstColumn="1" w:lastColumn="0" w:oddVBand="0" w:evenVBand="0" w:oddHBand="0" w:evenHBand="0" w:firstRowFirstColumn="0" w:firstRowLastColumn="0" w:lastRowFirstColumn="0" w:lastRowLastColumn="0"/>
            <w:tcW w:w="1150" w:type="pct"/>
            <w:gridSpan w:val="2"/>
            <w:vAlign w:val="center"/>
            <w:hideMark/>
          </w:tcPr>
          <w:p w14:paraId="617330C1" w14:textId="77777777" w:rsidR="00407705" w:rsidRPr="00105FFC" w:rsidRDefault="00407705" w:rsidP="00407705">
            <w:pPr>
              <w:jc w:val="center"/>
              <w:rPr>
                <w:rFonts w:asciiTheme="minorHAnsi" w:hAnsiTheme="minorHAnsi" w:cs="Arial"/>
                <w:bCs w:val="0"/>
                <w:color w:val="000000"/>
                <w:sz w:val="20"/>
                <w:szCs w:val="20"/>
              </w:rPr>
            </w:pPr>
            <w:r w:rsidRPr="00105FFC">
              <w:rPr>
                <w:rFonts w:asciiTheme="minorHAnsi" w:hAnsiTheme="minorHAnsi" w:cs="Arial"/>
                <w:bCs w:val="0"/>
                <w:color w:val="000000"/>
                <w:sz w:val="20"/>
                <w:szCs w:val="20"/>
              </w:rPr>
              <w:t>Average % Denti-Cal Pays of Other States' Medicaid Rates</w:t>
            </w:r>
          </w:p>
        </w:tc>
        <w:tc>
          <w:tcPr>
            <w:tcW w:w="983" w:type="pct"/>
            <w:gridSpan w:val="2"/>
            <w:noWrap/>
            <w:vAlign w:val="center"/>
            <w:hideMark/>
          </w:tcPr>
          <w:p w14:paraId="1B2242B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0"/>
                <w:szCs w:val="20"/>
              </w:rPr>
            </w:pPr>
            <w:r w:rsidRPr="00105FFC">
              <w:rPr>
                <w:rFonts w:asciiTheme="minorHAnsi" w:hAnsiTheme="minorHAnsi" w:cs="Arial"/>
                <w:b/>
                <w:bCs/>
                <w:color w:val="000000"/>
                <w:sz w:val="20"/>
                <w:szCs w:val="20"/>
              </w:rPr>
              <w:t>75.4%</w:t>
            </w:r>
          </w:p>
        </w:tc>
        <w:tc>
          <w:tcPr>
            <w:tcW w:w="957" w:type="pct"/>
            <w:gridSpan w:val="2"/>
            <w:noWrap/>
            <w:vAlign w:val="center"/>
            <w:hideMark/>
          </w:tcPr>
          <w:p w14:paraId="0C654D5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0"/>
                <w:szCs w:val="20"/>
              </w:rPr>
            </w:pPr>
            <w:r w:rsidRPr="00105FFC">
              <w:rPr>
                <w:rFonts w:asciiTheme="minorHAnsi" w:hAnsiTheme="minorHAnsi" w:cs="Arial"/>
                <w:b/>
                <w:bCs/>
                <w:color w:val="000000"/>
                <w:sz w:val="20"/>
                <w:szCs w:val="20"/>
              </w:rPr>
              <w:t>129.2%</w:t>
            </w:r>
          </w:p>
        </w:tc>
        <w:tc>
          <w:tcPr>
            <w:tcW w:w="969" w:type="pct"/>
            <w:gridSpan w:val="2"/>
            <w:noWrap/>
            <w:vAlign w:val="center"/>
            <w:hideMark/>
          </w:tcPr>
          <w:p w14:paraId="25545ED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0"/>
                <w:szCs w:val="20"/>
              </w:rPr>
            </w:pPr>
            <w:r w:rsidRPr="00105FFC">
              <w:rPr>
                <w:rFonts w:asciiTheme="minorHAnsi" w:hAnsiTheme="minorHAnsi" w:cs="Arial"/>
                <w:b/>
                <w:bCs/>
                <w:color w:val="000000"/>
                <w:sz w:val="20"/>
                <w:szCs w:val="20"/>
              </w:rPr>
              <w:t>86.1%</w:t>
            </w:r>
          </w:p>
        </w:tc>
        <w:tc>
          <w:tcPr>
            <w:tcW w:w="941" w:type="pct"/>
            <w:gridSpan w:val="2"/>
            <w:noWrap/>
            <w:vAlign w:val="center"/>
            <w:hideMark/>
          </w:tcPr>
          <w:p w14:paraId="30C82BD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0"/>
                <w:szCs w:val="20"/>
              </w:rPr>
            </w:pPr>
            <w:r w:rsidRPr="00105FFC">
              <w:rPr>
                <w:rFonts w:asciiTheme="minorHAnsi" w:hAnsiTheme="minorHAnsi" w:cs="Arial"/>
                <w:b/>
                <w:bCs/>
                <w:color w:val="000000"/>
                <w:sz w:val="20"/>
                <w:szCs w:val="20"/>
              </w:rPr>
              <w:t>65.5%</w:t>
            </w:r>
          </w:p>
        </w:tc>
      </w:tr>
    </w:tbl>
    <w:p w14:paraId="4F6785FD" w14:textId="77777777" w:rsidR="00407705" w:rsidRPr="00105FFC" w:rsidRDefault="00407705" w:rsidP="00407705">
      <w:pPr>
        <w:rPr>
          <w:rFonts w:asciiTheme="minorHAnsi" w:eastAsiaTheme="minorHAnsi" w:hAnsiTheme="minorHAnsi" w:cstheme="minorBidi"/>
          <w:sz w:val="20"/>
          <w:szCs w:val="20"/>
        </w:rPr>
      </w:pPr>
      <w:r w:rsidRPr="00105FFC">
        <w:rPr>
          <w:rFonts w:asciiTheme="minorHAnsi" w:eastAsiaTheme="minorHAnsi" w:hAnsiTheme="minorHAnsi" w:cstheme="minorBidi"/>
          <w:b/>
          <w:sz w:val="20"/>
          <w:szCs w:val="20"/>
        </w:rPr>
        <w:t xml:space="preserve">Source: </w:t>
      </w:r>
      <w:r w:rsidRPr="00105FFC">
        <w:rPr>
          <w:rFonts w:asciiTheme="minorHAnsi" w:eastAsiaTheme="minorHAnsi" w:hAnsiTheme="minorHAnsi" w:cstheme="minorBidi"/>
          <w:sz w:val="20"/>
          <w:szCs w:val="20"/>
        </w:rPr>
        <w:t>Prepared by DHCS’ Medi-Cal Dental Services Division using data from the MIS/DSS, the Medi-Cal Fiscal Intermediary’s 35c-file of paid claims records, and Other State’s (New York, Illinois, Florida, and Texas) Medicaid Program dental fee schedule.</w:t>
      </w:r>
    </w:p>
    <w:p w14:paraId="518C2755" w14:textId="77777777" w:rsidR="00913834" w:rsidRPr="00105FFC" w:rsidRDefault="00913834" w:rsidP="00407705">
      <w:pPr>
        <w:rPr>
          <w:rFonts w:asciiTheme="minorHAnsi" w:eastAsiaTheme="minorHAnsi" w:hAnsiTheme="minorHAnsi" w:cstheme="minorBidi"/>
          <w:sz w:val="20"/>
          <w:szCs w:val="20"/>
        </w:rPr>
      </w:pPr>
      <w:r w:rsidRPr="00105FFC">
        <w:rPr>
          <w:rFonts w:asciiTheme="minorHAnsi" w:hAnsiTheme="minorHAnsi"/>
          <w:noProof/>
        </w:rPr>
        <w:drawing>
          <wp:inline distT="0" distB="0" distL="0" distR="0" wp14:anchorId="3DB01CBC" wp14:editId="284B2181">
            <wp:extent cx="8001000" cy="742950"/>
            <wp:effectExtent l="0" t="0" r="0" b="0"/>
            <wp:docPr id="40" name="Picture 40" descr="cid:image002.png@01D1F14F.AC2D8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1F14F.AC2D85F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8001000" cy="742950"/>
                    </a:xfrm>
                    <a:prstGeom prst="rect">
                      <a:avLst/>
                    </a:prstGeom>
                    <a:noFill/>
                    <a:ln>
                      <a:noFill/>
                    </a:ln>
                  </pic:spPr>
                </pic:pic>
              </a:graphicData>
            </a:graphic>
          </wp:inline>
        </w:drawing>
      </w:r>
    </w:p>
    <w:p w14:paraId="08CDBB5A" w14:textId="77777777" w:rsidR="00407705" w:rsidRPr="00105FFC" w:rsidRDefault="00407705" w:rsidP="00407705">
      <w:pPr>
        <w:spacing w:line="276" w:lineRule="auto"/>
        <w:rPr>
          <w:rFonts w:asciiTheme="minorHAnsi" w:eastAsiaTheme="minorHAnsi" w:hAnsiTheme="minorHAnsi" w:cstheme="minorBidi"/>
          <w:sz w:val="22"/>
          <w:szCs w:val="22"/>
        </w:rPr>
      </w:pPr>
    </w:p>
    <w:p w14:paraId="57992C82" w14:textId="77777777" w:rsidR="00407705" w:rsidRPr="00105FFC" w:rsidRDefault="00407705" w:rsidP="00407705">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For Denti-Cal FFS in SFY 2014-15, California paid an average of 105.8, 94.2, 76.9, and 64.8 percent of Illinois, Florida, New York, and Texas’ Medicaid Program’s dental fee schedule, respectively. </w:t>
      </w:r>
    </w:p>
    <w:p w14:paraId="2A4D55A3" w14:textId="77777777" w:rsidR="00407705" w:rsidRPr="00105FFC" w:rsidRDefault="00407705" w:rsidP="00407705">
      <w:pPr>
        <w:spacing w:line="276" w:lineRule="auto"/>
        <w:rPr>
          <w:rFonts w:asciiTheme="minorHAnsi" w:eastAsiaTheme="minorHAnsi" w:hAnsiTheme="minorHAnsi" w:cstheme="minorBidi"/>
          <w:sz w:val="22"/>
          <w:szCs w:val="22"/>
        </w:rPr>
      </w:pPr>
    </w:p>
    <w:p w14:paraId="73DB22F5" w14:textId="77777777" w:rsidR="00407705" w:rsidRPr="00105FFC" w:rsidRDefault="00407705" w:rsidP="00407705">
      <w:pPr>
        <w:pStyle w:val="Caption"/>
        <w:spacing w:after="0"/>
        <w:rPr>
          <w:rFonts w:asciiTheme="minorHAnsi" w:hAnsiTheme="minorHAnsi"/>
          <w:b w:val="0"/>
          <w:color w:val="auto"/>
        </w:rPr>
      </w:pPr>
      <w:bookmarkStart w:id="540" w:name="_Toc458178116"/>
      <w:bookmarkStart w:id="541" w:name="_Toc458783155"/>
      <w:bookmarkStart w:id="542" w:name="_Toc459285201"/>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56</w:t>
      </w:r>
      <w:r w:rsidRPr="00105FFC">
        <w:rPr>
          <w:rFonts w:asciiTheme="minorHAnsi" w:hAnsiTheme="minorHAnsi"/>
          <w:color w:val="auto"/>
          <w:sz w:val="20"/>
          <w:szCs w:val="20"/>
        </w:rPr>
        <w:fldChar w:fldCharType="end"/>
      </w:r>
      <w:r w:rsidRPr="00105FFC">
        <w:rPr>
          <w:rFonts w:asciiTheme="minorHAnsi" w:eastAsiaTheme="minorHAnsi" w:hAnsiTheme="minorHAnsi" w:cstheme="minorBidi"/>
          <w:color w:val="auto"/>
          <w:sz w:val="20"/>
          <w:szCs w:val="20"/>
        </w:rPr>
        <w:t>:</w:t>
      </w:r>
      <w:r w:rsidRPr="00105FFC">
        <w:rPr>
          <w:rFonts w:asciiTheme="minorHAnsi" w:eastAsiaTheme="minorHAnsi" w:hAnsiTheme="minorHAnsi" w:cstheme="minorBidi"/>
          <w:b w:val="0"/>
          <w:color w:val="auto"/>
          <w:sz w:val="20"/>
          <w:szCs w:val="20"/>
        </w:rPr>
        <w:t xml:space="preserve"> Percentage of 25 Most Utilized Denti-Cal Procedures Reimbursement Rates in SFY 2014-2015 in Relation to Other Comparable Medicaid Programs</w:t>
      </w:r>
      <w:bookmarkEnd w:id="540"/>
      <w:bookmarkEnd w:id="541"/>
      <w:bookmarkEnd w:id="542"/>
    </w:p>
    <w:tbl>
      <w:tblPr>
        <w:tblStyle w:val="GridTable6Colorful-Accent11"/>
        <w:tblW w:w="5000" w:type="pct"/>
        <w:tblLook w:val="04A0" w:firstRow="1" w:lastRow="0" w:firstColumn="1" w:lastColumn="0" w:noHBand="0" w:noVBand="1"/>
      </w:tblPr>
      <w:tblGrid>
        <w:gridCol w:w="1458"/>
        <w:gridCol w:w="1489"/>
        <w:gridCol w:w="1528"/>
        <w:gridCol w:w="1075"/>
        <w:gridCol w:w="1505"/>
        <w:gridCol w:w="1057"/>
        <w:gridCol w:w="1505"/>
        <w:gridCol w:w="1059"/>
        <w:gridCol w:w="1441"/>
        <w:gridCol w:w="1059"/>
      </w:tblGrid>
      <w:tr w:rsidR="00407705" w:rsidRPr="00105FFC" w14:paraId="68820000" w14:textId="77777777" w:rsidTr="00407705">
        <w:trPr>
          <w:cnfStyle w:val="100000000000" w:firstRow="1" w:lastRow="0" w:firstColumn="0" w:lastColumn="0" w:oddVBand="0" w:evenVBand="0" w:oddHBand="0" w:evenHBand="0" w:firstRowFirstColumn="0" w:firstRowLastColumn="0" w:lastRowFirstColumn="0" w:lastRowLastColumn="0"/>
          <w:cantSplit/>
          <w:trHeight w:val="978"/>
          <w:tblHeader/>
        </w:trPr>
        <w:tc>
          <w:tcPr>
            <w:cnfStyle w:val="001000000000" w:firstRow="0" w:lastRow="0" w:firstColumn="1" w:lastColumn="0" w:oddVBand="0" w:evenVBand="0" w:oddHBand="0" w:evenHBand="0" w:firstRowFirstColumn="0" w:firstRowLastColumn="0" w:lastRowFirstColumn="0" w:lastRowLastColumn="0"/>
            <w:tcW w:w="553" w:type="pct"/>
            <w:vAlign w:val="center"/>
            <w:hideMark/>
          </w:tcPr>
          <w:p w14:paraId="38D8FB8D" w14:textId="77777777" w:rsidR="00407705" w:rsidRPr="00105FFC" w:rsidRDefault="00407705" w:rsidP="00407705">
            <w:pPr>
              <w:jc w:val="center"/>
              <w:rPr>
                <w:rFonts w:asciiTheme="minorHAnsi" w:hAnsiTheme="minorHAnsi" w:cs="Arial"/>
                <w:bCs w:val="0"/>
                <w:color w:val="000000"/>
                <w:sz w:val="20"/>
                <w:szCs w:val="20"/>
              </w:rPr>
            </w:pPr>
            <w:r w:rsidRPr="00105FFC">
              <w:rPr>
                <w:rFonts w:asciiTheme="minorHAnsi" w:hAnsiTheme="minorHAnsi" w:cs="Arial"/>
                <w:bCs w:val="0"/>
                <w:color w:val="000000"/>
                <w:sz w:val="20"/>
                <w:szCs w:val="20"/>
              </w:rPr>
              <w:t>Procedure Code</w:t>
            </w:r>
          </w:p>
        </w:tc>
        <w:tc>
          <w:tcPr>
            <w:tcW w:w="565" w:type="pct"/>
            <w:vAlign w:val="center"/>
            <w:hideMark/>
          </w:tcPr>
          <w:p w14:paraId="77373573"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20"/>
                <w:szCs w:val="20"/>
              </w:rPr>
            </w:pPr>
            <w:r w:rsidRPr="00105FFC">
              <w:rPr>
                <w:rFonts w:asciiTheme="minorHAnsi" w:hAnsiTheme="minorHAnsi" w:cs="Arial"/>
                <w:bCs w:val="0"/>
                <w:color w:val="000000"/>
                <w:sz w:val="20"/>
                <w:szCs w:val="20"/>
              </w:rPr>
              <w:t xml:space="preserve"> Denti-Cal SMA </w:t>
            </w:r>
          </w:p>
        </w:tc>
        <w:tc>
          <w:tcPr>
            <w:tcW w:w="988" w:type="pct"/>
            <w:gridSpan w:val="2"/>
            <w:vAlign w:val="center"/>
            <w:hideMark/>
          </w:tcPr>
          <w:p w14:paraId="1C0A65D4"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20"/>
                <w:szCs w:val="20"/>
              </w:rPr>
            </w:pPr>
            <w:r w:rsidRPr="00105FFC">
              <w:rPr>
                <w:rFonts w:asciiTheme="minorHAnsi" w:hAnsiTheme="minorHAnsi" w:cs="Arial"/>
                <w:bCs w:val="0"/>
                <w:color w:val="000000"/>
                <w:sz w:val="20"/>
                <w:szCs w:val="20"/>
              </w:rPr>
              <w:t xml:space="preserve"> New York Reimbursement Rates and % Denti-Cal Pays </w:t>
            </w:r>
          </w:p>
        </w:tc>
        <w:tc>
          <w:tcPr>
            <w:tcW w:w="972" w:type="pct"/>
            <w:gridSpan w:val="2"/>
            <w:vAlign w:val="center"/>
            <w:hideMark/>
          </w:tcPr>
          <w:p w14:paraId="55F142F7"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20"/>
                <w:szCs w:val="20"/>
              </w:rPr>
            </w:pPr>
            <w:r w:rsidRPr="00105FFC">
              <w:rPr>
                <w:rFonts w:asciiTheme="minorHAnsi" w:hAnsiTheme="minorHAnsi" w:cs="Arial"/>
                <w:bCs w:val="0"/>
                <w:color w:val="000000"/>
                <w:sz w:val="20"/>
                <w:szCs w:val="20"/>
              </w:rPr>
              <w:t xml:space="preserve"> Illinois Reimbursement Rates and % Denti-Cal Pays </w:t>
            </w:r>
          </w:p>
        </w:tc>
        <w:tc>
          <w:tcPr>
            <w:tcW w:w="973" w:type="pct"/>
            <w:gridSpan w:val="2"/>
            <w:vAlign w:val="center"/>
            <w:hideMark/>
          </w:tcPr>
          <w:p w14:paraId="23A2EC7A"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20"/>
                <w:szCs w:val="20"/>
              </w:rPr>
            </w:pPr>
            <w:r w:rsidRPr="00105FFC">
              <w:rPr>
                <w:rFonts w:asciiTheme="minorHAnsi" w:hAnsiTheme="minorHAnsi" w:cs="Arial"/>
                <w:bCs w:val="0"/>
                <w:color w:val="000000"/>
                <w:sz w:val="20"/>
                <w:szCs w:val="20"/>
              </w:rPr>
              <w:t xml:space="preserve"> Florida Reimbursement Rates and % Denti-Cal Pays </w:t>
            </w:r>
          </w:p>
        </w:tc>
        <w:tc>
          <w:tcPr>
            <w:tcW w:w="949" w:type="pct"/>
            <w:gridSpan w:val="2"/>
            <w:vAlign w:val="center"/>
            <w:hideMark/>
          </w:tcPr>
          <w:p w14:paraId="3C56C9A1" w14:textId="77777777" w:rsidR="00407705" w:rsidRPr="00105FFC" w:rsidRDefault="00407705" w:rsidP="004077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20"/>
                <w:szCs w:val="20"/>
              </w:rPr>
            </w:pPr>
            <w:r w:rsidRPr="00105FFC">
              <w:rPr>
                <w:rFonts w:asciiTheme="minorHAnsi" w:hAnsiTheme="minorHAnsi" w:cs="Arial"/>
                <w:bCs w:val="0"/>
                <w:color w:val="000000"/>
                <w:sz w:val="20"/>
                <w:szCs w:val="20"/>
              </w:rPr>
              <w:t xml:space="preserve"> Texas Reimbursement Rates and % Denti-Cal Pays </w:t>
            </w:r>
          </w:p>
        </w:tc>
      </w:tr>
      <w:tr w:rsidR="00407705" w:rsidRPr="00105FFC" w14:paraId="337BECA0"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5E46EA06"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D0120</w:t>
            </w:r>
          </w:p>
        </w:tc>
        <w:tc>
          <w:tcPr>
            <w:tcW w:w="565" w:type="pct"/>
            <w:noWrap/>
            <w:vAlign w:val="center"/>
            <w:hideMark/>
          </w:tcPr>
          <w:p w14:paraId="618CC2D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$15.00</w:t>
            </w:r>
          </w:p>
        </w:tc>
        <w:tc>
          <w:tcPr>
            <w:tcW w:w="580" w:type="pct"/>
            <w:noWrap/>
            <w:vAlign w:val="center"/>
            <w:hideMark/>
          </w:tcPr>
          <w:p w14:paraId="701BAA1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$25.00</w:t>
            </w:r>
          </w:p>
        </w:tc>
        <w:tc>
          <w:tcPr>
            <w:tcW w:w="408" w:type="pct"/>
            <w:noWrap/>
            <w:vAlign w:val="center"/>
            <w:hideMark/>
          </w:tcPr>
          <w:p w14:paraId="7058209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60.0%</w:t>
            </w:r>
          </w:p>
        </w:tc>
        <w:tc>
          <w:tcPr>
            <w:tcW w:w="571" w:type="pct"/>
            <w:noWrap/>
            <w:vAlign w:val="center"/>
            <w:hideMark/>
          </w:tcPr>
          <w:p w14:paraId="7FE75FE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$28.00</w:t>
            </w:r>
          </w:p>
        </w:tc>
        <w:tc>
          <w:tcPr>
            <w:tcW w:w="401" w:type="pct"/>
            <w:noWrap/>
            <w:vAlign w:val="center"/>
            <w:hideMark/>
          </w:tcPr>
          <w:p w14:paraId="6A57F8E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53.6%</w:t>
            </w:r>
          </w:p>
        </w:tc>
        <w:tc>
          <w:tcPr>
            <w:tcW w:w="571" w:type="pct"/>
            <w:noWrap/>
            <w:vAlign w:val="center"/>
            <w:hideMark/>
          </w:tcPr>
          <w:p w14:paraId="4BF4FF8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$22.29</w:t>
            </w:r>
          </w:p>
        </w:tc>
        <w:tc>
          <w:tcPr>
            <w:tcW w:w="402" w:type="pct"/>
            <w:noWrap/>
            <w:vAlign w:val="center"/>
            <w:hideMark/>
          </w:tcPr>
          <w:p w14:paraId="10FC963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67.3%</w:t>
            </w:r>
          </w:p>
        </w:tc>
        <w:tc>
          <w:tcPr>
            <w:tcW w:w="547" w:type="pct"/>
            <w:noWrap/>
            <w:vAlign w:val="center"/>
            <w:hideMark/>
          </w:tcPr>
          <w:p w14:paraId="451ACB1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$28.85</w:t>
            </w:r>
          </w:p>
        </w:tc>
        <w:tc>
          <w:tcPr>
            <w:tcW w:w="402" w:type="pct"/>
            <w:noWrap/>
            <w:vAlign w:val="center"/>
            <w:hideMark/>
          </w:tcPr>
          <w:p w14:paraId="2FED08E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52.0%</w:t>
            </w:r>
          </w:p>
        </w:tc>
      </w:tr>
      <w:tr w:rsidR="00407705" w:rsidRPr="00105FFC" w14:paraId="2C6D234B"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34317404"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D0150</w:t>
            </w:r>
          </w:p>
        </w:tc>
        <w:tc>
          <w:tcPr>
            <w:tcW w:w="565" w:type="pct"/>
            <w:noWrap/>
            <w:vAlign w:val="center"/>
            <w:hideMark/>
          </w:tcPr>
          <w:p w14:paraId="683C98A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$25.00</w:t>
            </w:r>
          </w:p>
        </w:tc>
        <w:tc>
          <w:tcPr>
            <w:tcW w:w="580" w:type="pct"/>
            <w:noWrap/>
            <w:vAlign w:val="center"/>
            <w:hideMark/>
          </w:tcPr>
          <w:p w14:paraId="77B8A79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$30.00</w:t>
            </w:r>
          </w:p>
        </w:tc>
        <w:tc>
          <w:tcPr>
            <w:tcW w:w="408" w:type="pct"/>
            <w:noWrap/>
            <w:vAlign w:val="center"/>
            <w:hideMark/>
          </w:tcPr>
          <w:p w14:paraId="020227C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83.3%</w:t>
            </w:r>
          </w:p>
        </w:tc>
        <w:tc>
          <w:tcPr>
            <w:tcW w:w="571" w:type="pct"/>
            <w:noWrap/>
            <w:vAlign w:val="center"/>
            <w:hideMark/>
          </w:tcPr>
          <w:p w14:paraId="27BD6BC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$21.05</w:t>
            </w:r>
          </w:p>
        </w:tc>
        <w:tc>
          <w:tcPr>
            <w:tcW w:w="401" w:type="pct"/>
            <w:noWrap/>
            <w:vAlign w:val="center"/>
            <w:hideMark/>
          </w:tcPr>
          <w:p w14:paraId="28DD047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118.8%</w:t>
            </w:r>
          </w:p>
        </w:tc>
        <w:tc>
          <w:tcPr>
            <w:tcW w:w="571" w:type="pct"/>
            <w:noWrap/>
            <w:vAlign w:val="center"/>
            <w:hideMark/>
          </w:tcPr>
          <w:p w14:paraId="42004EA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$23.78</w:t>
            </w:r>
          </w:p>
        </w:tc>
        <w:tc>
          <w:tcPr>
            <w:tcW w:w="402" w:type="pct"/>
            <w:noWrap/>
            <w:vAlign w:val="center"/>
            <w:hideMark/>
          </w:tcPr>
          <w:p w14:paraId="20D609D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105.1%</w:t>
            </w:r>
          </w:p>
        </w:tc>
        <w:tc>
          <w:tcPr>
            <w:tcW w:w="547" w:type="pct"/>
            <w:noWrap/>
            <w:vAlign w:val="center"/>
            <w:hideMark/>
          </w:tcPr>
          <w:p w14:paraId="4E44B7F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$35.32</w:t>
            </w:r>
          </w:p>
        </w:tc>
        <w:tc>
          <w:tcPr>
            <w:tcW w:w="402" w:type="pct"/>
            <w:noWrap/>
            <w:vAlign w:val="center"/>
            <w:hideMark/>
          </w:tcPr>
          <w:p w14:paraId="3D52CC1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70.8%</w:t>
            </w:r>
          </w:p>
        </w:tc>
      </w:tr>
      <w:tr w:rsidR="00407705" w:rsidRPr="00105FFC" w14:paraId="5568F04C"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71EFB4E8"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D0210</w:t>
            </w:r>
          </w:p>
        </w:tc>
        <w:tc>
          <w:tcPr>
            <w:tcW w:w="565" w:type="pct"/>
            <w:noWrap/>
            <w:vAlign w:val="center"/>
            <w:hideMark/>
          </w:tcPr>
          <w:p w14:paraId="13FC1F1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$40.00</w:t>
            </w:r>
          </w:p>
        </w:tc>
        <w:tc>
          <w:tcPr>
            <w:tcW w:w="580" w:type="pct"/>
            <w:noWrap/>
            <w:vAlign w:val="center"/>
            <w:hideMark/>
          </w:tcPr>
          <w:p w14:paraId="4A429F0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$50.00</w:t>
            </w:r>
          </w:p>
        </w:tc>
        <w:tc>
          <w:tcPr>
            <w:tcW w:w="408" w:type="pct"/>
            <w:noWrap/>
            <w:vAlign w:val="center"/>
            <w:hideMark/>
          </w:tcPr>
          <w:p w14:paraId="78DBEDA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80.0%</w:t>
            </w:r>
          </w:p>
        </w:tc>
        <w:tc>
          <w:tcPr>
            <w:tcW w:w="571" w:type="pct"/>
            <w:noWrap/>
            <w:vAlign w:val="center"/>
            <w:hideMark/>
          </w:tcPr>
          <w:p w14:paraId="2838907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$30.10</w:t>
            </w:r>
          </w:p>
        </w:tc>
        <w:tc>
          <w:tcPr>
            <w:tcW w:w="401" w:type="pct"/>
            <w:noWrap/>
            <w:vAlign w:val="center"/>
            <w:hideMark/>
          </w:tcPr>
          <w:p w14:paraId="1D0AB74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132.9%</w:t>
            </w:r>
          </w:p>
        </w:tc>
        <w:tc>
          <w:tcPr>
            <w:tcW w:w="571" w:type="pct"/>
            <w:noWrap/>
            <w:vAlign w:val="center"/>
            <w:hideMark/>
          </w:tcPr>
          <w:p w14:paraId="3F26631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$47.56</w:t>
            </w:r>
          </w:p>
        </w:tc>
        <w:tc>
          <w:tcPr>
            <w:tcW w:w="402" w:type="pct"/>
            <w:noWrap/>
            <w:vAlign w:val="center"/>
            <w:hideMark/>
          </w:tcPr>
          <w:p w14:paraId="3EB4D8C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84.1%</w:t>
            </w:r>
          </w:p>
        </w:tc>
        <w:tc>
          <w:tcPr>
            <w:tcW w:w="547" w:type="pct"/>
            <w:noWrap/>
            <w:vAlign w:val="center"/>
            <w:hideMark/>
          </w:tcPr>
          <w:p w14:paraId="3AEC24B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$70.64</w:t>
            </w:r>
          </w:p>
        </w:tc>
        <w:tc>
          <w:tcPr>
            <w:tcW w:w="402" w:type="pct"/>
            <w:noWrap/>
            <w:vAlign w:val="center"/>
            <w:hideMark/>
          </w:tcPr>
          <w:p w14:paraId="1048D6E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56.6%</w:t>
            </w:r>
          </w:p>
        </w:tc>
      </w:tr>
      <w:tr w:rsidR="00407705" w:rsidRPr="00105FFC" w14:paraId="30905615"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35D77D09"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D0220</w:t>
            </w:r>
          </w:p>
        </w:tc>
        <w:tc>
          <w:tcPr>
            <w:tcW w:w="565" w:type="pct"/>
            <w:noWrap/>
            <w:vAlign w:val="center"/>
            <w:hideMark/>
          </w:tcPr>
          <w:p w14:paraId="26E48B8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$10.00</w:t>
            </w:r>
          </w:p>
        </w:tc>
        <w:tc>
          <w:tcPr>
            <w:tcW w:w="580" w:type="pct"/>
            <w:noWrap/>
            <w:vAlign w:val="center"/>
            <w:hideMark/>
          </w:tcPr>
          <w:p w14:paraId="28CA6C6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$8.00</w:t>
            </w:r>
          </w:p>
        </w:tc>
        <w:tc>
          <w:tcPr>
            <w:tcW w:w="408" w:type="pct"/>
            <w:noWrap/>
            <w:vAlign w:val="center"/>
            <w:hideMark/>
          </w:tcPr>
          <w:p w14:paraId="78AE610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125.0%</w:t>
            </w:r>
          </w:p>
        </w:tc>
        <w:tc>
          <w:tcPr>
            <w:tcW w:w="571" w:type="pct"/>
            <w:noWrap/>
            <w:vAlign w:val="center"/>
            <w:hideMark/>
          </w:tcPr>
          <w:p w14:paraId="54CCEB5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$5.60</w:t>
            </w:r>
          </w:p>
        </w:tc>
        <w:tc>
          <w:tcPr>
            <w:tcW w:w="401" w:type="pct"/>
            <w:noWrap/>
            <w:vAlign w:val="center"/>
            <w:hideMark/>
          </w:tcPr>
          <w:p w14:paraId="546D191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178.6%</w:t>
            </w:r>
          </w:p>
        </w:tc>
        <w:tc>
          <w:tcPr>
            <w:tcW w:w="571" w:type="pct"/>
            <w:noWrap/>
            <w:vAlign w:val="center"/>
            <w:hideMark/>
          </w:tcPr>
          <w:p w14:paraId="7868287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$5.95</w:t>
            </w:r>
          </w:p>
        </w:tc>
        <w:tc>
          <w:tcPr>
            <w:tcW w:w="402" w:type="pct"/>
            <w:noWrap/>
            <w:vAlign w:val="center"/>
            <w:hideMark/>
          </w:tcPr>
          <w:p w14:paraId="4EE58EB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168.1%</w:t>
            </w:r>
          </w:p>
        </w:tc>
        <w:tc>
          <w:tcPr>
            <w:tcW w:w="547" w:type="pct"/>
            <w:noWrap/>
            <w:vAlign w:val="center"/>
            <w:hideMark/>
          </w:tcPr>
          <w:p w14:paraId="57A1A7F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$12.56</w:t>
            </w:r>
          </w:p>
        </w:tc>
        <w:tc>
          <w:tcPr>
            <w:tcW w:w="402" w:type="pct"/>
            <w:noWrap/>
            <w:vAlign w:val="center"/>
            <w:hideMark/>
          </w:tcPr>
          <w:p w14:paraId="6FB5E7F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79.6%</w:t>
            </w:r>
          </w:p>
        </w:tc>
      </w:tr>
      <w:tr w:rsidR="00407705" w:rsidRPr="00105FFC" w14:paraId="42421148"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2C432066"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D0230</w:t>
            </w:r>
          </w:p>
        </w:tc>
        <w:tc>
          <w:tcPr>
            <w:tcW w:w="565" w:type="pct"/>
            <w:noWrap/>
            <w:vAlign w:val="center"/>
            <w:hideMark/>
          </w:tcPr>
          <w:p w14:paraId="263EA87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$3.00</w:t>
            </w:r>
          </w:p>
        </w:tc>
        <w:tc>
          <w:tcPr>
            <w:tcW w:w="580" w:type="pct"/>
            <w:noWrap/>
            <w:vAlign w:val="center"/>
            <w:hideMark/>
          </w:tcPr>
          <w:p w14:paraId="4CD0EA8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$5.00</w:t>
            </w:r>
          </w:p>
        </w:tc>
        <w:tc>
          <w:tcPr>
            <w:tcW w:w="408" w:type="pct"/>
            <w:noWrap/>
            <w:vAlign w:val="center"/>
            <w:hideMark/>
          </w:tcPr>
          <w:p w14:paraId="05C1A04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60.0%</w:t>
            </w:r>
          </w:p>
        </w:tc>
        <w:tc>
          <w:tcPr>
            <w:tcW w:w="571" w:type="pct"/>
            <w:noWrap/>
            <w:vAlign w:val="center"/>
            <w:hideMark/>
          </w:tcPr>
          <w:p w14:paraId="702E5A7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$3.80</w:t>
            </w:r>
          </w:p>
        </w:tc>
        <w:tc>
          <w:tcPr>
            <w:tcW w:w="401" w:type="pct"/>
            <w:noWrap/>
            <w:vAlign w:val="center"/>
            <w:hideMark/>
          </w:tcPr>
          <w:p w14:paraId="3D52956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78.9%</w:t>
            </w:r>
          </w:p>
        </w:tc>
        <w:tc>
          <w:tcPr>
            <w:tcW w:w="571" w:type="pct"/>
            <w:noWrap/>
            <w:vAlign w:val="center"/>
            <w:hideMark/>
          </w:tcPr>
          <w:p w14:paraId="243A4D3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$4.46</w:t>
            </w:r>
          </w:p>
        </w:tc>
        <w:tc>
          <w:tcPr>
            <w:tcW w:w="402" w:type="pct"/>
            <w:noWrap/>
            <w:vAlign w:val="center"/>
            <w:hideMark/>
          </w:tcPr>
          <w:p w14:paraId="6BAFE9D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67.3%</w:t>
            </w:r>
          </w:p>
        </w:tc>
        <w:tc>
          <w:tcPr>
            <w:tcW w:w="547" w:type="pct"/>
            <w:noWrap/>
            <w:vAlign w:val="center"/>
            <w:hideMark/>
          </w:tcPr>
          <w:p w14:paraId="56AA371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$11.51</w:t>
            </w:r>
          </w:p>
        </w:tc>
        <w:tc>
          <w:tcPr>
            <w:tcW w:w="402" w:type="pct"/>
            <w:noWrap/>
            <w:vAlign w:val="center"/>
            <w:hideMark/>
          </w:tcPr>
          <w:p w14:paraId="5B11504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26.1%</w:t>
            </w:r>
          </w:p>
        </w:tc>
      </w:tr>
      <w:tr w:rsidR="00407705" w:rsidRPr="00105FFC" w14:paraId="32C76C0C"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7B9DCE4B"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D0272</w:t>
            </w:r>
          </w:p>
        </w:tc>
        <w:tc>
          <w:tcPr>
            <w:tcW w:w="565" w:type="pct"/>
            <w:noWrap/>
            <w:vAlign w:val="center"/>
            <w:hideMark/>
          </w:tcPr>
          <w:p w14:paraId="70001CF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$10.00</w:t>
            </w:r>
          </w:p>
        </w:tc>
        <w:tc>
          <w:tcPr>
            <w:tcW w:w="580" w:type="pct"/>
            <w:noWrap/>
            <w:vAlign w:val="center"/>
            <w:hideMark/>
          </w:tcPr>
          <w:p w14:paraId="4F64042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$14.00</w:t>
            </w:r>
          </w:p>
        </w:tc>
        <w:tc>
          <w:tcPr>
            <w:tcW w:w="408" w:type="pct"/>
            <w:noWrap/>
            <w:vAlign w:val="center"/>
            <w:hideMark/>
          </w:tcPr>
          <w:p w14:paraId="4B01011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71.4%</w:t>
            </w:r>
          </w:p>
        </w:tc>
        <w:tc>
          <w:tcPr>
            <w:tcW w:w="571" w:type="pct"/>
            <w:noWrap/>
            <w:vAlign w:val="center"/>
            <w:hideMark/>
          </w:tcPr>
          <w:p w14:paraId="0093F24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$9.40</w:t>
            </w:r>
          </w:p>
        </w:tc>
        <w:tc>
          <w:tcPr>
            <w:tcW w:w="401" w:type="pct"/>
            <w:noWrap/>
            <w:vAlign w:val="center"/>
            <w:hideMark/>
          </w:tcPr>
          <w:p w14:paraId="46C156B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106.4%</w:t>
            </w:r>
          </w:p>
        </w:tc>
        <w:tc>
          <w:tcPr>
            <w:tcW w:w="571" w:type="pct"/>
            <w:noWrap/>
            <w:vAlign w:val="center"/>
            <w:hideMark/>
          </w:tcPr>
          <w:p w14:paraId="02299A8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$13.38</w:t>
            </w:r>
          </w:p>
        </w:tc>
        <w:tc>
          <w:tcPr>
            <w:tcW w:w="402" w:type="pct"/>
            <w:noWrap/>
            <w:vAlign w:val="center"/>
            <w:hideMark/>
          </w:tcPr>
          <w:p w14:paraId="111A1AB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74.7%</w:t>
            </w:r>
          </w:p>
        </w:tc>
        <w:tc>
          <w:tcPr>
            <w:tcW w:w="547" w:type="pct"/>
            <w:noWrap/>
            <w:vAlign w:val="center"/>
            <w:hideMark/>
          </w:tcPr>
          <w:p w14:paraId="31809B8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$23.38</w:t>
            </w:r>
          </w:p>
        </w:tc>
        <w:tc>
          <w:tcPr>
            <w:tcW w:w="402" w:type="pct"/>
            <w:noWrap/>
            <w:vAlign w:val="center"/>
            <w:hideMark/>
          </w:tcPr>
          <w:p w14:paraId="2DDA825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42.8%</w:t>
            </w:r>
          </w:p>
        </w:tc>
      </w:tr>
      <w:tr w:rsidR="00407705" w:rsidRPr="00105FFC" w14:paraId="612D238C"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2788C86D"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D0274</w:t>
            </w:r>
          </w:p>
        </w:tc>
        <w:tc>
          <w:tcPr>
            <w:tcW w:w="565" w:type="pct"/>
            <w:noWrap/>
            <w:vAlign w:val="center"/>
            <w:hideMark/>
          </w:tcPr>
          <w:p w14:paraId="457DBCB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$18.00</w:t>
            </w:r>
          </w:p>
        </w:tc>
        <w:tc>
          <w:tcPr>
            <w:tcW w:w="580" w:type="pct"/>
            <w:noWrap/>
            <w:vAlign w:val="center"/>
            <w:hideMark/>
          </w:tcPr>
          <w:p w14:paraId="03BC838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$24.00</w:t>
            </w:r>
          </w:p>
        </w:tc>
        <w:tc>
          <w:tcPr>
            <w:tcW w:w="408" w:type="pct"/>
            <w:noWrap/>
            <w:vAlign w:val="center"/>
            <w:hideMark/>
          </w:tcPr>
          <w:p w14:paraId="720EB8D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75.0%</w:t>
            </w:r>
          </w:p>
        </w:tc>
        <w:tc>
          <w:tcPr>
            <w:tcW w:w="571" w:type="pct"/>
            <w:noWrap/>
            <w:vAlign w:val="center"/>
            <w:hideMark/>
          </w:tcPr>
          <w:p w14:paraId="39D6186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$16.90</w:t>
            </w:r>
          </w:p>
        </w:tc>
        <w:tc>
          <w:tcPr>
            <w:tcW w:w="401" w:type="pct"/>
            <w:noWrap/>
            <w:vAlign w:val="center"/>
            <w:hideMark/>
          </w:tcPr>
          <w:p w14:paraId="6572EA7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106.5%</w:t>
            </w:r>
          </w:p>
        </w:tc>
        <w:tc>
          <w:tcPr>
            <w:tcW w:w="571" w:type="pct"/>
            <w:noWrap/>
            <w:vAlign w:val="center"/>
            <w:hideMark/>
          </w:tcPr>
          <w:p w14:paraId="049A39F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$16.35</w:t>
            </w:r>
          </w:p>
        </w:tc>
        <w:tc>
          <w:tcPr>
            <w:tcW w:w="402" w:type="pct"/>
            <w:noWrap/>
            <w:vAlign w:val="center"/>
            <w:hideMark/>
          </w:tcPr>
          <w:p w14:paraId="2BAE84E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110.1%</w:t>
            </w:r>
          </w:p>
        </w:tc>
        <w:tc>
          <w:tcPr>
            <w:tcW w:w="547" w:type="pct"/>
            <w:noWrap/>
            <w:vAlign w:val="center"/>
            <w:hideMark/>
          </w:tcPr>
          <w:p w14:paraId="612E943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$34.61</w:t>
            </w:r>
          </w:p>
        </w:tc>
        <w:tc>
          <w:tcPr>
            <w:tcW w:w="402" w:type="pct"/>
            <w:noWrap/>
            <w:vAlign w:val="center"/>
            <w:hideMark/>
          </w:tcPr>
          <w:p w14:paraId="52FA236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52.0%</w:t>
            </w:r>
          </w:p>
        </w:tc>
      </w:tr>
      <w:tr w:rsidR="00407705" w:rsidRPr="00105FFC" w14:paraId="5F8085BD"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1BB998BD"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D0350</w:t>
            </w:r>
          </w:p>
        </w:tc>
        <w:tc>
          <w:tcPr>
            <w:tcW w:w="565" w:type="pct"/>
            <w:noWrap/>
            <w:vAlign w:val="center"/>
            <w:hideMark/>
          </w:tcPr>
          <w:p w14:paraId="3A254D3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$6.00</w:t>
            </w:r>
          </w:p>
        </w:tc>
        <w:tc>
          <w:tcPr>
            <w:tcW w:w="580" w:type="pct"/>
            <w:noWrap/>
            <w:vAlign w:val="center"/>
            <w:hideMark/>
          </w:tcPr>
          <w:p w14:paraId="440F5C6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$12.00</w:t>
            </w:r>
          </w:p>
        </w:tc>
        <w:tc>
          <w:tcPr>
            <w:tcW w:w="408" w:type="pct"/>
            <w:noWrap/>
            <w:vAlign w:val="center"/>
            <w:hideMark/>
          </w:tcPr>
          <w:p w14:paraId="1C58516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50.0%</w:t>
            </w:r>
          </w:p>
        </w:tc>
        <w:tc>
          <w:tcPr>
            <w:tcW w:w="571" w:type="pct"/>
            <w:noWrap/>
            <w:vAlign w:val="center"/>
            <w:hideMark/>
          </w:tcPr>
          <w:p w14:paraId="0336C30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401" w:type="pct"/>
            <w:noWrap/>
            <w:vAlign w:val="center"/>
            <w:hideMark/>
          </w:tcPr>
          <w:p w14:paraId="66E5377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571" w:type="pct"/>
            <w:noWrap/>
            <w:vAlign w:val="center"/>
            <w:hideMark/>
          </w:tcPr>
          <w:p w14:paraId="028CB79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$10.40</w:t>
            </w:r>
          </w:p>
        </w:tc>
        <w:tc>
          <w:tcPr>
            <w:tcW w:w="402" w:type="pct"/>
            <w:noWrap/>
            <w:vAlign w:val="center"/>
            <w:hideMark/>
          </w:tcPr>
          <w:p w14:paraId="6B6C7FB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57.7%</w:t>
            </w:r>
          </w:p>
        </w:tc>
        <w:tc>
          <w:tcPr>
            <w:tcW w:w="547" w:type="pct"/>
            <w:noWrap/>
            <w:vAlign w:val="center"/>
            <w:hideMark/>
          </w:tcPr>
          <w:p w14:paraId="3C6C511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$18.38</w:t>
            </w:r>
          </w:p>
        </w:tc>
        <w:tc>
          <w:tcPr>
            <w:tcW w:w="402" w:type="pct"/>
            <w:noWrap/>
            <w:vAlign w:val="center"/>
            <w:hideMark/>
          </w:tcPr>
          <w:p w14:paraId="2270E15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32.6%</w:t>
            </w:r>
          </w:p>
        </w:tc>
      </w:tr>
      <w:tr w:rsidR="00407705" w:rsidRPr="00105FFC" w14:paraId="2340CED3"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60978F08"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D1110</w:t>
            </w:r>
          </w:p>
        </w:tc>
        <w:tc>
          <w:tcPr>
            <w:tcW w:w="565" w:type="pct"/>
            <w:noWrap/>
            <w:vAlign w:val="center"/>
            <w:hideMark/>
          </w:tcPr>
          <w:p w14:paraId="31570AE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$40.00</w:t>
            </w:r>
          </w:p>
        </w:tc>
        <w:tc>
          <w:tcPr>
            <w:tcW w:w="580" w:type="pct"/>
            <w:noWrap/>
            <w:vAlign w:val="center"/>
            <w:hideMark/>
          </w:tcPr>
          <w:p w14:paraId="734A60C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$45.00</w:t>
            </w:r>
          </w:p>
        </w:tc>
        <w:tc>
          <w:tcPr>
            <w:tcW w:w="408" w:type="pct"/>
            <w:noWrap/>
            <w:vAlign w:val="center"/>
            <w:hideMark/>
          </w:tcPr>
          <w:p w14:paraId="076FFE8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88.9%</w:t>
            </w:r>
          </w:p>
        </w:tc>
        <w:tc>
          <w:tcPr>
            <w:tcW w:w="571" w:type="pct"/>
            <w:noWrap/>
            <w:vAlign w:val="center"/>
            <w:hideMark/>
          </w:tcPr>
          <w:p w14:paraId="6E8520B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401" w:type="pct"/>
            <w:noWrap/>
            <w:vAlign w:val="center"/>
            <w:hideMark/>
          </w:tcPr>
          <w:p w14:paraId="04440C5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571" w:type="pct"/>
            <w:noWrap/>
            <w:vAlign w:val="center"/>
            <w:hideMark/>
          </w:tcPr>
          <w:p w14:paraId="419AC1D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$26.75</w:t>
            </w:r>
          </w:p>
        </w:tc>
        <w:tc>
          <w:tcPr>
            <w:tcW w:w="402" w:type="pct"/>
            <w:noWrap/>
            <w:vAlign w:val="center"/>
            <w:hideMark/>
          </w:tcPr>
          <w:p w14:paraId="690A690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149.5%</w:t>
            </w:r>
          </w:p>
        </w:tc>
        <w:tc>
          <w:tcPr>
            <w:tcW w:w="547" w:type="pct"/>
            <w:noWrap/>
            <w:vAlign w:val="center"/>
            <w:hideMark/>
          </w:tcPr>
          <w:p w14:paraId="4F6D412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$54.88</w:t>
            </w:r>
          </w:p>
        </w:tc>
        <w:tc>
          <w:tcPr>
            <w:tcW w:w="402" w:type="pct"/>
            <w:noWrap/>
            <w:vAlign w:val="center"/>
            <w:hideMark/>
          </w:tcPr>
          <w:p w14:paraId="2D68A9A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72.9%</w:t>
            </w:r>
          </w:p>
        </w:tc>
      </w:tr>
      <w:tr w:rsidR="00407705" w:rsidRPr="00105FFC" w14:paraId="5C3FFEBD"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084B2AC1"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D1120*</w:t>
            </w:r>
          </w:p>
        </w:tc>
        <w:tc>
          <w:tcPr>
            <w:tcW w:w="565" w:type="pct"/>
            <w:noWrap/>
            <w:vAlign w:val="center"/>
            <w:hideMark/>
          </w:tcPr>
          <w:p w14:paraId="46B3E72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$30.00</w:t>
            </w:r>
          </w:p>
        </w:tc>
        <w:tc>
          <w:tcPr>
            <w:tcW w:w="580" w:type="pct"/>
            <w:noWrap/>
            <w:vAlign w:val="center"/>
            <w:hideMark/>
          </w:tcPr>
          <w:p w14:paraId="7EB6E5F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$43.00</w:t>
            </w:r>
          </w:p>
        </w:tc>
        <w:tc>
          <w:tcPr>
            <w:tcW w:w="408" w:type="pct"/>
            <w:noWrap/>
            <w:vAlign w:val="center"/>
            <w:hideMark/>
          </w:tcPr>
          <w:p w14:paraId="49A0C35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69.8%</w:t>
            </w:r>
          </w:p>
        </w:tc>
        <w:tc>
          <w:tcPr>
            <w:tcW w:w="571" w:type="pct"/>
            <w:noWrap/>
            <w:vAlign w:val="center"/>
            <w:hideMark/>
          </w:tcPr>
          <w:p w14:paraId="3772CAA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$33.20</w:t>
            </w:r>
          </w:p>
        </w:tc>
        <w:tc>
          <w:tcPr>
            <w:tcW w:w="401" w:type="pct"/>
            <w:noWrap/>
            <w:vAlign w:val="center"/>
            <w:hideMark/>
          </w:tcPr>
          <w:p w14:paraId="49D45D2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90.4%</w:t>
            </w:r>
          </w:p>
        </w:tc>
        <w:tc>
          <w:tcPr>
            <w:tcW w:w="571" w:type="pct"/>
            <w:noWrap/>
            <w:vAlign w:val="center"/>
            <w:hideMark/>
          </w:tcPr>
          <w:p w14:paraId="730672C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$20.81</w:t>
            </w:r>
          </w:p>
        </w:tc>
        <w:tc>
          <w:tcPr>
            <w:tcW w:w="402" w:type="pct"/>
            <w:noWrap/>
            <w:vAlign w:val="center"/>
            <w:hideMark/>
          </w:tcPr>
          <w:p w14:paraId="596D9B9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144.2%</w:t>
            </w:r>
          </w:p>
        </w:tc>
        <w:tc>
          <w:tcPr>
            <w:tcW w:w="547" w:type="pct"/>
            <w:noWrap/>
            <w:vAlign w:val="center"/>
            <w:hideMark/>
          </w:tcPr>
          <w:p w14:paraId="5CF81B7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$36.75</w:t>
            </w:r>
          </w:p>
        </w:tc>
        <w:tc>
          <w:tcPr>
            <w:tcW w:w="402" w:type="pct"/>
            <w:noWrap/>
            <w:vAlign w:val="center"/>
            <w:hideMark/>
          </w:tcPr>
          <w:p w14:paraId="3542BC5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81.6%</w:t>
            </w:r>
          </w:p>
        </w:tc>
      </w:tr>
      <w:tr w:rsidR="00407705" w:rsidRPr="00105FFC" w14:paraId="34010C9B"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1E1C8E26"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D1206*</w:t>
            </w:r>
          </w:p>
        </w:tc>
        <w:tc>
          <w:tcPr>
            <w:tcW w:w="565" w:type="pct"/>
            <w:noWrap/>
            <w:vAlign w:val="center"/>
            <w:hideMark/>
          </w:tcPr>
          <w:p w14:paraId="48861A7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$11.00</w:t>
            </w:r>
          </w:p>
        </w:tc>
        <w:tc>
          <w:tcPr>
            <w:tcW w:w="580" w:type="pct"/>
            <w:noWrap/>
            <w:vAlign w:val="center"/>
            <w:hideMark/>
          </w:tcPr>
          <w:p w14:paraId="5BB1950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$30.00</w:t>
            </w:r>
          </w:p>
        </w:tc>
        <w:tc>
          <w:tcPr>
            <w:tcW w:w="408" w:type="pct"/>
            <w:noWrap/>
            <w:vAlign w:val="center"/>
            <w:hideMark/>
          </w:tcPr>
          <w:p w14:paraId="46AF12E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36.7%</w:t>
            </w:r>
          </w:p>
        </w:tc>
        <w:tc>
          <w:tcPr>
            <w:tcW w:w="571" w:type="pct"/>
            <w:noWrap/>
            <w:vAlign w:val="center"/>
            <w:hideMark/>
          </w:tcPr>
          <w:p w14:paraId="4575B85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$20.43</w:t>
            </w:r>
          </w:p>
        </w:tc>
        <w:tc>
          <w:tcPr>
            <w:tcW w:w="401" w:type="pct"/>
            <w:noWrap/>
            <w:vAlign w:val="center"/>
            <w:hideMark/>
          </w:tcPr>
          <w:p w14:paraId="502E65F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53.8%</w:t>
            </w:r>
          </w:p>
        </w:tc>
        <w:tc>
          <w:tcPr>
            <w:tcW w:w="571" w:type="pct"/>
            <w:noWrap/>
            <w:vAlign w:val="center"/>
            <w:hideMark/>
          </w:tcPr>
          <w:p w14:paraId="1F0B2FB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$16.35</w:t>
            </w:r>
          </w:p>
        </w:tc>
        <w:tc>
          <w:tcPr>
            <w:tcW w:w="402" w:type="pct"/>
            <w:noWrap/>
            <w:vAlign w:val="center"/>
            <w:hideMark/>
          </w:tcPr>
          <w:p w14:paraId="0B33528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67.3%</w:t>
            </w:r>
          </w:p>
        </w:tc>
        <w:tc>
          <w:tcPr>
            <w:tcW w:w="547" w:type="pct"/>
            <w:noWrap/>
            <w:vAlign w:val="center"/>
            <w:hideMark/>
          </w:tcPr>
          <w:p w14:paraId="4AF2025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$14.70</w:t>
            </w:r>
          </w:p>
        </w:tc>
        <w:tc>
          <w:tcPr>
            <w:tcW w:w="402" w:type="pct"/>
            <w:noWrap/>
            <w:vAlign w:val="center"/>
            <w:hideMark/>
          </w:tcPr>
          <w:p w14:paraId="414FF89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74.8%</w:t>
            </w:r>
          </w:p>
        </w:tc>
      </w:tr>
      <w:tr w:rsidR="00407705" w:rsidRPr="00105FFC" w14:paraId="63A7BFB5"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274D55ED"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D1208*</w:t>
            </w:r>
          </w:p>
        </w:tc>
        <w:tc>
          <w:tcPr>
            <w:tcW w:w="565" w:type="pct"/>
            <w:noWrap/>
            <w:vAlign w:val="center"/>
            <w:hideMark/>
          </w:tcPr>
          <w:p w14:paraId="5CE620B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$10.67</w:t>
            </w:r>
          </w:p>
        </w:tc>
        <w:tc>
          <w:tcPr>
            <w:tcW w:w="580" w:type="pct"/>
            <w:noWrap/>
            <w:vAlign w:val="center"/>
            <w:hideMark/>
          </w:tcPr>
          <w:p w14:paraId="0382E2F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$14.00</w:t>
            </w:r>
          </w:p>
        </w:tc>
        <w:tc>
          <w:tcPr>
            <w:tcW w:w="408" w:type="pct"/>
            <w:noWrap/>
            <w:vAlign w:val="center"/>
            <w:hideMark/>
          </w:tcPr>
          <w:p w14:paraId="4F4A756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76.2%</w:t>
            </w:r>
          </w:p>
        </w:tc>
        <w:tc>
          <w:tcPr>
            <w:tcW w:w="571" w:type="pct"/>
            <w:noWrap/>
            <w:vAlign w:val="center"/>
            <w:hideMark/>
          </w:tcPr>
          <w:p w14:paraId="7685B49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$20.43</w:t>
            </w:r>
          </w:p>
        </w:tc>
        <w:tc>
          <w:tcPr>
            <w:tcW w:w="401" w:type="pct"/>
            <w:noWrap/>
            <w:vAlign w:val="center"/>
            <w:hideMark/>
          </w:tcPr>
          <w:p w14:paraId="026D36E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52.2%</w:t>
            </w:r>
          </w:p>
        </w:tc>
        <w:tc>
          <w:tcPr>
            <w:tcW w:w="571" w:type="pct"/>
            <w:noWrap/>
            <w:vAlign w:val="center"/>
            <w:hideMark/>
          </w:tcPr>
          <w:p w14:paraId="32E125E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$16.35</w:t>
            </w:r>
          </w:p>
        </w:tc>
        <w:tc>
          <w:tcPr>
            <w:tcW w:w="402" w:type="pct"/>
            <w:noWrap/>
            <w:vAlign w:val="center"/>
            <w:hideMark/>
          </w:tcPr>
          <w:p w14:paraId="0277AF7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65.3%</w:t>
            </w:r>
          </w:p>
        </w:tc>
        <w:tc>
          <w:tcPr>
            <w:tcW w:w="547" w:type="pct"/>
            <w:noWrap/>
            <w:vAlign w:val="center"/>
            <w:hideMark/>
          </w:tcPr>
          <w:p w14:paraId="4492461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402" w:type="pct"/>
            <w:noWrap/>
            <w:vAlign w:val="center"/>
            <w:hideMark/>
          </w:tcPr>
          <w:p w14:paraId="3A97912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r>
      <w:tr w:rsidR="00407705" w:rsidRPr="00105FFC" w14:paraId="1D27338C"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35727459"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D1351</w:t>
            </w:r>
          </w:p>
        </w:tc>
        <w:tc>
          <w:tcPr>
            <w:tcW w:w="565" w:type="pct"/>
            <w:noWrap/>
            <w:vAlign w:val="center"/>
            <w:hideMark/>
          </w:tcPr>
          <w:p w14:paraId="02E63BE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$22.00</w:t>
            </w:r>
          </w:p>
        </w:tc>
        <w:tc>
          <w:tcPr>
            <w:tcW w:w="580" w:type="pct"/>
            <w:noWrap/>
            <w:vAlign w:val="center"/>
            <w:hideMark/>
          </w:tcPr>
          <w:p w14:paraId="5594978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$35.00</w:t>
            </w:r>
          </w:p>
        </w:tc>
        <w:tc>
          <w:tcPr>
            <w:tcW w:w="408" w:type="pct"/>
            <w:noWrap/>
            <w:vAlign w:val="center"/>
            <w:hideMark/>
          </w:tcPr>
          <w:p w14:paraId="40871AD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62.9%</w:t>
            </w:r>
          </w:p>
        </w:tc>
        <w:tc>
          <w:tcPr>
            <w:tcW w:w="571" w:type="pct"/>
            <w:noWrap/>
            <w:vAlign w:val="center"/>
            <w:hideMark/>
          </w:tcPr>
          <w:p w14:paraId="1A1DD5C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$36.00</w:t>
            </w:r>
          </w:p>
        </w:tc>
        <w:tc>
          <w:tcPr>
            <w:tcW w:w="401" w:type="pct"/>
            <w:noWrap/>
            <w:vAlign w:val="center"/>
            <w:hideMark/>
          </w:tcPr>
          <w:p w14:paraId="059E9F5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61.1%</w:t>
            </w:r>
          </w:p>
        </w:tc>
        <w:tc>
          <w:tcPr>
            <w:tcW w:w="571" w:type="pct"/>
            <w:noWrap/>
            <w:vAlign w:val="center"/>
            <w:hideMark/>
          </w:tcPr>
          <w:p w14:paraId="3154807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$19.32</w:t>
            </w:r>
          </w:p>
        </w:tc>
        <w:tc>
          <w:tcPr>
            <w:tcW w:w="402" w:type="pct"/>
            <w:noWrap/>
            <w:vAlign w:val="center"/>
            <w:hideMark/>
          </w:tcPr>
          <w:p w14:paraId="11D1FCC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113.9%</w:t>
            </w:r>
          </w:p>
        </w:tc>
        <w:tc>
          <w:tcPr>
            <w:tcW w:w="547" w:type="pct"/>
            <w:noWrap/>
            <w:vAlign w:val="center"/>
            <w:hideMark/>
          </w:tcPr>
          <w:p w14:paraId="3FDA143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$28.24</w:t>
            </w:r>
          </w:p>
        </w:tc>
        <w:tc>
          <w:tcPr>
            <w:tcW w:w="402" w:type="pct"/>
            <w:noWrap/>
            <w:vAlign w:val="center"/>
            <w:hideMark/>
          </w:tcPr>
          <w:p w14:paraId="2C4639E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77.9%</w:t>
            </w:r>
          </w:p>
        </w:tc>
      </w:tr>
      <w:tr w:rsidR="00407705" w:rsidRPr="00105FFC" w14:paraId="0E225450"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03F14E4A"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D2140</w:t>
            </w:r>
          </w:p>
        </w:tc>
        <w:tc>
          <w:tcPr>
            <w:tcW w:w="565" w:type="pct"/>
            <w:noWrap/>
            <w:vAlign w:val="center"/>
            <w:hideMark/>
          </w:tcPr>
          <w:p w14:paraId="5B552AD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$39.00</w:t>
            </w:r>
          </w:p>
        </w:tc>
        <w:tc>
          <w:tcPr>
            <w:tcW w:w="580" w:type="pct"/>
            <w:noWrap/>
            <w:vAlign w:val="center"/>
            <w:hideMark/>
          </w:tcPr>
          <w:p w14:paraId="6D59A8F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$50.00</w:t>
            </w:r>
          </w:p>
        </w:tc>
        <w:tc>
          <w:tcPr>
            <w:tcW w:w="408" w:type="pct"/>
            <w:noWrap/>
            <w:vAlign w:val="center"/>
            <w:hideMark/>
          </w:tcPr>
          <w:p w14:paraId="23B4C9C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78.0%</w:t>
            </w:r>
          </w:p>
        </w:tc>
        <w:tc>
          <w:tcPr>
            <w:tcW w:w="571" w:type="pct"/>
            <w:noWrap/>
            <w:vAlign w:val="center"/>
            <w:hideMark/>
          </w:tcPr>
          <w:p w14:paraId="69AE99D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$30.85</w:t>
            </w:r>
          </w:p>
        </w:tc>
        <w:tc>
          <w:tcPr>
            <w:tcW w:w="401" w:type="pct"/>
            <w:noWrap/>
            <w:vAlign w:val="center"/>
            <w:hideMark/>
          </w:tcPr>
          <w:p w14:paraId="6A51655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126.4%</w:t>
            </w:r>
          </w:p>
        </w:tc>
        <w:tc>
          <w:tcPr>
            <w:tcW w:w="571" w:type="pct"/>
            <w:noWrap/>
            <w:vAlign w:val="center"/>
            <w:hideMark/>
          </w:tcPr>
          <w:p w14:paraId="4FA97AF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$46.08</w:t>
            </w:r>
          </w:p>
        </w:tc>
        <w:tc>
          <w:tcPr>
            <w:tcW w:w="402" w:type="pct"/>
            <w:noWrap/>
            <w:vAlign w:val="center"/>
            <w:hideMark/>
          </w:tcPr>
          <w:p w14:paraId="33DF570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84.6%</w:t>
            </w:r>
          </w:p>
        </w:tc>
        <w:tc>
          <w:tcPr>
            <w:tcW w:w="547" w:type="pct"/>
            <w:noWrap/>
            <w:vAlign w:val="center"/>
            <w:hideMark/>
          </w:tcPr>
          <w:p w14:paraId="1A1BA18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$64.41</w:t>
            </w:r>
          </w:p>
        </w:tc>
        <w:tc>
          <w:tcPr>
            <w:tcW w:w="402" w:type="pct"/>
            <w:noWrap/>
            <w:vAlign w:val="center"/>
            <w:hideMark/>
          </w:tcPr>
          <w:p w14:paraId="3111ACE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60.5%</w:t>
            </w:r>
          </w:p>
        </w:tc>
      </w:tr>
      <w:tr w:rsidR="00407705" w:rsidRPr="00105FFC" w14:paraId="1D219D86"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56093E5A"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D2150</w:t>
            </w:r>
          </w:p>
        </w:tc>
        <w:tc>
          <w:tcPr>
            <w:tcW w:w="565" w:type="pct"/>
            <w:noWrap/>
            <w:vAlign w:val="center"/>
            <w:hideMark/>
          </w:tcPr>
          <w:p w14:paraId="3BA9F2D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$48.00</w:t>
            </w:r>
          </w:p>
        </w:tc>
        <w:tc>
          <w:tcPr>
            <w:tcW w:w="580" w:type="pct"/>
            <w:noWrap/>
            <w:vAlign w:val="center"/>
            <w:hideMark/>
          </w:tcPr>
          <w:p w14:paraId="01D6DEE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$67.00</w:t>
            </w:r>
          </w:p>
        </w:tc>
        <w:tc>
          <w:tcPr>
            <w:tcW w:w="408" w:type="pct"/>
            <w:noWrap/>
            <w:vAlign w:val="center"/>
            <w:hideMark/>
          </w:tcPr>
          <w:p w14:paraId="2B321CD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71.6%</w:t>
            </w:r>
          </w:p>
        </w:tc>
        <w:tc>
          <w:tcPr>
            <w:tcW w:w="571" w:type="pct"/>
            <w:noWrap/>
            <w:vAlign w:val="center"/>
            <w:hideMark/>
          </w:tcPr>
          <w:p w14:paraId="3C89EEB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$48.15</w:t>
            </w:r>
          </w:p>
        </w:tc>
        <w:tc>
          <w:tcPr>
            <w:tcW w:w="401" w:type="pct"/>
            <w:noWrap/>
            <w:vAlign w:val="center"/>
            <w:hideMark/>
          </w:tcPr>
          <w:p w14:paraId="1297448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99.7%</w:t>
            </w:r>
          </w:p>
        </w:tc>
        <w:tc>
          <w:tcPr>
            <w:tcW w:w="571" w:type="pct"/>
            <w:noWrap/>
            <w:vAlign w:val="center"/>
            <w:hideMark/>
          </w:tcPr>
          <w:p w14:paraId="502C164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$60.94</w:t>
            </w:r>
          </w:p>
        </w:tc>
        <w:tc>
          <w:tcPr>
            <w:tcW w:w="402" w:type="pct"/>
            <w:noWrap/>
            <w:vAlign w:val="center"/>
            <w:hideMark/>
          </w:tcPr>
          <w:p w14:paraId="465E8C1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78.8%</w:t>
            </w:r>
          </w:p>
        </w:tc>
        <w:tc>
          <w:tcPr>
            <w:tcW w:w="547" w:type="pct"/>
            <w:noWrap/>
            <w:vAlign w:val="center"/>
            <w:hideMark/>
          </w:tcPr>
          <w:p w14:paraId="343104F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$85.71</w:t>
            </w:r>
          </w:p>
        </w:tc>
        <w:tc>
          <w:tcPr>
            <w:tcW w:w="402" w:type="pct"/>
            <w:noWrap/>
            <w:vAlign w:val="center"/>
            <w:hideMark/>
          </w:tcPr>
          <w:p w14:paraId="5798D49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56.0%</w:t>
            </w:r>
          </w:p>
        </w:tc>
      </w:tr>
      <w:tr w:rsidR="00407705" w:rsidRPr="00105FFC" w14:paraId="4C5AB165"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2DA4D547"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D2160</w:t>
            </w:r>
          </w:p>
        </w:tc>
        <w:tc>
          <w:tcPr>
            <w:tcW w:w="565" w:type="pct"/>
            <w:noWrap/>
            <w:vAlign w:val="center"/>
            <w:hideMark/>
          </w:tcPr>
          <w:p w14:paraId="2796D61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$57.00</w:t>
            </w:r>
          </w:p>
        </w:tc>
        <w:tc>
          <w:tcPr>
            <w:tcW w:w="580" w:type="pct"/>
            <w:noWrap/>
            <w:vAlign w:val="center"/>
            <w:hideMark/>
          </w:tcPr>
          <w:p w14:paraId="60A00D4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$82.00</w:t>
            </w:r>
          </w:p>
        </w:tc>
        <w:tc>
          <w:tcPr>
            <w:tcW w:w="408" w:type="pct"/>
            <w:noWrap/>
            <w:vAlign w:val="center"/>
            <w:hideMark/>
          </w:tcPr>
          <w:p w14:paraId="7729CC8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69.5%</w:t>
            </w:r>
          </w:p>
        </w:tc>
        <w:tc>
          <w:tcPr>
            <w:tcW w:w="571" w:type="pct"/>
            <w:noWrap/>
            <w:vAlign w:val="center"/>
            <w:hideMark/>
          </w:tcPr>
          <w:p w14:paraId="19986DA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$58.05</w:t>
            </w:r>
          </w:p>
        </w:tc>
        <w:tc>
          <w:tcPr>
            <w:tcW w:w="401" w:type="pct"/>
            <w:noWrap/>
            <w:vAlign w:val="center"/>
            <w:hideMark/>
          </w:tcPr>
          <w:p w14:paraId="07B3570B"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98.2%</w:t>
            </w:r>
          </w:p>
        </w:tc>
        <w:tc>
          <w:tcPr>
            <w:tcW w:w="571" w:type="pct"/>
            <w:noWrap/>
            <w:vAlign w:val="center"/>
            <w:hideMark/>
          </w:tcPr>
          <w:p w14:paraId="061EFD6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$75.80</w:t>
            </w:r>
          </w:p>
        </w:tc>
        <w:tc>
          <w:tcPr>
            <w:tcW w:w="402" w:type="pct"/>
            <w:noWrap/>
            <w:vAlign w:val="center"/>
            <w:hideMark/>
          </w:tcPr>
          <w:p w14:paraId="6DEBA83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75.2%</w:t>
            </w:r>
          </w:p>
        </w:tc>
        <w:tc>
          <w:tcPr>
            <w:tcW w:w="547" w:type="pct"/>
            <w:noWrap/>
            <w:vAlign w:val="center"/>
            <w:hideMark/>
          </w:tcPr>
          <w:p w14:paraId="04A20DD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$109.19</w:t>
            </w:r>
          </w:p>
        </w:tc>
        <w:tc>
          <w:tcPr>
            <w:tcW w:w="402" w:type="pct"/>
            <w:noWrap/>
            <w:vAlign w:val="center"/>
            <w:hideMark/>
          </w:tcPr>
          <w:p w14:paraId="57FAD21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52.2%</w:t>
            </w:r>
          </w:p>
        </w:tc>
      </w:tr>
      <w:tr w:rsidR="00407705" w:rsidRPr="00105FFC" w14:paraId="21462CBF"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4E543EE4"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D2330</w:t>
            </w:r>
          </w:p>
        </w:tc>
        <w:tc>
          <w:tcPr>
            <w:tcW w:w="565" w:type="pct"/>
            <w:noWrap/>
            <w:vAlign w:val="center"/>
            <w:hideMark/>
          </w:tcPr>
          <w:p w14:paraId="10FD8A7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$55.00</w:t>
            </w:r>
          </w:p>
        </w:tc>
        <w:tc>
          <w:tcPr>
            <w:tcW w:w="580" w:type="pct"/>
            <w:noWrap/>
            <w:vAlign w:val="center"/>
            <w:hideMark/>
          </w:tcPr>
          <w:p w14:paraId="69B4F42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$50.00</w:t>
            </w:r>
          </w:p>
        </w:tc>
        <w:tc>
          <w:tcPr>
            <w:tcW w:w="408" w:type="pct"/>
            <w:noWrap/>
            <w:vAlign w:val="center"/>
            <w:hideMark/>
          </w:tcPr>
          <w:p w14:paraId="5E086E7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110.0%</w:t>
            </w:r>
          </w:p>
        </w:tc>
        <w:tc>
          <w:tcPr>
            <w:tcW w:w="571" w:type="pct"/>
            <w:noWrap/>
            <w:vAlign w:val="center"/>
            <w:hideMark/>
          </w:tcPr>
          <w:p w14:paraId="0482985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$34.60</w:t>
            </w:r>
          </w:p>
        </w:tc>
        <w:tc>
          <w:tcPr>
            <w:tcW w:w="401" w:type="pct"/>
            <w:noWrap/>
            <w:vAlign w:val="center"/>
            <w:hideMark/>
          </w:tcPr>
          <w:p w14:paraId="211ACB3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159.0%</w:t>
            </w:r>
          </w:p>
        </w:tc>
        <w:tc>
          <w:tcPr>
            <w:tcW w:w="571" w:type="pct"/>
            <w:noWrap/>
            <w:vAlign w:val="center"/>
            <w:hideMark/>
          </w:tcPr>
          <w:p w14:paraId="1BF2209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$50.53</w:t>
            </w:r>
          </w:p>
        </w:tc>
        <w:tc>
          <w:tcPr>
            <w:tcW w:w="402" w:type="pct"/>
            <w:noWrap/>
            <w:vAlign w:val="center"/>
            <w:hideMark/>
          </w:tcPr>
          <w:p w14:paraId="32D9427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108.8%</w:t>
            </w:r>
          </w:p>
        </w:tc>
        <w:tc>
          <w:tcPr>
            <w:tcW w:w="547" w:type="pct"/>
            <w:noWrap/>
            <w:vAlign w:val="center"/>
            <w:hideMark/>
          </w:tcPr>
          <w:p w14:paraId="53D84BA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$77.75</w:t>
            </w:r>
          </w:p>
        </w:tc>
        <w:tc>
          <w:tcPr>
            <w:tcW w:w="402" w:type="pct"/>
            <w:noWrap/>
            <w:vAlign w:val="center"/>
            <w:hideMark/>
          </w:tcPr>
          <w:p w14:paraId="2BDB909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70.7%</w:t>
            </w:r>
          </w:p>
        </w:tc>
      </w:tr>
      <w:tr w:rsidR="00407705" w:rsidRPr="00105FFC" w14:paraId="55055397"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1C2F70F5"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D2391</w:t>
            </w:r>
          </w:p>
        </w:tc>
        <w:tc>
          <w:tcPr>
            <w:tcW w:w="565" w:type="pct"/>
            <w:noWrap/>
            <w:vAlign w:val="center"/>
            <w:hideMark/>
          </w:tcPr>
          <w:p w14:paraId="630D2B1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$39.00</w:t>
            </w:r>
          </w:p>
        </w:tc>
        <w:tc>
          <w:tcPr>
            <w:tcW w:w="580" w:type="pct"/>
            <w:noWrap/>
            <w:vAlign w:val="center"/>
            <w:hideMark/>
          </w:tcPr>
          <w:p w14:paraId="0B3BD5A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$50.00</w:t>
            </w:r>
          </w:p>
        </w:tc>
        <w:tc>
          <w:tcPr>
            <w:tcW w:w="408" w:type="pct"/>
            <w:noWrap/>
            <w:vAlign w:val="center"/>
            <w:hideMark/>
          </w:tcPr>
          <w:p w14:paraId="117FFA2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78.0%</w:t>
            </w:r>
          </w:p>
        </w:tc>
        <w:tc>
          <w:tcPr>
            <w:tcW w:w="571" w:type="pct"/>
            <w:noWrap/>
            <w:vAlign w:val="center"/>
            <w:hideMark/>
          </w:tcPr>
          <w:p w14:paraId="75AD650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$30.85</w:t>
            </w:r>
          </w:p>
        </w:tc>
        <w:tc>
          <w:tcPr>
            <w:tcW w:w="401" w:type="pct"/>
            <w:noWrap/>
            <w:vAlign w:val="center"/>
            <w:hideMark/>
          </w:tcPr>
          <w:p w14:paraId="18092E09"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126.4%</w:t>
            </w:r>
          </w:p>
        </w:tc>
        <w:tc>
          <w:tcPr>
            <w:tcW w:w="571" w:type="pct"/>
            <w:noWrap/>
            <w:vAlign w:val="center"/>
            <w:hideMark/>
          </w:tcPr>
          <w:p w14:paraId="3337D22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$46.08</w:t>
            </w:r>
          </w:p>
        </w:tc>
        <w:tc>
          <w:tcPr>
            <w:tcW w:w="402" w:type="pct"/>
            <w:noWrap/>
            <w:vAlign w:val="center"/>
            <w:hideMark/>
          </w:tcPr>
          <w:p w14:paraId="7F87106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84.6%</w:t>
            </w:r>
          </w:p>
        </w:tc>
        <w:tc>
          <w:tcPr>
            <w:tcW w:w="547" w:type="pct"/>
            <w:noWrap/>
            <w:vAlign w:val="center"/>
            <w:hideMark/>
          </w:tcPr>
          <w:p w14:paraId="7B8DAD5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$82.40</w:t>
            </w:r>
          </w:p>
        </w:tc>
        <w:tc>
          <w:tcPr>
            <w:tcW w:w="402" w:type="pct"/>
            <w:noWrap/>
            <w:vAlign w:val="center"/>
            <w:hideMark/>
          </w:tcPr>
          <w:p w14:paraId="053ECB2E"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47.3%</w:t>
            </w:r>
          </w:p>
        </w:tc>
      </w:tr>
      <w:tr w:rsidR="00407705" w:rsidRPr="00105FFC" w14:paraId="3FE743F3"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4864A451"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D2392</w:t>
            </w:r>
          </w:p>
        </w:tc>
        <w:tc>
          <w:tcPr>
            <w:tcW w:w="565" w:type="pct"/>
            <w:noWrap/>
            <w:vAlign w:val="center"/>
            <w:hideMark/>
          </w:tcPr>
          <w:p w14:paraId="580096CF"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$48.00</w:t>
            </w:r>
          </w:p>
        </w:tc>
        <w:tc>
          <w:tcPr>
            <w:tcW w:w="580" w:type="pct"/>
            <w:noWrap/>
            <w:vAlign w:val="center"/>
            <w:hideMark/>
          </w:tcPr>
          <w:p w14:paraId="29A665C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$67.00</w:t>
            </w:r>
          </w:p>
        </w:tc>
        <w:tc>
          <w:tcPr>
            <w:tcW w:w="408" w:type="pct"/>
            <w:noWrap/>
            <w:vAlign w:val="center"/>
            <w:hideMark/>
          </w:tcPr>
          <w:p w14:paraId="6F9C6B2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71.6%</w:t>
            </w:r>
          </w:p>
        </w:tc>
        <w:tc>
          <w:tcPr>
            <w:tcW w:w="571" w:type="pct"/>
            <w:noWrap/>
            <w:vAlign w:val="center"/>
            <w:hideMark/>
          </w:tcPr>
          <w:p w14:paraId="5EC860E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$48.15</w:t>
            </w:r>
          </w:p>
        </w:tc>
        <w:tc>
          <w:tcPr>
            <w:tcW w:w="401" w:type="pct"/>
            <w:noWrap/>
            <w:vAlign w:val="center"/>
            <w:hideMark/>
          </w:tcPr>
          <w:p w14:paraId="483B84A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99.7%</w:t>
            </w:r>
          </w:p>
        </w:tc>
        <w:tc>
          <w:tcPr>
            <w:tcW w:w="571" w:type="pct"/>
            <w:noWrap/>
            <w:vAlign w:val="center"/>
            <w:hideMark/>
          </w:tcPr>
          <w:p w14:paraId="2E5D77C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$60.94</w:t>
            </w:r>
          </w:p>
        </w:tc>
        <w:tc>
          <w:tcPr>
            <w:tcW w:w="402" w:type="pct"/>
            <w:noWrap/>
            <w:vAlign w:val="center"/>
            <w:hideMark/>
          </w:tcPr>
          <w:p w14:paraId="52C8D71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78.8%</w:t>
            </w:r>
          </w:p>
        </w:tc>
        <w:tc>
          <w:tcPr>
            <w:tcW w:w="547" w:type="pct"/>
            <w:noWrap/>
            <w:vAlign w:val="center"/>
            <w:hideMark/>
          </w:tcPr>
          <w:p w14:paraId="7DF0B0B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$108.00</w:t>
            </w:r>
          </w:p>
        </w:tc>
        <w:tc>
          <w:tcPr>
            <w:tcW w:w="402" w:type="pct"/>
            <w:noWrap/>
            <w:vAlign w:val="center"/>
            <w:hideMark/>
          </w:tcPr>
          <w:p w14:paraId="15B79BF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44.4%</w:t>
            </w:r>
          </w:p>
        </w:tc>
      </w:tr>
      <w:tr w:rsidR="00407705" w:rsidRPr="00105FFC" w14:paraId="59C39B40"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2626865D"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D2930</w:t>
            </w:r>
          </w:p>
        </w:tc>
        <w:tc>
          <w:tcPr>
            <w:tcW w:w="565" w:type="pct"/>
            <w:noWrap/>
            <w:vAlign w:val="center"/>
            <w:hideMark/>
          </w:tcPr>
          <w:p w14:paraId="2EFD636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$75.00</w:t>
            </w:r>
          </w:p>
        </w:tc>
        <w:tc>
          <w:tcPr>
            <w:tcW w:w="580" w:type="pct"/>
            <w:noWrap/>
            <w:vAlign w:val="center"/>
            <w:hideMark/>
          </w:tcPr>
          <w:p w14:paraId="49DAE9B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$116.00</w:t>
            </w:r>
          </w:p>
        </w:tc>
        <w:tc>
          <w:tcPr>
            <w:tcW w:w="408" w:type="pct"/>
            <w:noWrap/>
            <w:vAlign w:val="center"/>
            <w:hideMark/>
          </w:tcPr>
          <w:p w14:paraId="6E44EB0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64.7%</w:t>
            </w:r>
          </w:p>
        </w:tc>
        <w:tc>
          <w:tcPr>
            <w:tcW w:w="571" w:type="pct"/>
            <w:noWrap/>
            <w:vAlign w:val="center"/>
            <w:hideMark/>
          </w:tcPr>
          <w:p w14:paraId="64F8FAF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$73.40</w:t>
            </w:r>
          </w:p>
        </w:tc>
        <w:tc>
          <w:tcPr>
            <w:tcW w:w="401" w:type="pct"/>
            <w:noWrap/>
            <w:vAlign w:val="center"/>
            <w:hideMark/>
          </w:tcPr>
          <w:p w14:paraId="3EC132D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102.2%</w:t>
            </w:r>
          </w:p>
        </w:tc>
        <w:tc>
          <w:tcPr>
            <w:tcW w:w="571" w:type="pct"/>
            <w:noWrap/>
            <w:vAlign w:val="center"/>
            <w:hideMark/>
          </w:tcPr>
          <w:p w14:paraId="14C8632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$101.07</w:t>
            </w:r>
          </w:p>
        </w:tc>
        <w:tc>
          <w:tcPr>
            <w:tcW w:w="402" w:type="pct"/>
            <w:noWrap/>
            <w:vAlign w:val="center"/>
            <w:hideMark/>
          </w:tcPr>
          <w:p w14:paraId="668FE0F2"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74.2%</w:t>
            </w:r>
          </w:p>
        </w:tc>
        <w:tc>
          <w:tcPr>
            <w:tcW w:w="547" w:type="pct"/>
            <w:noWrap/>
            <w:vAlign w:val="center"/>
            <w:hideMark/>
          </w:tcPr>
          <w:p w14:paraId="38B59CB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$152.94</w:t>
            </w:r>
          </w:p>
        </w:tc>
        <w:tc>
          <w:tcPr>
            <w:tcW w:w="402" w:type="pct"/>
            <w:noWrap/>
            <w:vAlign w:val="center"/>
            <w:hideMark/>
          </w:tcPr>
          <w:p w14:paraId="2A49516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49.0%</w:t>
            </w:r>
          </w:p>
        </w:tc>
      </w:tr>
      <w:tr w:rsidR="00407705" w:rsidRPr="00105FFC" w14:paraId="221C71E1"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4027DC1D"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D3220</w:t>
            </w:r>
          </w:p>
        </w:tc>
        <w:tc>
          <w:tcPr>
            <w:tcW w:w="565" w:type="pct"/>
            <w:noWrap/>
            <w:vAlign w:val="center"/>
            <w:hideMark/>
          </w:tcPr>
          <w:p w14:paraId="543413A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$71.00</w:t>
            </w:r>
          </w:p>
        </w:tc>
        <w:tc>
          <w:tcPr>
            <w:tcW w:w="580" w:type="pct"/>
            <w:noWrap/>
            <w:vAlign w:val="center"/>
            <w:hideMark/>
          </w:tcPr>
          <w:p w14:paraId="6CE30D0A"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$87.00</w:t>
            </w:r>
          </w:p>
        </w:tc>
        <w:tc>
          <w:tcPr>
            <w:tcW w:w="408" w:type="pct"/>
            <w:noWrap/>
            <w:vAlign w:val="center"/>
            <w:hideMark/>
          </w:tcPr>
          <w:p w14:paraId="5D781FE2"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81.6%</w:t>
            </w:r>
          </w:p>
        </w:tc>
        <w:tc>
          <w:tcPr>
            <w:tcW w:w="571" w:type="pct"/>
            <w:noWrap/>
            <w:vAlign w:val="center"/>
            <w:hideMark/>
          </w:tcPr>
          <w:p w14:paraId="646C06A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$52.70</w:t>
            </w:r>
          </w:p>
        </w:tc>
        <w:tc>
          <w:tcPr>
            <w:tcW w:w="401" w:type="pct"/>
            <w:noWrap/>
            <w:vAlign w:val="center"/>
            <w:hideMark/>
          </w:tcPr>
          <w:p w14:paraId="1F472D0D"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134.7%</w:t>
            </w:r>
          </w:p>
        </w:tc>
        <w:tc>
          <w:tcPr>
            <w:tcW w:w="571" w:type="pct"/>
            <w:noWrap/>
            <w:vAlign w:val="center"/>
            <w:hideMark/>
          </w:tcPr>
          <w:p w14:paraId="0898080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$74.32</w:t>
            </w:r>
          </w:p>
        </w:tc>
        <w:tc>
          <w:tcPr>
            <w:tcW w:w="402" w:type="pct"/>
            <w:noWrap/>
            <w:vAlign w:val="center"/>
            <w:hideMark/>
          </w:tcPr>
          <w:p w14:paraId="4B7949F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95.5%</w:t>
            </w:r>
          </w:p>
        </w:tc>
        <w:tc>
          <w:tcPr>
            <w:tcW w:w="547" w:type="pct"/>
            <w:noWrap/>
            <w:vAlign w:val="center"/>
            <w:hideMark/>
          </w:tcPr>
          <w:p w14:paraId="0716620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$86.20</w:t>
            </w:r>
          </w:p>
        </w:tc>
        <w:tc>
          <w:tcPr>
            <w:tcW w:w="402" w:type="pct"/>
            <w:noWrap/>
            <w:vAlign w:val="center"/>
            <w:hideMark/>
          </w:tcPr>
          <w:p w14:paraId="00BB0787"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82.4%</w:t>
            </w:r>
          </w:p>
        </w:tc>
      </w:tr>
      <w:tr w:rsidR="00407705" w:rsidRPr="00105FFC" w14:paraId="21CFF402"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3849822E"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D7140</w:t>
            </w:r>
          </w:p>
        </w:tc>
        <w:tc>
          <w:tcPr>
            <w:tcW w:w="565" w:type="pct"/>
            <w:noWrap/>
            <w:vAlign w:val="center"/>
            <w:hideMark/>
          </w:tcPr>
          <w:p w14:paraId="771401F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$41.00</w:t>
            </w:r>
          </w:p>
        </w:tc>
        <w:tc>
          <w:tcPr>
            <w:tcW w:w="580" w:type="pct"/>
            <w:noWrap/>
            <w:vAlign w:val="center"/>
            <w:hideMark/>
          </w:tcPr>
          <w:p w14:paraId="559BCAB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$50.00</w:t>
            </w:r>
          </w:p>
        </w:tc>
        <w:tc>
          <w:tcPr>
            <w:tcW w:w="408" w:type="pct"/>
            <w:noWrap/>
            <w:vAlign w:val="center"/>
            <w:hideMark/>
          </w:tcPr>
          <w:p w14:paraId="54BC25F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82.0%</w:t>
            </w:r>
          </w:p>
        </w:tc>
        <w:tc>
          <w:tcPr>
            <w:tcW w:w="571" w:type="pct"/>
            <w:noWrap/>
            <w:vAlign w:val="center"/>
            <w:hideMark/>
          </w:tcPr>
          <w:p w14:paraId="5108847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$39.12</w:t>
            </w:r>
          </w:p>
        </w:tc>
        <w:tc>
          <w:tcPr>
            <w:tcW w:w="401" w:type="pct"/>
            <w:noWrap/>
            <w:vAlign w:val="center"/>
            <w:hideMark/>
          </w:tcPr>
          <w:p w14:paraId="4ECF8581"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104.8%</w:t>
            </w:r>
          </w:p>
        </w:tc>
        <w:tc>
          <w:tcPr>
            <w:tcW w:w="571" w:type="pct"/>
            <w:noWrap/>
            <w:vAlign w:val="center"/>
            <w:hideMark/>
          </w:tcPr>
          <w:p w14:paraId="0A41746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$40.13</w:t>
            </w:r>
          </w:p>
        </w:tc>
        <w:tc>
          <w:tcPr>
            <w:tcW w:w="402" w:type="pct"/>
            <w:noWrap/>
            <w:vAlign w:val="center"/>
            <w:hideMark/>
          </w:tcPr>
          <w:p w14:paraId="0C1AE198"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102.2%</w:t>
            </w:r>
          </w:p>
        </w:tc>
        <w:tc>
          <w:tcPr>
            <w:tcW w:w="547" w:type="pct"/>
            <w:noWrap/>
            <w:vAlign w:val="center"/>
            <w:hideMark/>
          </w:tcPr>
          <w:p w14:paraId="7E4D3FB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$65.70</w:t>
            </w:r>
          </w:p>
        </w:tc>
        <w:tc>
          <w:tcPr>
            <w:tcW w:w="402" w:type="pct"/>
            <w:noWrap/>
            <w:vAlign w:val="center"/>
            <w:hideMark/>
          </w:tcPr>
          <w:p w14:paraId="74920B7F"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62.4%</w:t>
            </w:r>
          </w:p>
        </w:tc>
      </w:tr>
      <w:tr w:rsidR="00407705" w:rsidRPr="00105FFC" w14:paraId="294FEAFE"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41D0C7B8"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D7210</w:t>
            </w:r>
          </w:p>
        </w:tc>
        <w:tc>
          <w:tcPr>
            <w:tcW w:w="565" w:type="pct"/>
            <w:noWrap/>
            <w:vAlign w:val="center"/>
            <w:hideMark/>
          </w:tcPr>
          <w:p w14:paraId="018AB344"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$85.00</w:t>
            </w:r>
          </w:p>
        </w:tc>
        <w:tc>
          <w:tcPr>
            <w:tcW w:w="580" w:type="pct"/>
            <w:noWrap/>
            <w:vAlign w:val="center"/>
            <w:hideMark/>
          </w:tcPr>
          <w:p w14:paraId="410BEDE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$85.00</w:t>
            </w:r>
          </w:p>
        </w:tc>
        <w:tc>
          <w:tcPr>
            <w:tcW w:w="408" w:type="pct"/>
            <w:noWrap/>
            <w:vAlign w:val="center"/>
            <w:hideMark/>
          </w:tcPr>
          <w:p w14:paraId="01B190BB"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100.0%</w:t>
            </w:r>
          </w:p>
        </w:tc>
        <w:tc>
          <w:tcPr>
            <w:tcW w:w="571" w:type="pct"/>
            <w:noWrap/>
            <w:vAlign w:val="center"/>
            <w:hideMark/>
          </w:tcPr>
          <w:p w14:paraId="140A198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$57.40</w:t>
            </w:r>
          </w:p>
        </w:tc>
        <w:tc>
          <w:tcPr>
            <w:tcW w:w="401" w:type="pct"/>
            <w:noWrap/>
            <w:vAlign w:val="center"/>
            <w:hideMark/>
          </w:tcPr>
          <w:p w14:paraId="6281D70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148.1%</w:t>
            </w:r>
          </w:p>
        </w:tc>
        <w:tc>
          <w:tcPr>
            <w:tcW w:w="571" w:type="pct"/>
            <w:noWrap/>
            <w:vAlign w:val="center"/>
            <w:hideMark/>
          </w:tcPr>
          <w:p w14:paraId="2A227AD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$59.45</w:t>
            </w:r>
          </w:p>
        </w:tc>
        <w:tc>
          <w:tcPr>
            <w:tcW w:w="402" w:type="pct"/>
            <w:noWrap/>
            <w:vAlign w:val="center"/>
            <w:hideMark/>
          </w:tcPr>
          <w:p w14:paraId="07CE468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143.0%</w:t>
            </w:r>
          </w:p>
        </w:tc>
        <w:tc>
          <w:tcPr>
            <w:tcW w:w="547" w:type="pct"/>
            <w:noWrap/>
            <w:vAlign w:val="center"/>
            <w:hideMark/>
          </w:tcPr>
          <w:p w14:paraId="0F751931"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$100.75</w:t>
            </w:r>
          </w:p>
        </w:tc>
        <w:tc>
          <w:tcPr>
            <w:tcW w:w="402" w:type="pct"/>
            <w:noWrap/>
            <w:vAlign w:val="center"/>
            <w:hideMark/>
          </w:tcPr>
          <w:p w14:paraId="1A542659"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84.4%</w:t>
            </w:r>
          </w:p>
        </w:tc>
      </w:tr>
      <w:tr w:rsidR="00407705" w:rsidRPr="00105FFC" w14:paraId="6568A849" w14:textId="77777777" w:rsidTr="00407705">
        <w:trPr>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79F6D0C3"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D9230</w:t>
            </w:r>
          </w:p>
        </w:tc>
        <w:tc>
          <w:tcPr>
            <w:tcW w:w="565" w:type="pct"/>
            <w:noWrap/>
            <w:vAlign w:val="center"/>
            <w:hideMark/>
          </w:tcPr>
          <w:p w14:paraId="0CB3B56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$25.00</w:t>
            </w:r>
          </w:p>
        </w:tc>
        <w:tc>
          <w:tcPr>
            <w:tcW w:w="580" w:type="pct"/>
            <w:noWrap/>
            <w:vAlign w:val="center"/>
            <w:hideMark/>
          </w:tcPr>
          <w:p w14:paraId="65435EA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408" w:type="pct"/>
            <w:noWrap/>
            <w:vAlign w:val="center"/>
            <w:hideMark/>
          </w:tcPr>
          <w:p w14:paraId="64920607"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571" w:type="pct"/>
            <w:noWrap/>
            <w:vAlign w:val="center"/>
            <w:hideMark/>
          </w:tcPr>
          <w:p w14:paraId="50FE1595"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$26.00</w:t>
            </w:r>
          </w:p>
        </w:tc>
        <w:tc>
          <w:tcPr>
            <w:tcW w:w="401" w:type="pct"/>
            <w:noWrap/>
            <w:vAlign w:val="center"/>
            <w:hideMark/>
          </w:tcPr>
          <w:p w14:paraId="3E8EC334"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96.2%</w:t>
            </w:r>
          </w:p>
        </w:tc>
        <w:tc>
          <w:tcPr>
            <w:tcW w:w="571" w:type="pct"/>
            <w:noWrap/>
            <w:vAlign w:val="center"/>
            <w:hideMark/>
          </w:tcPr>
          <w:p w14:paraId="05E3861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$41.62</w:t>
            </w:r>
          </w:p>
        </w:tc>
        <w:tc>
          <w:tcPr>
            <w:tcW w:w="402" w:type="pct"/>
            <w:noWrap/>
            <w:vAlign w:val="center"/>
            <w:hideMark/>
          </w:tcPr>
          <w:p w14:paraId="049B34C3"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60.1%</w:t>
            </w:r>
          </w:p>
        </w:tc>
        <w:tc>
          <w:tcPr>
            <w:tcW w:w="547" w:type="pct"/>
            <w:noWrap/>
            <w:vAlign w:val="center"/>
            <w:hideMark/>
          </w:tcPr>
          <w:p w14:paraId="5143D69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$27.81</w:t>
            </w:r>
          </w:p>
        </w:tc>
        <w:tc>
          <w:tcPr>
            <w:tcW w:w="402" w:type="pct"/>
            <w:noWrap/>
            <w:vAlign w:val="center"/>
            <w:hideMark/>
          </w:tcPr>
          <w:p w14:paraId="328CFA3C"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89.9%</w:t>
            </w:r>
          </w:p>
        </w:tc>
      </w:tr>
      <w:tr w:rsidR="00407705" w:rsidRPr="00105FFC" w14:paraId="5B033F33" w14:textId="77777777" w:rsidTr="00407705">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53" w:type="pct"/>
            <w:noWrap/>
            <w:vAlign w:val="center"/>
            <w:hideMark/>
          </w:tcPr>
          <w:p w14:paraId="7B0CE636" w14:textId="77777777" w:rsidR="00407705" w:rsidRPr="00105FFC" w:rsidRDefault="00407705" w:rsidP="00407705">
            <w:pPr>
              <w:jc w:val="center"/>
              <w:rPr>
                <w:rFonts w:asciiTheme="minorHAnsi" w:hAnsiTheme="minorHAnsi" w:cs="Arial"/>
                <w:b w:val="0"/>
                <w:color w:val="000000"/>
                <w:sz w:val="20"/>
                <w:szCs w:val="20"/>
              </w:rPr>
            </w:pPr>
            <w:r w:rsidRPr="00105FFC">
              <w:rPr>
                <w:rFonts w:asciiTheme="minorHAnsi" w:hAnsiTheme="minorHAnsi" w:cs="Arial"/>
                <w:b w:val="0"/>
                <w:color w:val="000000"/>
                <w:sz w:val="20"/>
                <w:szCs w:val="20"/>
              </w:rPr>
              <w:t>D9430</w:t>
            </w:r>
          </w:p>
        </w:tc>
        <w:tc>
          <w:tcPr>
            <w:tcW w:w="565" w:type="pct"/>
            <w:noWrap/>
            <w:vAlign w:val="center"/>
            <w:hideMark/>
          </w:tcPr>
          <w:p w14:paraId="38E8A2D3"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$20.00</w:t>
            </w:r>
          </w:p>
        </w:tc>
        <w:tc>
          <w:tcPr>
            <w:tcW w:w="580" w:type="pct"/>
            <w:noWrap/>
            <w:vAlign w:val="center"/>
            <w:hideMark/>
          </w:tcPr>
          <w:p w14:paraId="4FBB403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$20.00</w:t>
            </w:r>
          </w:p>
        </w:tc>
        <w:tc>
          <w:tcPr>
            <w:tcW w:w="408" w:type="pct"/>
            <w:noWrap/>
            <w:vAlign w:val="center"/>
            <w:hideMark/>
          </w:tcPr>
          <w:p w14:paraId="5D9B1D00"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100.0%</w:t>
            </w:r>
          </w:p>
        </w:tc>
        <w:tc>
          <w:tcPr>
            <w:tcW w:w="571" w:type="pct"/>
            <w:noWrap/>
            <w:vAlign w:val="center"/>
            <w:hideMark/>
          </w:tcPr>
          <w:p w14:paraId="22B46A7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401" w:type="pct"/>
            <w:noWrap/>
            <w:vAlign w:val="center"/>
            <w:hideMark/>
          </w:tcPr>
          <w:p w14:paraId="7E65D695"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571" w:type="pct"/>
            <w:noWrap/>
            <w:vAlign w:val="center"/>
            <w:hideMark/>
          </w:tcPr>
          <w:p w14:paraId="23E61388"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402" w:type="pct"/>
            <w:noWrap/>
            <w:vAlign w:val="center"/>
            <w:hideMark/>
          </w:tcPr>
          <w:p w14:paraId="4C88168E"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N/A</w:t>
            </w:r>
          </w:p>
        </w:tc>
        <w:tc>
          <w:tcPr>
            <w:tcW w:w="547" w:type="pct"/>
            <w:noWrap/>
            <w:vAlign w:val="center"/>
            <w:hideMark/>
          </w:tcPr>
          <w:p w14:paraId="1BD630BC"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$ 14.70</w:t>
            </w:r>
          </w:p>
        </w:tc>
        <w:tc>
          <w:tcPr>
            <w:tcW w:w="402" w:type="pct"/>
            <w:noWrap/>
            <w:vAlign w:val="center"/>
            <w:hideMark/>
          </w:tcPr>
          <w:p w14:paraId="03186C66" w14:textId="77777777" w:rsidR="00407705" w:rsidRPr="00105FFC" w:rsidRDefault="00407705" w:rsidP="00407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05FFC">
              <w:rPr>
                <w:rFonts w:asciiTheme="minorHAnsi" w:hAnsiTheme="minorHAnsi" w:cs="Arial"/>
                <w:color w:val="000000"/>
                <w:sz w:val="20"/>
                <w:szCs w:val="20"/>
              </w:rPr>
              <w:t>136.1%</w:t>
            </w:r>
          </w:p>
        </w:tc>
      </w:tr>
      <w:tr w:rsidR="00407705" w:rsidRPr="00105FFC" w14:paraId="28D3218F" w14:textId="77777777" w:rsidTr="00407705">
        <w:trPr>
          <w:cantSplit/>
          <w:trHeight w:val="857"/>
        </w:trPr>
        <w:tc>
          <w:tcPr>
            <w:cnfStyle w:val="001000000000" w:firstRow="0" w:lastRow="0" w:firstColumn="1" w:lastColumn="0" w:oddVBand="0" w:evenVBand="0" w:oddHBand="0" w:evenHBand="0" w:firstRowFirstColumn="0" w:firstRowLastColumn="0" w:lastRowFirstColumn="0" w:lastRowLastColumn="0"/>
            <w:tcW w:w="1118" w:type="pct"/>
            <w:gridSpan w:val="2"/>
            <w:vAlign w:val="center"/>
            <w:hideMark/>
          </w:tcPr>
          <w:p w14:paraId="269C5F93" w14:textId="77777777" w:rsidR="00407705" w:rsidRPr="00105FFC" w:rsidRDefault="00407705" w:rsidP="00407705">
            <w:pPr>
              <w:jc w:val="center"/>
              <w:rPr>
                <w:rFonts w:asciiTheme="minorHAnsi" w:hAnsiTheme="minorHAnsi" w:cs="Arial"/>
                <w:bCs w:val="0"/>
                <w:color w:val="000000"/>
                <w:sz w:val="20"/>
                <w:szCs w:val="20"/>
              </w:rPr>
            </w:pPr>
            <w:r w:rsidRPr="00105FFC">
              <w:rPr>
                <w:rFonts w:asciiTheme="minorHAnsi" w:hAnsiTheme="minorHAnsi" w:cs="Arial"/>
                <w:bCs w:val="0"/>
                <w:color w:val="000000"/>
                <w:sz w:val="20"/>
                <w:szCs w:val="20"/>
              </w:rPr>
              <w:t>Average % Denti-Cal Pays of Other States' Medicaid Rates</w:t>
            </w:r>
          </w:p>
        </w:tc>
        <w:tc>
          <w:tcPr>
            <w:tcW w:w="988" w:type="pct"/>
            <w:gridSpan w:val="2"/>
            <w:noWrap/>
            <w:vAlign w:val="center"/>
            <w:hideMark/>
          </w:tcPr>
          <w:p w14:paraId="580B3EED"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0"/>
                <w:szCs w:val="20"/>
              </w:rPr>
            </w:pPr>
            <w:r w:rsidRPr="00105FFC">
              <w:rPr>
                <w:rFonts w:asciiTheme="minorHAnsi" w:hAnsiTheme="minorHAnsi" w:cs="Arial"/>
                <w:b/>
                <w:bCs/>
                <w:color w:val="000000"/>
                <w:sz w:val="20"/>
                <w:szCs w:val="20"/>
              </w:rPr>
              <w:t>76.9%</w:t>
            </w:r>
          </w:p>
        </w:tc>
        <w:tc>
          <w:tcPr>
            <w:tcW w:w="972" w:type="pct"/>
            <w:gridSpan w:val="2"/>
            <w:noWrap/>
            <w:vAlign w:val="center"/>
            <w:hideMark/>
          </w:tcPr>
          <w:p w14:paraId="4279F09A"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0"/>
                <w:szCs w:val="20"/>
              </w:rPr>
            </w:pPr>
            <w:r w:rsidRPr="00105FFC">
              <w:rPr>
                <w:rFonts w:asciiTheme="minorHAnsi" w:hAnsiTheme="minorHAnsi" w:cs="Arial"/>
                <w:b/>
                <w:bCs/>
                <w:color w:val="000000"/>
                <w:sz w:val="20"/>
                <w:szCs w:val="20"/>
              </w:rPr>
              <w:t>105.8%</w:t>
            </w:r>
          </w:p>
        </w:tc>
        <w:tc>
          <w:tcPr>
            <w:tcW w:w="973" w:type="pct"/>
            <w:gridSpan w:val="2"/>
            <w:noWrap/>
            <w:vAlign w:val="center"/>
            <w:hideMark/>
          </w:tcPr>
          <w:p w14:paraId="5B100A00"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0"/>
                <w:szCs w:val="20"/>
              </w:rPr>
            </w:pPr>
            <w:r w:rsidRPr="00105FFC">
              <w:rPr>
                <w:rFonts w:asciiTheme="minorHAnsi" w:hAnsiTheme="minorHAnsi" w:cs="Arial"/>
                <w:b/>
                <w:bCs/>
                <w:color w:val="000000"/>
                <w:sz w:val="20"/>
                <w:szCs w:val="20"/>
              </w:rPr>
              <w:t>94.2%</w:t>
            </w:r>
          </w:p>
        </w:tc>
        <w:tc>
          <w:tcPr>
            <w:tcW w:w="949" w:type="pct"/>
            <w:gridSpan w:val="2"/>
            <w:noWrap/>
            <w:vAlign w:val="center"/>
            <w:hideMark/>
          </w:tcPr>
          <w:p w14:paraId="115C9BD6" w14:textId="77777777" w:rsidR="00407705" w:rsidRPr="00105FFC" w:rsidRDefault="00407705" w:rsidP="004077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0"/>
                <w:szCs w:val="20"/>
              </w:rPr>
            </w:pPr>
            <w:r w:rsidRPr="00105FFC">
              <w:rPr>
                <w:rFonts w:asciiTheme="minorHAnsi" w:hAnsiTheme="minorHAnsi" w:cs="Arial"/>
                <w:b/>
                <w:bCs/>
                <w:color w:val="000000"/>
                <w:sz w:val="20"/>
                <w:szCs w:val="20"/>
              </w:rPr>
              <w:t>64.8%</w:t>
            </w:r>
          </w:p>
        </w:tc>
      </w:tr>
    </w:tbl>
    <w:p w14:paraId="46BB22FF" w14:textId="77777777" w:rsidR="00407705" w:rsidRPr="00105FFC" w:rsidRDefault="00407705" w:rsidP="00407705">
      <w:pPr>
        <w:rPr>
          <w:rFonts w:asciiTheme="minorHAnsi" w:eastAsiaTheme="minorHAnsi" w:hAnsiTheme="minorHAnsi" w:cstheme="minorBidi"/>
          <w:sz w:val="20"/>
          <w:szCs w:val="20"/>
        </w:rPr>
      </w:pPr>
      <w:r w:rsidRPr="00105FFC">
        <w:rPr>
          <w:rFonts w:asciiTheme="minorHAnsi" w:eastAsiaTheme="minorHAnsi" w:hAnsiTheme="minorHAnsi" w:cstheme="minorBidi"/>
          <w:b/>
          <w:sz w:val="20"/>
          <w:szCs w:val="20"/>
        </w:rPr>
        <w:t xml:space="preserve">Source: </w:t>
      </w:r>
      <w:r w:rsidRPr="00105FFC">
        <w:rPr>
          <w:rFonts w:asciiTheme="minorHAnsi" w:eastAsiaTheme="minorHAnsi" w:hAnsiTheme="minorHAnsi" w:cstheme="minorBidi"/>
          <w:sz w:val="20"/>
          <w:szCs w:val="20"/>
        </w:rPr>
        <w:t>Prepared by DHCS’ Medi-Cal Dental Services Division using data from the MIS/DSS, the Medi-Cal Fiscal Intermediary’s 35c-file of paid claims records, and Other State’s (New York, Illinois, Florida, and Texas) Medicaid Program dental fee schedule.</w:t>
      </w:r>
    </w:p>
    <w:p w14:paraId="143A6562" w14:textId="77777777" w:rsidR="00407705" w:rsidRPr="00105FFC" w:rsidRDefault="00913834" w:rsidP="00EF1EE9">
      <w:pPr>
        <w:pStyle w:val="Heading3"/>
        <w:spacing w:before="0" w:after="120" w:line="276" w:lineRule="auto"/>
      </w:pPr>
      <w:bookmarkStart w:id="543" w:name="_Toc458519029"/>
      <w:bookmarkStart w:id="544" w:name="_Toc458526606"/>
      <w:bookmarkStart w:id="545" w:name="_Toc458526740"/>
      <w:bookmarkStart w:id="546" w:name="_Toc458782922"/>
      <w:bookmarkStart w:id="547" w:name="_Toc459287790"/>
      <w:r w:rsidRPr="00105FFC">
        <w:rPr>
          <w:noProof/>
        </w:rPr>
        <w:drawing>
          <wp:inline distT="0" distB="0" distL="0" distR="0" wp14:anchorId="65511718" wp14:editId="72EFEDA0">
            <wp:extent cx="8001000" cy="742950"/>
            <wp:effectExtent l="0" t="0" r="0" b="0"/>
            <wp:docPr id="41" name="Picture 41" descr="cid:image002.png@01D1F14F.AC2D8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1F14F.AC2D85F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8001000" cy="742950"/>
                    </a:xfrm>
                    <a:prstGeom prst="rect">
                      <a:avLst/>
                    </a:prstGeom>
                    <a:noFill/>
                    <a:ln>
                      <a:noFill/>
                    </a:ln>
                  </pic:spPr>
                </pic:pic>
              </a:graphicData>
            </a:graphic>
          </wp:inline>
        </w:drawing>
      </w:r>
      <w:bookmarkEnd w:id="543"/>
      <w:bookmarkEnd w:id="544"/>
      <w:bookmarkEnd w:id="545"/>
      <w:bookmarkEnd w:id="546"/>
      <w:bookmarkEnd w:id="547"/>
    </w:p>
    <w:p w14:paraId="73EC6386" w14:textId="77777777" w:rsidR="00407705" w:rsidRPr="00105FFC" w:rsidRDefault="00407705" w:rsidP="009547AA">
      <w:pPr>
        <w:spacing w:line="276" w:lineRule="auto"/>
        <w:rPr>
          <w:rFonts w:asciiTheme="minorHAnsi" w:eastAsiaTheme="minorHAnsi" w:hAnsiTheme="minorHAnsi" w:cstheme="minorBidi"/>
        </w:rPr>
        <w:sectPr w:rsidR="00407705" w:rsidRPr="00105FFC" w:rsidSect="00407705">
          <w:headerReference w:type="default" r:id="rId93"/>
          <w:footerReference w:type="default" r:id="rId94"/>
          <w:footnotePr>
            <w:numFmt w:val="lowerRoman"/>
          </w:footnotePr>
          <w:endnotePr>
            <w:numFmt w:val="decimal"/>
          </w:endnotePr>
          <w:pgSz w:w="15840" w:h="12240" w:orient="landscape"/>
          <w:pgMar w:top="1440" w:right="1440" w:bottom="1440" w:left="1440" w:header="720" w:footer="720" w:gutter="0"/>
          <w:cols w:space="720"/>
          <w:titlePg/>
          <w:docGrid w:linePitch="360"/>
        </w:sectPr>
      </w:pPr>
      <w:r w:rsidRPr="00105FFC">
        <w:rPr>
          <w:rFonts w:asciiTheme="minorHAnsi" w:eastAsiaTheme="minorHAnsi" w:hAnsiTheme="minorHAnsi" w:cstheme="minorBidi"/>
        </w:rPr>
        <w:br w:type="page"/>
      </w:r>
    </w:p>
    <w:p w14:paraId="4EB30A88" w14:textId="77777777" w:rsidR="00F13F83" w:rsidRPr="00105FFC" w:rsidRDefault="004435AE" w:rsidP="0067407F">
      <w:pPr>
        <w:pStyle w:val="Heading2"/>
        <w:spacing w:before="0"/>
        <w:rPr>
          <w:rFonts w:asciiTheme="minorHAnsi" w:hAnsiTheme="minorHAnsi"/>
          <w:color w:val="auto"/>
        </w:rPr>
      </w:pPr>
      <w:bookmarkStart w:id="548" w:name="_Toc459287791"/>
      <w:r w:rsidRPr="00105FFC">
        <w:rPr>
          <w:rFonts w:asciiTheme="minorHAnsi" w:hAnsiTheme="minorHAnsi"/>
          <w:color w:val="auto"/>
        </w:rPr>
        <w:t>Domain</w:t>
      </w:r>
      <w:r w:rsidR="00F13F83" w:rsidRPr="00105FFC">
        <w:rPr>
          <w:rFonts w:asciiTheme="minorHAnsi" w:hAnsiTheme="minorHAnsi"/>
          <w:color w:val="auto"/>
        </w:rPr>
        <w:t xml:space="preserve">: </w:t>
      </w:r>
      <w:r w:rsidR="00A44565" w:rsidRPr="00105FFC">
        <w:rPr>
          <w:rFonts w:asciiTheme="minorHAnsi" w:hAnsiTheme="minorHAnsi"/>
          <w:color w:val="auto"/>
        </w:rPr>
        <w:t xml:space="preserve">FFS </w:t>
      </w:r>
      <w:r w:rsidR="00F13F83" w:rsidRPr="00105FFC">
        <w:rPr>
          <w:rFonts w:asciiTheme="minorHAnsi" w:hAnsiTheme="minorHAnsi"/>
          <w:color w:val="auto"/>
        </w:rPr>
        <w:t>Provider Reimbursement Rates</w:t>
      </w:r>
      <w:bookmarkEnd w:id="548"/>
    </w:p>
    <w:p w14:paraId="45A7F12D" w14:textId="77777777" w:rsidR="0067407F" w:rsidRPr="00105FFC" w:rsidRDefault="0067407F" w:rsidP="0067407F">
      <w:pPr>
        <w:pStyle w:val="Heading3"/>
        <w:spacing w:before="0"/>
        <w:rPr>
          <w:sz w:val="24"/>
        </w:rPr>
      </w:pPr>
    </w:p>
    <w:p w14:paraId="56DC2928" w14:textId="77777777" w:rsidR="00A44565" w:rsidRPr="00105FFC" w:rsidRDefault="00A44565" w:rsidP="0067407F">
      <w:pPr>
        <w:pStyle w:val="Heading3"/>
        <w:spacing w:before="0"/>
      </w:pPr>
      <w:bookmarkStart w:id="549" w:name="_Toc459287792"/>
      <w:r w:rsidRPr="00105FFC">
        <w:t>I</w:t>
      </w:r>
      <w:r w:rsidRPr="00105FFC">
        <w:rPr>
          <w:rStyle w:val="Heading3Char"/>
          <w:b/>
          <w:bCs/>
        </w:rPr>
        <w:t>ntroduction</w:t>
      </w:r>
      <w:bookmarkEnd w:id="549"/>
    </w:p>
    <w:p w14:paraId="5723CD41" w14:textId="77777777" w:rsidR="0067407F" w:rsidRPr="00105FFC" w:rsidRDefault="0067407F" w:rsidP="0067407F">
      <w:pPr>
        <w:spacing w:line="276" w:lineRule="auto"/>
        <w:rPr>
          <w:rFonts w:asciiTheme="minorHAnsi" w:eastAsiaTheme="minorHAnsi" w:hAnsiTheme="minorHAnsi"/>
        </w:rPr>
      </w:pPr>
    </w:p>
    <w:p w14:paraId="13861BC5" w14:textId="77777777" w:rsidR="00A44565" w:rsidRPr="00105FFC" w:rsidRDefault="0067407F" w:rsidP="008819B2">
      <w:pPr>
        <w:spacing w:line="276" w:lineRule="auto"/>
        <w:rPr>
          <w:rFonts w:asciiTheme="minorHAnsi" w:eastAsiaTheme="minorHAnsi" w:hAnsiTheme="minorHAnsi" w:cs="Arial"/>
          <w:iCs/>
          <w:color w:val="000000"/>
        </w:rPr>
      </w:pPr>
      <w:r w:rsidRPr="00105FFC">
        <w:rPr>
          <w:rFonts w:asciiTheme="minorHAnsi" w:hAnsiTheme="minorHAnsi"/>
        </w:rPr>
        <w:t>Provider reimbursement rate comparisons enable D</w:t>
      </w:r>
      <w:r w:rsidRPr="00105FFC">
        <w:rPr>
          <w:rFonts w:asciiTheme="minorHAnsi" w:eastAsiaTheme="minorHAnsi" w:hAnsiTheme="minorHAnsi" w:cs="Arial"/>
        </w:rPr>
        <w:t>HCS to assure that payments for services are consistent with efficiency, economy, and quality of care.</w:t>
      </w:r>
      <w:r w:rsidR="008819B2" w:rsidRPr="00105FFC">
        <w:rPr>
          <w:rFonts w:asciiTheme="minorHAnsi" w:eastAsiaTheme="minorHAnsi" w:hAnsiTheme="minorHAnsi" w:cs="Arial"/>
        </w:rPr>
        <w:t xml:space="preserve"> </w:t>
      </w:r>
      <w:r w:rsidR="006A7AEE" w:rsidRPr="00105FFC">
        <w:rPr>
          <w:rFonts w:asciiTheme="minorHAnsi" w:eastAsiaTheme="minorHAnsi" w:hAnsiTheme="minorHAnsi" w:cs="Arial"/>
        </w:rPr>
        <w:t>T</w:t>
      </w:r>
      <w:r w:rsidR="006A7AEE" w:rsidRPr="00105FFC">
        <w:rPr>
          <w:rFonts w:asciiTheme="minorHAnsi" w:hAnsiTheme="minorHAnsi"/>
        </w:rPr>
        <w:t xml:space="preserve">his section evaluates the aggregate average FFS Medi-Cal reimbursement rates as a percentage of Medicare reimbursement rates </w:t>
      </w:r>
      <w:r w:rsidR="008819B2" w:rsidRPr="00105FFC">
        <w:rPr>
          <w:rFonts w:asciiTheme="minorHAnsi" w:eastAsiaTheme="minorHAnsi" w:hAnsiTheme="minorHAnsi" w:cs="Arial"/>
          <w:iCs/>
          <w:color w:val="000000"/>
        </w:rPr>
        <w:t>f</w:t>
      </w:r>
      <w:r w:rsidR="00A44565" w:rsidRPr="00105FFC">
        <w:rPr>
          <w:rFonts w:asciiTheme="minorHAnsi" w:eastAsiaTheme="minorHAnsi" w:hAnsiTheme="minorHAnsi" w:cs="Arial"/>
          <w:iCs/>
          <w:color w:val="000000"/>
        </w:rPr>
        <w:t>or the following FFS services:</w:t>
      </w:r>
    </w:p>
    <w:p w14:paraId="1AE41049" w14:textId="77777777" w:rsidR="00A44565" w:rsidRPr="00105FFC" w:rsidRDefault="00A44565" w:rsidP="00A44565">
      <w:pPr>
        <w:autoSpaceDE w:val="0"/>
        <w:autoSpaceDN w:val="0"/>
        <w:adjustRightInd w:val="0"/>
        <w:rPr>
          <w:rFonts w:asciiTheme="minorHAnsi" w:eastAsiaTheme="minorHAnsi" w:hAnsiTheme="minorHAnsi" w:cs="Arial"/>
          <w:iCs/>
          <w:color w:val="000000"/>
        </w:rPr>
      </w:pPr>
    </w:p>
    <w:p w14:paraId="3A519171" w14:textId="77777777" w:rsidR="00A44565" w:rsidRPr="00105FFC" w:rsidRDefault="00A44565" w:rsidP="0067407F">
      <w:pPr>
        <w:spacing w:line="276" w:lineRule="auto"/>
        <w:rPr>
          <w:rFonts w:asciiTheme="minorHAnsi" w:eastAsiaTheme="minorHAnsi" w:hAnsiTheme="minorHAnsi" w:cstheme="minorBidi"/>
          <w:iCs/>
          <w:sz w:val="23"/>
          <w:szCs w:val="23"/>
        </w:rPr>
      </w:pPr>
      <w:r w:rsidRPr="00105FFC">
        <w:rPr>
          <w:rFonts w:asciiTheme="minorHAnsi" w:eastAsiaTheme="minorHAnsi" w:hAnsiTheme="minorHAnsi" w:cs="Arial"/>
          <w:bCs/>
          <w:u w:val="single"/>
        </w:rPr>
        <w:t>Primary Care Services:</w:t>
      </w:r>
      <w:r w:rsidRPr="00105FFC">
        <w:rPr>
          <w:rFonts w:asciiTheme="minorHAnsi" w:eastAsiaTheme="minorHAnsi" w:hAnsiTheme="minorHAnsi" w:cs="Arial"/>
          <w:b/>
          <w:bCs/>
        </w:rPr>
        <w:t xml:space="preserve"> </w:t>
      </w:r>
      <w:r w:rsidRPr="00105FFC">
        <w:rPr>
          <w:rFonts w:asciiTheme="minorHAnsi" w:eastAsiaTheme="minorHAnsi" w:hAnsiTheme="minorHAnsi" w:cs="Arial"/>
        </w:rPr>
        <w:t>DHCS is utilizing rates for the Primary Care Physician Service codes that were previously identified within SPA 13-003 (the 2013 and 2014 federally enhanced payments).</w:t>
      </w:r>
    </w:p>
    <w:p w14:paraId="66457C7B" w14:textId="77777777" w:rsidR="00A44565" w:rsidRPr="00105FFC" w:rsidRDefault="00A44565" w:rsidP="0067407F">
      <w:pPr>
        <w:spacing w:line="276" w:lineRule="auto"/>
        <w:rPr>
          <w:rFonts w:asciiTheme="minorHAnsi" w:eastAsiaTheme="minorHAnsi" w:hAnsiTheme="minorHAnsi" w:cstheme="minorBidi"/>
          <w:iCs/>
          <w:sz w:val="23"/>
          <w:szCs w:val="23"/>
        </w:rPr>
      </w:pPr>
    </w:p>
    <w:p w14:paraId="12C5721F" w14:textId="77777777" w:rsidR="00A44565" w:rsidRPr="00105FFC" w:rsidRDefault="00A44565" w:rsidP="0067407F">
      <w:pPr>
        <w:autoSpaceDE w:val="0"/>
        <w:autoSpaceDN w:val="0"/>
        <w:adjustRightInd w:val="0"/>
        <w:spacing w:line="276" w:lineRule="auto"/>
        <w:rPr>
          <w:rFonts w:asciiTheme="minorHAnsi" w:eastAsiaTheme="minorHAnsi" w:hAnsiTheme="minorHAnsi" w:cs="Arial"/>
        </w:rPr>
      </w:pPr>
      <w:r w:rsidRPr="00105FFC">
        <w:rPr>
          <w:rFonts w:asciiTheme="minorHAnsi" w:eastAsiaTheme="minorHAnsi" w:hAnsiTheme="minorHAnsi" w:cs="Arial"/>
          <w:bCs/>
          <w:color w:val="000000"/>
          <w:u w:val="single"/>
        </w:rPr>
        <w:t>Physician Specialist Services:</w:t>
      </w:r>
      <w:r w:rsidRPr="00105FFC">
        <w:rPr>
          <w:rFonts w:asciiTheme="minorHAnsi" w:eastAsiaTheme="minorHAnsi" w:hAnsiTheme="minorHAnsi" w:cs="Arial"/>
        </w:rPr>
        <w:t xml:space="preserve"> The Physician Specialist Services rates identified in this report represent a comprehensive subset of disciplines from the complete array of physician specialist services provided to beneficiaries.</w:t>
      </w:r>
    </w:p>
    <w:p w14:paraId="3BB7D745" w14:textId="77777777" w:rsidR="00A44565" w:rsidRPr="00105FFC" w:rsidRDefault="00A44565" w:rsidP="0067407F">
      <w:pPr>
        <w:autoSpaceDE w:val="0"/>
        <w:autoSpaceDN w:val="0"/>
        <w:adjustRightInd w:val="0"/>
        <w:spacing w:line="276" w:lineRule="auto"/>
        <w:rPr>
          <w:rFonts w:asciiTheme="minorHAnsi" w:eastAsiaTheme="minorHAnsi" w:hAnsiTheme="minorHAnsi" w:cs="Arial"/>
          <w:b/>
          <w:bCs/>
          <w:color w:val="000000"/>
        </w:rPr>
      </w:pPr>
    </w:p>
    <w:p w14:paraId="16CA3AE6" w14:textId="77777777" w:rsidR="00A44565" w:rsidRPr="00105FFC" w:rsidRDefault="00A44565" w:rsidP="0067407F">
      <w:pPr>
        <w:autoSpaceDE w:val="0"/>
        <w:autoSpaceDN w:val="0"/>
        <w:adjustRightInd w:val="0"/>
        <w:spacing w:line="276" w:lineRule="auto"/>
        <w:rPr>
          <w:rFonts w:asciiTheme="minorHAnsi" w:eastAsiaTheme="minorHAnsi" w:hAnsiTheme="minorHAnsi" w:cs="Arial"/>
        </w:rPr>
      </w:pPr>
      <w:r w:rsidRPr="00105FFC">
        <w:rPr>
          <w:rFonts w:asciiTheme="minorHAnsi" w:eastAsiaTheme="minorHAnsi" w:hAnsiTheme="minorHAnsi" w:cs="Arial"/>
          <w:bCs/>
          <w:color w:val="000000"/>
          <w:u w:val="single"/>
        </w:rPr>
        <w:t>Behavioral Health Services</w:t>
      </w:r>
      <w:r w:rsidR="0067407F" w:rsidRPr="00105FFC">
        <w:rPr>
          <w:rFonts w:asciiTheme="minorHAnsi" w:eastAsiaTheme="minorHAnsi" w:hAnsiTheme="minorHAnsi" w:cs="Arial"/>
          <w:bCs/>
          <w:color w:val="000000"/>
          <w:u w:val="single"/>
        </w:rPr>
        <w:t>:</w:t>
      </w:r>
      <w:r w:rsidR="0067407F" w:rsidRPr="00105FFC">
        <w:rPr>
          <w:rFonts w:asciiTheme="minorHAnsi" w:eastAsiaTheme="minorHAnsi" w:hAnsiTheme="minorHAnsi" w:cs="Arial"/>
          <w:b/>
          <w:bCs/>
          <w:color w:val="000000"/>
        </w:rPr>
        <w:t xml:space="preserve"> </w:t>
      </w:r>
      <w:r w:rsidRPr="00105FFC">
        <w:rPr>
          <w:rFonts w:asciiTheme="minorHAnsi" w:eastAsiaTheme="minorHAnsi" w:hAnsiTheme="minorHAnsi" w:cs="Arial"/>
          <w:iCs/>
          <w:color w:val="000000"/>
        </w:rPr>
        <w:t>Behavioral Health Services rate comparison only includes mental health services at this time.  The DHCS is unable to include a s</w:t>
      </w:r>
      <w:r w:rsidRPr="00105FFC">
        <w:rPr>
          <w:rFonts w:asciiTheme="minorHAnsi" w:eastAsiaTheme="minorHAnsi" w:hAnsiTheme="minorHAnsi" w:cs="Arial"/>
        </w:rPr>
        <w:t>ubstance use disorder services rate comparison due to the absence of comparable Medicare rates.  The DHCS anticipates providing a useful rate comparison in future updates to the Access Monitoring Review Plan.</w:t>
      </w:r>
    </w:p>
    <w:p w14:paraId="6742524F" w14:textId="77777777" w:rsidR="00A44565" w:rsidRPr="00105FFC" w:rsidRDefault="00A44565" w:rsidP="0067407F">
      <w:pPr>
        <w:autoSpaceDE w:val="0"/>
        <w:autoSpaceDN w:val="0"/>
        <w:adjustRightInd w:val="0"/>
        <w:spacing w:line="276" w:lineRule="auto"/>
        <w:rPr>
          <w:rFonts w:asciiTheme="minorHAnsi" w:eastAsiaTheme="minorHAnsi" w:hAnsiTheme="minorHAnsi" w:cs="Arial"/>
          <w:i/>
          <w:iCs/>
          <w:color w:val="000000"/>
        </w:rPr>
      </w:pPr>
    </w:p>
    <w:p w14:paraId="765C88D9" w14:textId="77777777" w:rsidR="00A44565" w:rsidRPr="00105FFC" w:rsidRDefault="00A44565" w:rsidP="0067407F">
      <w:pPr>
        <w:autoSpaceDE w:val="0"/>
        <w:autoSpaceDN w:val="0"/>
        <w:adjustRightInd w:val="0"/>
        <w:spacing w:line="276" w:lineRule="auto"/>
        <w:rPr>
          <w:rFonts w:asciiTheme="minorHAnsi" w:eastAsiaTheme="minorHAnsi" w:hAnsiTheme="minorHAnsi" w:cs="Arial"/>
          <w:color w:val="000000"/>
        </w:rPr>
      </w:pPr>
      <w:r w:rsidRPr="00105FFC">
        <w:rPr>
          <w:rFonts w:asciiTheme="minorHAnsi" w:eastAsiaTheme="minorHAnsi" w:hAnsiTheme="minorHAnsi" w:cs="Arial"/>
          <w:bCs/>
          <w:color w:val="000000"/>
          <w:u w:val="single"/>
        </w:rPr>
        <w:t>Pre- and Post-Natal Obst</w:t>
      </w:r>
      <w:r w:rsidR="0067407F" w:rsidRPr="00105FFC">
        <w:rPr>
          <w:rFonts w:asciiTheme="minorHAnsi" w:eastAsiaTheme="minorHAnsi" w:hAnsiTheme="minorHAnsi" w:cs="Arial"/>
          <w:bCs/>
          <w:color w:val="000000"/>
          <w:u w:val="single"/>
        </w:rPr>
        <w:t>etric Services:</w:t>
      </w:r>
      <w:r w:rsidR="0067407F" w:rsidRPr="00105FFC">
        <w:rPr>
          <w:rFonts w:asciiTheme="minorHAnsi" w:eastAsiaTheme="minorHAnsi" w:hAnsiTheme="minorHAnsi" w:cs="Arial"/>
          <w:b/>
          <w:bCs/>
          <w:color w:val="000000"/>
        </w:rPr>
        <w:t xml:space="preserve"> </w:t>
      </w:r>
      <w:r w:rsidRPr="00105FFC">
        <w:rPr>
          <w:rFonts w:asciiTheme="minorHAnsi" w:eastAsiaTheme="minorHAnsi" w:hAnsiTheme="minorHAnsi" w:cs="Arial"/>
          <w:color w:val="000000"/>
        </w:rPr>
        <w:t xml:space="preserve">DHCS conducted a rate comparison between Medi-Cal rates and the equivalent Medicare rates for pre- and post-natal obstetric services. </w:t>
      </w:r>
    </w:p>
    <w:p w14:paraId="56FAD91A" w14:textId="77777777" w:rsidR="0067407F" w:rsidRPr="00105FFC" w:rsidRDefault="0067407F" w:rsidP="0067407F">
      <w:pPr>
        <w:autoSpaceDE w:val="0"/>
        <w:autoSpaceDN w:val="0"/>
        <w:adjustRightInd w:val="0"/>
        <w:spacing w:line="276" w:lineRule="auto"/>
        <w:rPr>
          <w:rFonts w:asciiTheme="minorHAnsi" w:eastAsiaTheme="minorHAnsi" w:hAnsiTheme="minorHAnsi" w:cs="Arial"/>
          <w:color w:val="000000"/>
        </w:rPr>
      </w:pPr>
    </w:p>
    <w:p w14:paraId="7067A66A" w14:textId="77777777" w:rsidR="0067407F" w:rsidRPr="00105FFC" w:rsidRDefault="0067407F" w:rsidP="0067407F">
      <w:pPr>
        <w:autoSpaceDE w:val="0"/>
        <w:autoSpaceDN w:val="0"/>
        <w:adjustRightInd w:val="0"/>
        <w:spacing w:line="276" w:lineRule="auto"/>
        <w:rPr>
          <w:rFonts w:asciiTheme="minorHAnsi" w:eastAsiaTheme="minorHAnsi" w:hAnsiTheme="minorHAnsi" w:cs="Arial"/>
          <w:color w:val="000000"/>
        </w:rPr>
      </w:pPr>
      <w:r w:rsidRPr="00105FFC">
        <w:rPr>
          <w:rFonts w:asciiTheme="minorHAnsi" w:eastAsiaTheme="minorHAnsi" w:hAnsiTheme="minorHAnsi" w:cs="Arial"/>
          <w:bCs/>
          <w:color w:val="000000"/>
          <w:u w:val="single"/>
        </w:rPr>
        <w:t>Home Health Services:</w:t>
      </w:r>
      <w:r w:rsidRPr="00105FFC">
        <w:rPr>
          <w:rFonts w:asciiTheme="minorHAnsi" w:eastAsiaTheme="minorHAnsi" w:hAnsiTheme="minorHAnsi" w:cs="Arial"/>
        </w:rPr>
        <w:t xml:space="preserve"> DHCS is currently unable to provide a reliable rate comparison between Medi-Cal and Medicare rates for home health. DHCS anticipates providing a usable rate comparison in future updates to the Access Monitoring Review Plan.</w:t>
      </w:r>
    </w:p>
    <w:p w14:paraId="536826E5" w14:textId="77777777" w:rsidR="006800B1" w:rsidRPr="00105FFC" w:rsidRDefault="006800B1">
      <w:pPr>
        <w:spacing w:after="200" w:line="276" w:lineRule="auto"/>
        <w:rPr>
          <w:rFonts w:asciiTheme="minorHAnsi" w:eastAsiaTheme="minorHAnsi" w:hAnsiTheme="minorHAnsi" w:cs="Arial"/>
          <w:color w:val="000000"/>
        </w:rPr>
      </w:pPr>
      <w:r w:rsidRPr="00105FFC">
        <w:rPr>
          <w:rFonts w:asciiTheme="minorHAnsi" w:eastAsiaTheme="minorHAnsi" w:hAnsiTheme="minorHAnsi" w:cs="Arial"/>
          <w:color w:val="000000"/>
        </w:rPr>
        <w:br w:type="page"/>
      </w:r>
    </w:p>
    <w:p w14:paraId="5DA8F8BB" w14:textId="77777777" w:rsidR="0067407F" w:rsidRPr="00105FFC" w:rsidRDefault="0067407F" w:rsidP="0067407F">
      <w:pPr>
        <w:pStyle w:val="Heading3"/>
        <w:spacing w:before="0"/>
        <w:rPr>
          <w:rFonts w:eastAsiaTheme="minorHAnsi"/>
        </w:rPr>
      </w:pPr>
      <w:bookmarkStart w:id="550" w:name="_Toc459287793"/>
      <w:r w:rsidRPr="00105FFC">
        <w:rPr>
          <w:rFonts w:eastAsiaTheme="minorHAnsi"/>
        </w:rPr>
        <w:t>FFS Provider Reimbursement</w:t>
      </w:r>
      <w:r w:rsidR="006800B1" w:rsidRPr="00105FFC">
        <w:rPr>
          <w:rFonts w:eastAsiaTheme="minorHAnsi"/>
        </w:rPr>
        <w:t xml:space="preserve"> Rate Comparisons</w:t>
      </w:r>
      <w:bookmarkEnd w:id="550"/>
    </w:p>
    <w:p w14:paraId="365AFA19" w14:textId="77777777" w:rsidR="0067407F" w:rsidRPr="00105FFC" w:rsidRDefault="0067407F" w:rsidP="00A44565">
      <w:pPr>
        <w:autoSpaceDE w:val="0"/>
        <w:autoSpaceDN w:val="0"/>
        <w:adjustRightInd w:val="0"/>
        <w:rPr>
          <w:rFonts w:asciiTheme="minorHAnsi" w:eastAsiaTheme="minorHAnsi" w:hAnsiTheme="minorHAnsi" w:cs="Arial"/>
          <w:iCs/>
          <w:color w:val="000000"/>
        </w:rPr>
      </w:pPr>
    </w:p>
    <w:p w14:paraId="5B395497" w14:textId="77777777" w:rsidR="0067407F" w:rsidRPr="00105FFC" w:rsidRDefault="0067407F" w:rsidP="006800B1">
      <w:pPr>
        <w:pStyle w:val="Caption"/>
        <w:spacing w:after="0"/>
        <w:rPr>
          <w:rFonts w:asciiTheme="minorHAnsi" w:eastAsiaTheme="minorHAnsi" w:hAnsiTheme="minorHAnsi" w:cstheme="minorBidi"/>
          <w:color w:val="auto"/>
          <w:sz w:val="20"/>
          <w:szCs w:val="20"/>
        </w:rPr>
      </w:pPr>
      <w:bookmarkStart w:id="551" w:name="_Toc458783156"/>
      <w:bookmarkStart w:id="552" w:name="_Toc459285202"/>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57</w:t>
      </w:r>
      <w:r w:rsidRPr="00105FFC">
        <w:rPr>
          <w:rFonts w:asciiTheme="minorHAnsi" w:hAnsiTheme="minorHAnsi"/>
          <w:color w:val="auto"/>
          <w:sz w:val="20"/>
          <w:szCs w:val="20"/>
        </w:rPr>
        <w:fldChar w:fldCharType="end"/>
      </w:r>
      <w:r w:rsidRPr="00105FFC">
        <w:rPr>
          <w:rFonts w:asciiTheme="minorHAnsi" w:eastAsiaTheme="minorHAnsi" w:hAnsiTheme="minorHAnsi" w:cstheme="minorBidi"/>
          <w:color w:val="auto"/>
          <w:sz w:val="20"/>
          <w:szCs w:val="20"/>
        </w:rPr>
        <w:t xml:space="preserve">: </w:t>
      </w:r>
      <w:r w:rsidRPr="00105FFC">
        <w:rPr>
          <w:rFonts w:asciiTheme="minorHAnsi" w:eastAsiaTheme="minorHAnsi" w:hAnsiTheme="minorHAnsi" w:cstheme="minorBidi"/>
          <w:b w:val="0"/>
          <w:color w:val="auto"/>
          <w:sz w:val="20"/>
          <w:szCs w:val="20"/>
        </w:rPr>
        <w:t>Aggregate Average Medi-Cal Rates as Percentage of Medicare Rates</w:t>
      </w:r>
      <w:bookmarkEnd w:id="551"/>
      <w:bookmarkEnd w:id="552"/>
      <w:r w:rsidRPr="00105FFC">
        <w:rPr>
          <w:rFonts w:asciiTheme="minorHAnsi" w:eastAsiaTheme="minorHAnsi" w:hAnsiTheme="minorHAnsi" w:cstheme="minorBidi"/>
          <w:color w:val="auto"/>
          <w:sz w:val="20"/>
          <w:szCs w:val="20"/>
        </w:rPr>
        <w:t xml:space="preserve"> </w:t>
      </w:r>
    </w:p>
    <w:tbl>
      <w:tblPr>
        <w:tblStyle w:val="GridTable6Colorful-Accent11"/>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2175"/>
        <w:gridCol w:w="2160"/>
        <w:gridCol w:w="1530"/>
      </w:tblGrid>
      <w:tr w:rsidR="00A44565" w:rsidRPr="00105FFC" w14:paraId="4D675F5F" w14:textId="77777777" w:rsidTr="000739E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500" w:type="dxa"/>
            <w:tcBorders>
              <w:bottom w:val="none" w:sz="0" w:space="0" w:color="auto"/>
            </w:tcBorders>
            <w:noWrap/>
            <w:vAlign w:val="center"/>
            <w:hideMark/>
          </w:tcPr>
          <w:p w14:paraId="416F17F2" w14:textId="77777777" w:rsidR="00A44565" w:rsidRPr="00105FFC" w:rsidRDefault="00A44565" w:rsidP="00A44565">
            <w:pPr>
              <w:rPr>
                <w:rFonts w:asciiTheme="minorHAnsi" w:hAnsiTheme="minorHAnsi" w:cs="Arial"/>
                <w:color w:val="auto"/>
                <w:sz w:val="22"/>
                <w:szCs w:val="22"/>
              </w:rPr>
            </w:pPr>
            <w:r w:rsidRPr="00105FFC">
              <w:rPr>
                <w:rFonts w:asciiTheme="minorHAnsi" w:hAnsiTheme="minorHAnsi" w:cs="Arial"/>
                <w:color w:val="auto"/>
                <w:sz w:val="22"/>
                <w:szCs w:val="22"/>
              </w:rPr>
              <w:t>Service Type</w:t>
            </w:r>
          </w:p>
        </w:tc>
        <w:tc>
          <w:tcPr>
            <w:tcW w:w="2175" w:type="dxa"/>
            <w:tcBorders>
              <w:bottom w:val="none" w:sz="0" w:space="0" w:color="auto"/>
            </w:tcBorders>
            <w:noWrap/>
            <w:vAlign w:val="center"/>
            <w:hideMark/>
          </w:tcPr>
          <w:p w14:paraId="5DF678C0" w14:textId="77777777" w:rsidR="00A44565" w:rsidRPr="00105FFC" w:rsidRDefault="00A44565" w:rsidP="00A44565">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Aggregate Average Medicare Rate</w:t>
            </w:r>
          </w:p>
        </w:tc>
        <w:tc>
          <w:tcPr>
            <w:tcW w:w="2160" w:type="dxa"/>
            <w:tcBorders>
              <w:bottom w:val="none" w:sz="0" w:space="0" w:color="auto"/>
            </w:tcBorders>
            <w:noWrap/>
            <w:vAlign w:val="center"/>
            <w:hideMark/>
          </w:tcPr>
          <w:p w14:paraId="538355C9" w14:textId="77777777" w:rsidR="00A44565" w:rsidRPr="00105FFC" w:rsidRDefault="00A44565" w:rsidP="00A44565">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Aggregate Average Medi-Cal Rate</w:t>
            </w:r>
          </w:p>
        </w:tc>
        <w:tc>
          <w:tcPr>
            <w:tcW w:w="1530" w:type="dxa"/>
            <w:tcBorders>
              <w:bottom w:val="none" w:sz="0" w:space="0" w:color="auto"/>
            </w:tcBorders>
            <w:noWrap/>
            <w:vAlign w:val="center"/>
            <w:hideMark/>
          </w:tcPr>
          <w:p w14:paraId="707ED968" w14:textId="77777777" w:rsidR="00A44565" w:rsidRPr="00105FFC" w:rsidRDefault="00A44565" w:rsidP="00A44565">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Percentage</w:t>
            </w:r>
          </w:p>
        </w:tc>
      </w:tr>
      <w:tr w:rsidR="00A44565" w:rsidRPr="00105FFC" w14:paraId="560B6DAC" w14:textId="77777777" w:rsidTr="0067407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11C28B44" w14:textId="77777777" w:rsidR="00A44565" w:rsidRPr="00105FFC" w:rsidRDefault="00A44565" w:rsidP="00A44565">
            <w:pPr>
              <w:rPr>
                <w:rFonts w:asciiTheme="minorHAnsi" w:hAnsiTheme="minorHAnsi" w:cs="Arial"/>
                <w:b w:val="0"/>
                <w:color w:val="auto"/>
                <w:sz w:val="22"/>
                <w:szCs w:val="22"/>
              </w:rPr>
            </w:pPr>
            <w:r w:rsidRPr="00105FFC">
              <w:rPr>
                <w:rFonts w:asciiTheme="minorHAnsi" w:hAnsiTheme="minorHAnsi" w:cs="Arial"/>
                <w:b w:val="0"/>
                <w:color w:val="auto"/>
                <w:sz w:val="22"/>
                <w:szCs w:val="22"/>
              </w:rPr>
              <w:t>Physician Specialist Services</w:t>
            </w:r>
          </w:p>
        </w:tc>
        <w:tc>
          <w:tcPr>
            <w:tcW w:w="2175" w:type="dxa"/>
            <w:noWrap/>
            <w:vAlign w:val="center"/>
            <w:hideMark/>
          </w:tcPr>
          <w:p w14:paraId="6F657BAE" w14:textId="77777777" w:rsidR="00A44565" w:rsidRPr="00105FFC" w:rsidRDefault="00A44565" w:rsidP="00A445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$844.71</w:t>
            </w:r>
          </w:p>
        </w:tc>
        <w:tc>
          <w:tcPr>
            <w:tcW w:w="2160" w:type="dxa"/>
            <w:noWrap/>
            <w:vAlign w:val="center"/>
            <w:hideMark/>
          </w:tcPr>
          <w:p w14:paraId="2346A318" w14:textId="77777777" w:rsidR="00A44565" w:rsidRPr="00105FFC" w:rsidRDefault="00A44565" w:rsidP="00A445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$516.27</w:t>
            </w:r>
          </w:p>
        </w:tc>
        <w:tc>
          <w:tcPr>
            <w:tcW w:w="1530" w:type="dxa"/>
            <w:noWrap/>
            <w:vAlign w:val="center"/>
            <w:hideMark/>
          </w:tcPr>
          <w:p w14:paraId="67EBA450" w14:textId="77777777" w:rsidR="00A44565" w:rsidRPr="00105FFC" w:rsidRDefault="00A44565" w:rsidP="00A445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61.12%</w:t>
            </w:r>
          </w:p>
        </w:tc>
      </w:tr>
      <w:tr w:rsidR="00A44565" w:rsidRPr="00105FFC" w14:paraId="2F393C66" w14:textId="77777777" w:rsidTr="0067407F">
        <w:trPr>
          <w:trHeight w:val="255"/>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0F7B4CCF" w14:textId="77777777" w:rsidR="00A44565" w:rsidRPr="00105FFC" w:rsidRDefault="00A44565" w:rsidP="00A44565">
            <w:pPr>
              <w:rPr>
                <w:rFonts w:asciiTheme="minorHAnsi" w:hAnsiTheme="minorHAnsi" w:cs="Arial"/>
                <w:b w:val="0"/>
                <w:color w:val="auto"/>
                <w:sz w:val="22"/>
                <w:szCs w:val="22"/>
              </w:rPr>
            </w:pPr>
            <w:r w:rsidRPr="00105FFC">
              <w:rPr>
                <w:rFonts w:asciiTheme="minorHAnsi" w:hAnsiTheme="minorHAnsi" w:cs="Arial"/>
                <w:b w:val="0"/>
                <w:color w:val="auto"/>
                <w:sz w:val="22"/>
                <w:szCs w:val="22"/>
              </w:rPr>
              <w:t>Primary Care Services</w:t>
            </w:r>
          </w:p>
        </w:tc>
        <w:tc>
          <w:tcPr>
            <w:tcW w:w="2175" w:type="dxa"/>
            <w:noWrap/>
            <w:vAlign w:val="center"/>
            <w:hideMark/>
          </w:tcPr>
          <w:p w14:paraId="083E5534" w14:textId="77777777" w:rsidR="00A44565" w:rsidRPr="00105FFC" w:rsidRDefault="00A44565" w:rsidP="00A445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$95.26</w:t>
            </w:r>
          </w:p>
        </w:tc>
        <w:tc>
          <w:tcPr>
            <w:tcW w:w="2160" w:type="dxa"/>
            <w:noWrap/>
            <w:vAlign w:val="center"/>
            <w:hideMark/>
          </w:tcPr>
          <w:p w14:paraId="5A57619D" w14:textId="77777777" w:rsidR="00A44565" w:rsidRPr="00105FFC" w:rsidRDefault="00A44565" w:rsidP="00A445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$51.79</w:t>
            </w:r>
          </w:p>
        </w:tc>
        <w:tc>
          <w:tcPr>
            <w:tcW w:w="1530" w:type="dxa"/>
            <w:noWrap/>
            <w:vAlign w:val="center"/>
            <w:hideMark/>
          </w:tcPr>
          <w:p w14:paraId="6548A6F0" w14:textId="77777777" w:rsidR="00A44565" w:rsidRPr="00105FFC" w:rsidRDefault="00A44565" w:rsidP="00A445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54.37%</w:t>
            </w:r>
          </w:p>
        </w:tc>
      </w:tr>
      <w:tr w:rsidR="00A44565" w:rsidRPr="00105FFC" w14:paraId="425F45CF" w14:textId="77777777" w:rsidTr="0067407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41CEEE85" w14:textId="77777777" w:rsidR="00A44565" w:rsidRPr="00105FFC" w:rsidRDefault="00A44565" w:rsidP="00A44565">
            <w:pPr>
              <w:rPr>
                <w:rFonts w:asciiTheme="minorHAnsi" w:hAnsiTheme="minorHAnsi" w:cs="Arial"/>
                <w:b w:val="0"/>
                <w:color w:val="auto"/>
                <w:sz w:val="22"/>
                <w:szCs w:val="22"/>
              </w:rPr>
            </w:pPr>
            <w:r w:rsidRPr="00105FFC">
              <w:rPr>
                <w:rFonts w:asciiTheme="minorHAnsi" w:hAnsiTheme="minorHAnsi" w:cs="Arial"/>
                <w:b w:val="0"/>
                <w:color w:val="auto"/>
                <w:sz w:val="22"/>
                <w:szCs w:val="22"/>
              </w:rPr>
              <w:t>Pre- and Post-Natal Obstetric Services</w:t>
            </w:r>
          </w:p>
        </w:tc>
        <w:tc>
          <w:tcPr>
            <w:tcW w:w="2175" w:type="dxa"/>
            <w:noWrap/>
            <w:vAlign w:val="center"/>
            <w:hideMark/>
          </w:tcPr>
          <w:p w14:paraId="3AA13983" w14:textId="77777777" w:rsidR="00A44565" w:rsidRPr="00105FFC" w:rsidRDefault="00A44565" w:rsidP="00A445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$272.95</w:t>
            </w:r>
          </w:p>
        </w:tc>
        <w:tc>
          <w:tcPr>
            <w:tcW w:w="2160" w:type="dxa"/>
            <w:noWrap/>
            <w:vAlign w:val="center"/>
            <w:hideMark/>
          </w:tcPr>
          <w:p w14:paraId="56281E38" w14:textId="77777777" w:rsidR="00A44565" w:rsidRPr="00105FFC" w:rsidRDefault="00A44565" w:rsidP="00A445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$160.71</w:t>
            </w:r>
          </w:p>
        </w:tc>
        <w:tc>
          <w:tcPr>
            <w:tcW w:w="1530" w:type="dxa"/>
            <w:noWrap/>
            <w:vAlign w:val="center"/>
            <w:hideMark/>
          </w:tcPr>
          <w:p w14:paraId="5C1C3D0F" w14:textId="77777777" w:rsidR="00A44565" w:rsidRPr="00105FFC" w:rsidRDefault="00A44565" w:rsidP="00A445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58.88%</w:t>
            </w:r>
          </w:p>
        </w:tc>
      </w:tr>
      <w:tr w:rsidR="00A44565" w:rsidRPr="00105FFC" w14:paraId="674FD3FC" w14:textId="77777777" w:rsidTr="0067407F">
        <w:trPr>
          <w:trHeight w:val="255"/>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5C05FC7A" w14:textId="77777777" w:rsidR="00A44565" w:rsidRPr="00105FFC" w:rsidRDefault="00A44565" w:rsidP="00A44565">
            <w:pPr>
              <w:rPr>
                <w:rFonts w:asciiTheme="minorHAnsi" w:hAnsiTheme="minorHAnsi" w:cs="Arial"/>
                <w:b w:val="0"/>
                <w:color w:val="auto"/>
                <w:sz w:val="22"/>
                <w:szCs w:val="22"/>
              </w:rPr>
            </w:pPr>
            <w:r w:rsidRPr="00105FFC">
              <w:rPr>
                <w:rFonts w:asciiTheme="minorHAnsi" w:hAnsiTheme="minorHAnsi" w:cs="Arial"/>
                <w:b w:val="0"/>
                <w:color w:val="auto"/>
                <w:sz w:val="22"/>
                <w:szCs w:val="22"/>
              </w:rPr>
              <w:t>Home Health Services</w:t>
            </w:r>
          </w:p>
        </w:tc>
        <w:tc>
          <w:tcPr>
            <w:tcW w:w="2175" w:type="dxa"/>
            <w:noWrap/>
            <w:vAlign w:val="center"/>
            <w:hideMark/>
          </w:tcPr>
          <w:p w14:paraId="6CB3ABD6" w14:textId="77777777" w:rsidR="00A44565" w:rsidRPr="00105FFC" w:rsidRDefault="0067407F" w:rsidP="006800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N/A</w:t>
            </w:r>
          </w:p>
        </w:tc>
        <w:tc>
          <w:tcPr>
            <w:tcW w:w="2160" w:type="dxa"/>
            <w:noWrap/>
            <w:vAlign w:val="center"/>
            <w:hideMark/>
          </w:tcPr>
          <w:p w14:paraId="43D41093" w14:textId="77777777" w:rsidR="00A44565" w:rsidRPr="00105FFC" w:rsidRDefault="00A44565" w:rsidP="006800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$34.39</w:t>
            </w:r>
          </w:p>
        </w:tc>
        <w:tc>
          <w:tcPr>
            <w:tcW w:w="1530" w:type="dxa"/>
            <w:noWrap/>
            <w:vAlign w:val="center"/>
            <w:hideMark/>
          </w:tcPr>
          <w:p w14:paraId="398CBD88" w14:textId="77777777" w:rsidR="00A44565" w:rsidRPr="00105FFC" w:rsidRDefault="006800B1" w:rsidP="006800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N/A</w:t>
            </w:r>
          </w:p>
        </w:tc>
      </w:tr>
      <w:tr w:rsidR="00A44565" w:rsidRPr="00105FFC" w14:paraId="7116B080" w14:textId="77777777" w:rsidTr="0067407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500" w:type="dxa"/>
            <w:vAlign w:val="center"/>
            <w:hideMark/>
          </w:tcPr>
          <w:p w14:paraId="7C84529E" w14:textId="77777777" w:rsidR="00A44565" w:rsidRPr="00105FFC" w:rsidRDefault="00A44565" w:rsidP="00A44565">
            <w:pPr>
              <w:rPr>
                <w:rFonts w:asciiTheme="minorHAnsi" w:hAnsiTheme="minorHAnsi" w:cs="Arial"/>
                <w:b w:val="0"/>
                <w:color w:val="auto"/>
                <w:sz w:val="22"/>
                <w:szCs w:val="22"/>
              </w:rPr>
            </w:pPr>
            <w:r w:rsidRPr="00105FFC">
              <w:rPr>
                <w:rFonts w:asciiTheme="minorHAnsi" w:hAnsiTheme="minorHAnsi" w:cs="Arial"/>
                <w:b w:val="0"/>
                <w:color w:val="auto"/>
                <w:sz w:val="22"/>
                <w:szCs w:val="22"/>
              </w:rPr>
              <w:t xml:space="preserve">Behavioral Health Services </w:t>
            </w:r>
            <w:r w:rsidRPr="00105FFC">
              <w:rPr>
                <w:rFonts w:asciiTheme="minorHAnsi" w:hAnsiTheme="minorHAnsi" w:cs="Arial"/>
                <w:b w:val="0"/>
                <w:color w:val="auto"/>
                <w:sz w:val="22"/>
                <w:szCs w:val="22"/>
              </w:rPr>
              <w:br/>
              <w:t>(Includes Mental Health Services only.)</w:t>
            </w:r>
          </w:p>
        </w:tc>
        <w:tc>
          <w:tcPr>
            <w:tcW w:w="2175" w:type="dxa"/>
            <w:noWrap/>
            <w:vAlign w:val="center"/>
            <w:hideMark/>
          </w:tcPr>
          <w:p w14:paraId="7B628310" w14:textId="77777777" w:rsidR="00A44565" w:rsidRPr="00105FFC" w:rsidRDefault="00A44565" w:rsidP="00A445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$74.26</w:t>
            </w:r>
          </w:p>
        </w:tc>
        <w:tc>
          <w:tcPr>
            <w:tcW w:w="2160" w:type="dxa"/>
            <w:noWrap/>
            <w:vAlign w:val="center"/>
            <w:hideMark/>
          </w:tcPr>
          <w:p w14:paraId="0D4AECD5" w14:textId="77777777" w:rsidR="00A44565" w:rsidRPr="00105FFC" w:rsidRDefault="00A44565" w:rsidP="00A445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$41.88</w:t>
            </w:r>
          </w:p>
        </w:tc>
        <w:tc>
          <w:tcPr>
            <w:tcW w:w="1530" w:type="dxa"/>
            <w:noWrap/>
            <w:vAlign w:val="center"/>
            <w:hideMark/>
          </w:tcPr>
          <w:p w14:paraId="0E6C7023" w14:textId="77777777" w:rsidR="00A44565" w:rsidRPr="00105FFC" w:rsidRDefault="00A44565" w:rsidP="00A445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05FFC">
              <w:rPr>
                <w:rFonts w:asciiTheme="minorHAnsi" w:hAnsiTheme="minorHAnsi" w:cs="Arial"/>
                <w:color w:val="auto"/>
                <w:sz w:val="22"/>
                <w:szCs w:val="22"/>
              </w:rPr>
              <w:t>56.39%</w:t>
            </w:r>
          </w:p>
        </w:tc>
      </w:tr>
    </w:tbl>
    <w:p w14:paraId="0E7E0AC6" w14:textId="77777777" w:rsidR="006800B1" w:rsidRPr="00105FFC" w:rsidRDefault="006800B1" w:rsidP="006800B1">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FFSRD </w:t>
      </w:r>
    </w:p>
    <w:p w14:paraId="1470138B" w14:textId="77777777" w:rsidR="006800B1" w:rsidRPr="00105FFC" w:rsidRDefault="006800B1" w:rsidP="006800B1">
      <w:pPr>
        <w:rPr>
          <w:rFonts w:asciiTheme="minorHAnsi" w:eastAsiaTheme="minorHAnsi" w:hAnsiTheme="minorHAnsi" w:cs="Arial"/>
        </w:rPr>
      </w:pPr>
    </w:p>
    <w:p w14:paraId="2AAA6528" w14:textId="77777777" w:rsidR="006800B1" w:rsidRPr="000E1B8E" w:rsidRDefault="000E1B8E" w:rsidP="000E1B8E">
      <w:pPr>
        <w:pStyle w:val="Caption"/>
        <w:spacing w:after="0"/>
        <w:rPr>
          <w:rFonts w:asciiTheme="minorHAnsi" w:hAnsiTheme="minorHAnsi"/>
          <w:b w:val="0"/>
          <w:color w:val="000000" w:themeColor="text1"/>
          <w:sz w:val="20"/>
          <w:szCs w:val="20"/>
        </w:rPr>
      </w:pPr>
      <w:bookmarkStart w:id="553" w:name="_Toc458783003"/>
      <w:bookmarkStart w:id="554" w:name="_Toc459286746"/>
      <w:r w:rsidRPr="000E1B8E">
        <w:rPr>
          <w:rFonts w:asciiTheme="minorHAnsi" w:hAnsiTheme="minorHAnsi"/>
          <w:color w:val="000000" w:themeColor="text1"/>
          <w:sz w:val="20"/>
          <w:szCs w:val="20"/>
        </w:rPr>
        <w:t xml:space="preserve">Figure </w:t>
      </w:r>
      <w:r w:rsidRPr="000E1B8E">
        <w:rPr>
          <w:rFonts w:asciiTheme="minorHAnsi" w:hAnsiTheme="minorHAnsi"/>
          <w:color w:val="000000" w:themeColor="text1"/>
          <w:sz w:val="20"/>
          <w:szCs w:val="20"/>
        </w:rPr>
        <w:fldChar w:fldCharType="begin"/>
      </w:r>
      <w:r w:rsidRPr="000E1B8E">
        <w:rPr>
          <w:rFonts w:asciiTheme="minorHAnsi" w:hAnsiTheme="minorHAnsi"/>
          <w:color w:val="000000" w:themeColor="text1"/>
          <w:sz w:val="20"/>
          <w:szCs w:val="20"/>
        </w:rPr>
        <w:instrText xml:space="preserve"> SEQ Figure \* ARABIC </w:instrText>
      </w:r>
      <w:r w:rsidRPr="000E1B8E">
        <w:rPr>
          <w:rFonts w:asciiTheme="minorHAnsi" w:hAnsiTheme="minorHAnsi"/>
          <w:color w:val="000000" w:themeColor="text1"/>
          <w:sz w:val="20"/>
          <w:szCs w:val="20"/>
        </w:rPr>
        <w:fldChar w:fldCharType="separate"/>
      </w:r>
      <w:r w:rsidRPr="000E1B8E">
        <w:rPr>
          <w:rFonts w:asciiTheme="minorHAnsi" w:hAnsiTheme="minorHAnsi"/>
          <w:noProof/>
          <w:color w:val="000000" w:themeColor="text1"/>
          <w:sz w:val="20"/>
          <w:szCs w:val="20"/>
        </w:rPr>
        <w:t>65</w:t>
      </w:r>
      <w:r w:rsidRPr="000E1B8E">
        <w:rPr>
          <w:rFonts w:asciiTheme="minorHAnsi" w:hAnsiTheme="minorHAnsi"/>
          <w:color w:val="000000" w:themeColor="text1"/>
          <w:sz w:val="20"/>
          <w:szCs w:val="20"/>
        </w:rPr>
        <w:fldChar w:fldCharType="end"/>
      </w:r>
      <w:r w:rsidRPr="000E1B8E">
        <w:rPr>
          <w:rFonts w:asciiTheme="minorHAnsi" w:hAnsiTheme="minorHAnsi"/>
          <w:color w:val="000000" w:themeColor="text1"/>
          <w:sz w:val="20"/>
          <w:szCs w:val="20"/>
        </w:rPr>
        <w:t>:</w:t>
      </w:r>
      <w:r w:rsidRPr="000E1B8E">
        <w:rPr>
          <w:rFonts w:asciiTheme="minorHAnsi" w:hAnsiTheme="minorHAnsi"/>
          <w:b w:val="0"/>
          <w:color w:val="000000" w:themeColor="text1"/>
          <w:sz w:val="20"/>
          <w:szCs w:val="20"/>
        </w:rPr>
        <w:t xml:space="preserve"> </w:t>
      </w:r>
      <w:r w:rsidR="006800B1" w:rsidRPr="000E1B8E">
        <w:rPr>
          <w:rFonts w:asciiTheme="minorHAnsi" w:eastAsiaTheme="minorEastAsia" w:hAnsiTheme="minorHAnsi" w:cstheme="minorBidi"/>
          <w:b w:val="0"/>
          <w:color w:val="000000" w:themeColor="text1"/>
          <w:kern w:val="24"/>
          <w:sz w:val="20"/>
          <w:szCs w:val="20"/>
        </w:rPr>
        <w:t>Aggregate Average Medi-Cal Rates as Percentage of Medicare Rates</w:t>
      </w:r>
      <w:bookmarkEnd w:id="553"/>
      <w:bookmarkEnd w:id="554"/>
    </w:p>
    <w:p w14:paraId="65F78912" w14:textId="77777777" w:rsidR="00A44565" w:rsidRPr="00105FFC" w:rsidRDefault="00A44565" w:rsidP="00A44565">
      <w:pPr>
        <w:autoSpaceDE w:val="0"/>
        <w:autoSpaceDN w:val="0"/>
        <w:adjustRightInd w:val="0"/>
        <w:rPr>
          <w:rFonts w:asciiTheme="minorHAnsi" w:eastAsiaTheme="minorHAnsi" w:hAnsiTheme="minorHAnsi" w:cs="Arial"/>
          <w:iCs/>
          <w:color w:val="000000"/>
        </w:rPr>
      </w:pPr>
      <w:r w:rsidRPr="00105FFC">
        <w:rPr>
          <w:rFonts w:asciiTheme="minorHAnsi" w:eastAsiaTheme="minorHAnsi" w:hAnsiTheme="minorHAnsi" w:cstheme="minorBidi"/>
          <w:noProof/>
          <w:sz w:val="22"/>
          <w:szCs w:val="22"/>
        </w:rPr>
        <w:drawing>
          <wp:inline distT="0" distB="0" distL="0" distR="0" wp14:anchorId="797C0144" wp14:editId="25498E82">
            <wp:extent cx="5943600" cy="2468880"/>
            <wp:effectExtent l="0" t="0" r="0" b="7620"/>
            <wp:docPr id="38" name="Chart 38" descr="Physician Specialist Services: 61%&#10;Primary Care Services: 54%&#10;Pre- and Post- Notal Obstetric Services: 59%&#10;Behavioral Health Services (Includes Mental Health Services Only): 56%" title="Aggregate Average Medi-Cal Rates as Percentage of Medicare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45253B3" w14:textId="77777777" w:rsidR="006800B1" w:rsidRPr="00105FFC" w:rsidRDefault="006800B1" w:rsidP="006800B1">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FFSRD </w:t>
      </w:r>
    </w:p>
    <w:p w14:paraId="4561E3E7" w14:textId="77777777" w:rsidR="00A44565" w:rsidRPr="00105FFC" w:rsidRDefault="00A44565" w:rsidP="00A44565">
      <w:pPr>
        <w:rPr>
          <w:rFonts w:asciiTheme="minorHAnsi" w:eastAsiaTheme="minorHAnsi" w:hAnsiTheme="minorHAnsi" w:cs="Arial"/>
        </w:rPr>
      </w:pPr>
    </w:p>
    <w:p w14:paraId="5770E1A5" w14:textId="77777777" w:rsidR="00A44565" w:rsidRPr="00105FFC" w:rsidRDefault="00A44565" w:rsidP="00A44565">
      <w:pPr>
        <w:rPr>
          <w:rFonts w:asciiTheme="minorHAnsi" w:eastAsiaTheme="minorHAnsi" w:hAnsiTheme="minorHAnsi"/>
        </w:rPr>
      </w:pPr>
    </w:p>
    <w:p w14:paraId="208D50C8" w14:textId="77777777" w:rsidR="00E2434F" w:rsidRPr="00105FFC" w:rsidRDefault="00E2434F">
      <w:pPr>
        <w:spacing w:after="200" w:line="276" w:lineRule="auto"/>
        <w:rPr>
          <w:rFonts w:asciiTheme="minorHAnsi" w:eastAsiaTheme="minorHAnsi" w:hAnsiTheme="minorHAnsi" w:cstheme="majorBidi"/>
          <w:b/>
          <w:bCs/>
          <w:sz w:val="36"/>
          <w:szCs w:val="28"/>
        </w:rPr>
      </w:pPr>
      <w:r w:rsidRPr="00105FFC">
        <w:rPr>
          <w:rFonts w:asciiTheme="minorHAnsi" w:eastAsiaTheme="minorHAnsi" w:hAnsiTheme="minorHAnsi"/>
        </w:rPr>
        <w:br w:type="page"/>
      </w:r>
    </w:p>
    <w:p w14:paraId="6860DA53" w14:textId="77777777" w:rsidR="00E2434F" w:rsidRPr="00105FFC" w:rsidRDefault="009427E2" w:rsidP="00E2434F">
      <w:pPr>
        <w:pStyle w:val="Heading2"/>
        <w:rPr>
          <w:rFonts w:asciiTheme="minorHAnsi" w:eastAsiaTheme="minorHAnsi" w:hAnsiTheme="minorHAnsi"/>
          <w:color w:val="auto"/>
        </w:rPr>
      </w:pPr>
      <w:bookmarkStart w:id="555" w:name="_Toc459287794"/>
      <w:r w:rsidRPr="00105FFC">
        <w:rPr>
          <w:rFonts w:asciiTheme="minorHAnsi" w:eastAsiaTheme="minorHAnsi" w:hAnsiTheme="minorHAnsi"/>
          <w:color w:val="auto"/>
        </w:rPr>
        <w:t xml:space="preserve">Baseline Analysis </w:t>
      </w:r>
      <w:r w:rsidR="00E2434F" w:rsidRPr="00105FFC">
        <w:rPr>
          <w:rFonts w:asciiTheme="minorHAnsi" w:eastAsiaTheme="minorHAnsi" w:hAnsiTheme="minorHAnsi"/>
          <w:color w:val="auto"/>
        </w:rPr>
        <w:t>Conclusions</w:t>
      </w:r>
      <w:bookmarkEnd w:id="555"/>
    </w:p>
    <w:p w14:paraId="66A4A1E7" w14:textId="77777777" w:rsidR="00E2434F" w:rsidRPr="00105FFC" w:rsidRDefault="00E2434F" w:rsidP="00E2434F">
      <w:pPr>
        <w:pStyle w:val="Heading1"/>
        <w:spacing w:before="0" w:line="276" w:lineRule="auto"/>
        <w:rPr>
          <w:rFonts w:eastAsiaTheme="minorHAnsi"/>
          <w:color w:val="auto"/>
          <w:sz w:val="24"/>
          <w:szCs w:val="24"/>
        </w:rPr>
      </w:pPr>
    </w:p>
    <w:p w14:paraId="54E40F81" w14:textId="77777777" w:rsidR="00E2434F" w:rsidRPr="00105FFC" w:rsidRDefault="00E2434F" w:rsidP="00E2434F">
      <w:pPr>
        <w:spacing w:line="276" w:lineRule="auto"/>
        <w:rPr>
          <w:rFonts w:asciiTheme="minorHAnsi" w:eastAsiaTheme="minorHAnsi" w:hAnsiTheme="minorHAnsi" w:cs="Arial"/>
        </w:rPr>
      </w:pPr>
      <w:r w:rsidRPr="00105FFC">
        <w:rPr>
          <w:rFonts w:asciiTheme="minorHAnsi" w:eastAsiaTheme="minorHAnsi" w:hAnsiTheme="minorHAnsi" w:cs="Arial"/>
        </w:rPr>
        <w:t xml:space="preserve">Combined, the evaluated access measures present a detailed picture of FFS Medi-Cal, its unique subpopulations, provider composition, and service utilization. While intended as </w:t>
      </w:r>
      <w:r w:rsidRPr="00105FFC">
        <w:rPr>
          <w:rFonts w:asciiTheme="minorHAnsi" w:eastAsiaTheme="minorHAnsi" w:hAnsiTheme="minorHAnsi" w:cstheme="minorBidi"/>
        </w:rPr>
        <w:t xml:space="preserve">means for detecting signs of health care access disruptions, </w:t>
      </w:r>
      <w:r w:rsidRPr="00105FFC">
        <w:rPr>
          <w:rFonts w:asciiTheme="minorHAnsi" w:eastAsiaTheme="minorHAnsi" w:hAnsiTheme="minorHAnsi" w:cs="Arial"/>
        </w:rPr>
        <w:t xml:space="preserve">the measures presented in this </w:t>
      </w:r>
      <w:r w:rsidR="00353025" w:rsidRPr="00105FFC">
        <w:rPr>
          <w:rFonts w:asciiTheme="minorHAnsi" w:eastAsiaTheme="minorHAnsi" w:hAnsiTheme="minorHAnsi" w:cs="Arial"/>
        </w:rPr>
        <w:t xml:space="preserve">monitoring plan </w:t>
      </w:r>
      <w:r w:rsidRPr="00105FFC">
        <w:rPr>
          <w:rFonts w:asciiTheme="minorHAnsi" w:eastAsiaTheme="minorHAnsi" w:hAnsiTheme="minorHAnsi" w:cs="Arial"/>
        </w:rPr>
        <w:t xml:space="preserve">serve as a baseline analysis and benchmark against which to compare results from future reports. Readers should exercise caution when referencing these results, as it is important to refer to the individual measures for important details regarding the background, methods of study, and specific subpopulations examined. </w:t>
      </w:r>
      <w:r w:rsidR="00353025" w:rsidRPr="00105FFC">
        <w:rPr>
          <w:rFonts w:asciiTheme="minorHAnsi" w:eastAsiaTheme="minorHAnsi" w:hAnsiTheme="minorHAnsi" w:cs="Arial"/>
        </w:rPr>
        <w:t xml:space="preserve">Given that the measures and evaluations presented represent </w:t>
      </w:r>
      <w:r w:rsidR="007F03B4" w:rsidRPr="00105FFC">
        <w:rPr>
          <w:rFonts w:asciiTheme="minorHAnsi" w:eastAsiaTheme="minorHAnsi" w:hAnsiTheme="minorHAnsi" w:cs="Arial"/>
        </w:rPr>
        <w:t>a starting point for investigating potential access issues, readers are reminded that that in many cases access barriers cannot be definitely identified, nor can interventions be designed without further investigation.  The monitoring process represents and internal control that is designed to alert policy makers of potential access to care barriers.</w:t>
      </w:r>
    </w:p>
    <w:p w14:paraId="4C33B9FB" w14:textId="77777777" w:rsidR="00E2434F" w:rsidRPr="00105FFC" w:rsidRDefault="00E2434F" w:rsidP="00E2434F">
      <w:pPr>
        <w:spacing w:line="276" w:lineRule="auto"/>
        <w:rPr>
          <w:rFonts w:asciiTheme="minorHAnsi" w:eastAsiaTheme="minorHAnsi" w:hAnsiTheme="minorHAnsi" w:cs="Arial"/>
        </w:rPr>
      </w:pPr>
    </w:p>
    <w:p w14:paraId="77729E28" w14:textId="77777777" w:rsidR="00E2434F" w:rsidRPr="00105FFC" w:rsidRDefault="00E2434F" w:rsidP="00E2434F">
      <w:pPr>
        <w:spacing w:line="276" w:lineRule="auto"/>
        <w:rPr>
          <w:rFonts w:asciiTheme="minorHAnsi" w:eastAsiaTheme="minorHAnsi" w:hAnsiTheme="minorHAnsi" w:cstheme="minorBidi"/>
        </w:rPr>
      </w:pPr>
      <w:r w:rsidRPr="00105FFC">
        <w:rPr>
          <w:rFonts w:asciiTheme="minorHAnsi" w:eastAsiaTheme="minorHAnsi" w:hAnsiTheme="minorHAnsi" w:cstheme="minorBidi"/>
        </w:rPr>
        <w:t xml:space="preserve">California’s FFS Medi-Cal </w:t>
      </w:r>
      <w:r w:rsidRPr="00105FFC">
        <w:rPr>
          <w:rFonts w:asciiTheme="minorHAnsi" w:eastAsiaTheme="minorHAnsi" w:hAnsiTheme="minorHAnsi" w:cs="Arial"/>
        </w:rPr>
        <w:t>Access Monitoring reports f</w:t>
      </w:r>
      <w:r w:rsidRPr="00105FFC">
        <w:rPr>
          <w:rFonts w:asciiTheme="minorHAnsi" w:eastAsiaTheme="minorHAnsi" w:hAnsiTheme="minorHAnsi" w:cstheme="minorBidi"/>
        </w:rPr>
        <w:t>ulfill the first stage of the access monitoring process.</w:t>
      </w:r>
      <w:r w:rsidRPr="00105FFC">
        <w:rPr>
          <w:rFonts w:asciiTheme="minorHAnsi" w:eastAsiaTheme="minorHAnsi" w:hAnsiTheme="minorHAnsi" w:cs="Arial"/>
        </w:rPr>
        <w:t xml:space="preserve"> Subsequent reports </w:t>
      </w:r>
      <w:r w:rsidR="00353025" w:rsidRPr="00105FFC">
        <w:rPr>
          <w:rFonts w:asciiTheme="minorHAnsi" w:eastAsiaTheme="minorHAnsi" w:hAnsiTheme="minorHAnsi" w:cs="Arial"/>
        </w:rPr>
        <w:t>may</w:t>
      </w:r>
      <w:r w:rsidRPr="00105FFC">
        <w:rPr>
          <w:rFonts w:asciiTheme="minorHAnsi" w:eastAsiaTheme="minorHAnsi" w:hAnsiTheme="minorHAnsi" w:cs="Arial"/>
        </w:rPr>
        <w:t xml:space="preserve"> identify areas that may warrant further investigation. </w:t>
      </w:r>
      <w:r w:rsidRPr="00105FFC">
        <w:rPr>
          <w:rFonts w:asciiTheme="minorHAnsi" w:eastAsiaTheme="minorHAnsi" w:hAnsiTheme="minorHAnsi" w:cstheme="minorBidi"/>
        </w:rPr>
        <w:t>If necessary, DHCS will assess the identified areas through further research to explore causality, selecting and implementing interventions, and evaluating the effectiveness of those interventions.</w:t>
      </w:r>
    </w:p>
    <w:p w14:paraId="032A6BC8" w14:textId="77777777" w:rsidR="00F13F83" w:rsidRPr="00105FFC" w:rsidRDefault="00F13F83" w:rsidP="00EF2A6D">
      <w:pPr>
        <w:pStyle w:val="Heading1"/>
        <w:spacing w:before="0" w:after="120" w:line="276" w:lineRule="auto"/>
        <w:rPr>
          <w:rFonts w:eastAsiaTheme="minorHAnsi"/>
          <w:color w:val="auto"/>
        </w:rPr>
      </w:pPr>
      <w:r w:rsidRPr="00105FFC">
        <w:rPr>
          <w:rFonts w:eastAsiaTheme="minorHAnsi"/>
          <w:color w:val="auto"/>
        </w:rPr>
        <w:br w:type="page"/>
      </w:r>
    </w:p>
    <w:p w14:paraId="0D7585E4" w14:textId="77777777" w:rsidR="007C5EBF" w:rsidRPr="00105FFC" w:rsidRDefault="00EF2A6D" w:rsidP="00EF2A6D">
      <w:pPr>
        <w:pStyle w:val="Heading1"/>
        <w:spacing w:before="0" w:after="120" w:line="276" w:lineRule="auto"/>
        <w:rPr>
          <w:rFonts w:eastAsiaTheme="minorHAnsi"/>
          <w:color w:val="FF0000"/>
        </w:rPr>
      </w:pPr>
      <w:bookmarkStart w:id="556" w:name="_Toc459287795"/>
      <w:r w:rsidRPr="00105FFC">
        <w:rPr>
          <w:rFonts w:eastAsiaTheme="minorHAnsi"/>
          <w:color w:val="auto"/>
        </w:rPr>
        <w:t xml:space="preserve">Appendix B: </w:t>
      </w:r>
      <w:r w:rsidR="007C5EBF" w:rsidRPr="00105FFC">
        <w:rPr>
          <w:rFonts w:eastAsiaTheme="minorHAnsi"/>
          <w:color w:val="auto"/>
        </w:rPr>
        <w:t>FFS Medi-Cal Data Sources</w:t>
      </w:r>
      <w:bookmarkEnd w:id="556"/>
      <w:r w:rsidR="007C5EBF" w:rsidRPr="00105FFC">
        <w:rPr>
          <w:rFonts w:eastAsiaTheme="minorHAnsi"/>
          <w:color w:val="auto"/>
        </w:rPr>
        <w:t xml:space="preserve"> </w:t>
      </w:r>
    </w:p>
    <w:p w14:paraId="709E3213" w14:textId="77777777" w:rsidR="007C5EBF" w:rsidRPr="00105FFC" w:rsidRDefault="007C5EBF" w:rsidP="00E2434F">
      <w:pPr>
        <w:pStyle w:val="Heading2"/>
        <w:rPr>
          <w:rFonts w:asciiTheme="minorHAnsi" w:eastAsiaTheme="minorHAnsi" w:hAnsiTheme="minorHAnsi"/>
          <w:color w:val="auto"/>
        </w:rPr>
      </w:pPr>
      <w:bookmarkStart w:id="557" w:name="_Toc459287796"/>
      <w:r w:rsidRPr="00105FFC">
        <w:rPr>
          <w:rFonts w:asciiTheme="minorHAnsi" w:eastAsiaTheme="minorHAnsi" w:hAnsiTheme="minorHAnsi"/>
          <w:color w:val="auto"/>
        </w:rPr>
        <w:t>Medi-Cal Claims and Encounters</w:t>
      </w:r>
      <w:bookmarkEnd w:id="557"/>
    </w:p>
    <w:p w14:paraId="7FF40739" w14:textId="77777777" w:rsidR="00E2434F" w:rsidRPr="00105FFC" w:rsidRDefault="00E2434F" w:rsidP="00E2434F">
      <w:pPr>
        <w:rPr>
          <w:rFonts w:asciiTheme="minorHAnsi" w:eastAsiaTheme="minorHAnsi" w:hAnsiTheme="minorHAnsi"/>
        </w:rPr>
      </w:pPr>
    </w:p>
    <w:p w14:paraId="4FC60D84" w14:textId="77777777" w:rsidR="007C5EBF" w:rsidRPr="00105FFC" w:rsidRDefault="007C5EBF" w:rsidP="00EF2A6D">
      <w:pPr>
        <w:spacing w:after="120" w:line="276" w:lineRule="auto"/>
        <w:rPr>
          <w:rFonts w:asciiTheme="minorHAnsi" w:hAnsiTheme="minorHAnsi"/>
        </w:rPr>
      </w:pPr>
      <w:r w:rsidRPr="00105FFC">
        <w:rPr>
          <w:rFonts w:asciiTheme="minorHAnsi" w:hAnsiTheme="minorHAnsi"/>
        </w:rPr>
        <w:t xml:space="preserve">The Medi-Cal </w:t>
      </w:r>
      <w:r w:rsidR="0012474A" w:rsidRPr="00105FFC">
        <w:rPr>
          <w:rFonts w:asciiTheme="minorHAnsi" w:hAnsiTheme="minorHAnsi"/>
        </w:rPr>
        <w:t>paid claim</w:t>
      </w:r>
      <w:r w:rsidR="00C004B0" w:rsidRPr="00105FFC">
        <w:rPr>
          <w:rFonts w:asciiTheme="minorHAnsi" w:hAnsiTheme="minorHAnsi"/>
        </w:rPr>
        <w:t>s</w:t>
      </w:r>
      <w:r w:rsidR="0012474A" w:rsidRPr="00105FFC">
        <w:rPr>
          <w:rFonts w:asciiTheme="minorHAnsi" w:hAnsiTheme="minorHAnsi"/>
        </w:rPr>
        <w:t xml:space="preserve"> data</w:t>
      </w:r>
      <w:r w:rsidRPr="00105FFC">
        <w:rPr>
          <w:rFonts w:asciiTheme="minorHAnsi" w:hAnsiTheme="minorHAnsi"/>
        </w:rPr>
        <w:t xml:space="preserve"> </w:t>
      </w:r>
      <w:r w:rsidR="00C004B0" w:rsidRPr="00105FFC">
        <w:rPr>
          <w:rFonts w:asciiTheme="minorHAnsi" w:hAnsiTheme="minorHAnsi"/>
        </w:rPr>
        <w:t>are</w:t>
      </w:r>
      <w:r w:rsidRPr="00105FFC">
        <w:rPr>
          <w:rFonts w:asciiTheme="minorHAnsi" w:hAnsiTheme="minorHAnsi"/>
        </w:rPr>
        <w:t xml:space="preserve"> detailed records reflecting payments </w:t>
      </w:r>
      <w:r w:rsidR="006115BC" w:rsidRPr="00105FFC">
        <w:rPr>
          <w:rFonts w:asciiTheme="minorHAnsi" w:hAnsiTheme="minorHAnsi"/>
        </w:rPr>
        <w:t xml:space="preserve">for </w:t>
      </w:r>
      <w:r w:rsidRPr="00105FFC">
        <w:rPr>
          <w:rFonts w:asciiTheme="minorHAnsi" w:hAnsiTheme="minorHAnsi"/>
        </w:rPr>
        <w:t xml:space="preserve">services </w:t>
      </w:r>
      <w:r w:rsidR="006115BC" w:rsidRPr="00105FFC">
        <w:rPr>
          <w:rFonts w:asciiTheme="minorHAnsi" w:hAnsiTheme="minorHAnsi"/>
        </w:rPr>
        <w:t xml:space="preserve">and products </w:t>
      </w:r>
      <w:r w:rsidRPr="00105FFC">
        <w:rPr>
          <w:rFonts w:asciiTheme="minorHAnsi" w:hAnsiTheme="minorHAnsi"/>
        </w:rPr>
        <w:t>rendered</w:t>
      </w:r>
      <w:r w:rsidR="006115BC" w:rsidRPr="00105FFC">
        <w:rPr>
          <w:rFonts w:asciiTheme="minorHAnsi" w:hAnsiTheme="minorHAnsi"/>
        </w:rPr>
        <w:t>/delivered to Medi-Cal eligibles</w:t>
      </w:r>
      <w:r w:rsidRPr="00105FFC">
        <w:rPr>
          <w:rFonts w:asciiTheme="minorHAnsi" w:hAnsiTheme="minorHAnsi"/>
        </w:rPr>
        <w:t xml:space="preserve">.  These </w:t>
      </w:r>
      <w:r w:rsidR="00474C34" w:rsidRPr="00105FFC">
        <w:rPr>
          <w:rFonts w:asciiTheme="minorHAnsi" w:hAnsiTheme="minorHAnsi"/>
        </w:rPr>
        <w:t>paid claims</w:t>
      </w:r>
      <w:r w:rsidRPr="00105FFC">
        <w:rPr>
          <w:rFonts w:asciiTheme="minorHAnsi" w:hAnsiTheme="minorHAnsi"/>
        </w:rPr>
        <w:t xml:space="preserve"> </w:t>
      </w:r>
      <w:r w:rsidR="00474C34" w:rsidRPr="00105FFC">
        <w:rPr>
          <w:rFonts w:asciiTheme="minorHAnsi" w:hAnsiTheme="minorHAnsi"/>
        </w:rPr>
        <w:t>are collected and</w:t>
      </w:r>
      <w:r w:rsidRPr="00105FFC">
        <w:rPr>
          <w:rFonts w:asciiTheme="minorHAnsi" w:hAnsiTheme="minorHAnsi"/>
        </w:rPr>
        <w:t xml:space="preserve"> processed </w:t>
      </w:r>
      <w:r w:rsidR="00474C34" w:rsidRPr="00105FFC">
        <w:rPr>
          <w:rFonts w:asciiTheme="minorHAnsi" w:hAnsiTheme="minorHAnsi"/>
        </w:rPr>
        <w:t xml:space="preserve">for payment </w:t>
      </w:r>
      <w:r w:rsidRPr="00105FFC">
        <w:rPr>
          <w:rFonts w:asciiTheme="minorHAnsi" w:hAnsiTheme="minorHAnsi"/>
        </w:rPr>
        <w:t>by one of several state dep</w:t>
      </w:r>
      <w:r w:rsidR="00C004B0" w:rsidRPr="00105FFC">
        <w:rPr>
          <w:rFonts w:asciiTheme="minorHAnsi" w:hAnsiTheme="minorHAnsi"/>
        </w:rPr>
        <w:t>artments or fiscal intermediaries</w:t>
      </w:r>
      <w:r w:rsidR="001E5040" w:rsidRPr="00105FFC">
        <w:rPr>
          <w:rFonts w:asciiTheme="minorHAnsi" w:hAnsiTheme="minorHAnsi"/>
        </w:rPr>
        <w:t>.</w:t>
      </w:r>
      <w:r w:rsidRPr="00105FFC">
        <w:rPr>
          <w:rFonts w:asciiTheme="minorHAnsi" w:hAnsiTheme="minorHAnsi"/>
        </w:rPr>
        <w:t xml:space="preserve"> Medi-Cal </w:t>
      </w:r>
      <w:r w:rsidR="006A50C0" w:rsidRPr="00105FFC">
        <w:rPr>
          <w:rFonts w:asciiTheme="minorHAnsi" w:hAnsiTheme="minorHAnsi"/>
        </w:rPr>
        <w:t xml:space="preserve">paid </w:t>
      </w:r>
      <w:r w:rsidRPr="00105FFC">
        <w:rPr>
          <w:rFonts w:asciiTheme="minorHAnsi" w:hAnsiTheme="minorHAnsi"/>
        </w:rPr>
        <w:t>claims dat</w:t>
      </w:r>
      <w:r w:rsidR="00C004B0" w:rsidRPr="00105FFC">
        <w:rPr>
          <w:rFonts w:asciiTheme="minorHAnsi" w:hAnsiTheme="minorHAnsi"/>
        </w:rPr>
        <w:t xml:space="preserve">a reflect payments to providers for </w:t>
      </w:r>
      <w:r w:rsidR="006A50C0" w:rsidRPr="00105FFC">
        <w:rPr>
          <w:rFonts w:asciiTheme="minorHAnsi" w:hAnsiTheme="minorHAnsi"/>
        </w:rPr>
        <w:t>services and or products rendered/delivered</w:t>
      </w:r>
      <w:r w:rsidRPr="00105FFC">
        <w:rPr>
          <w:rFonts w:asciiTheme="minorHAnsi" w:hAnsiTheme="minorHAnsi"/>
        </w:rPr>
        <w:t xml:space="preserve">.  Because of lags in data reporting and claims processing, </w:t>
      </w:r>
      <w:r w:rsidR="006D400C" w:rsidRPr="00105FFC">
        <w:rPr>
          <w:rFonts w:asciiTheme="minorHAnsi" w:hAnsiTheme="minorHAnsi"/>
        </w:rPr>
        <w:t xml:space="preserve">paid claims data may be incomplete and require a waiting period between the date-of-service and date-of-payment.  This lag between the date-of-service and date-of-payment generally requires about 12-months to accumulate a complete set of paid claims for </w:t>
      </w:r>
      <w:r w:rsidR="00AF6179" w:rsidRPr="00105FFC">
        <w:rPr>
          <w:rFonts w:asciiTheme="minorHAnsi" w:hAnsiTheme="minorHAnsi"/>
        </w:rPr>
        <w:t>any given month-of-service.</w:t>
      </w:r>
    </w:p>
    <w:p w14:paraId="7C016BDF" w14:textId="77777777" w:rsidR="007C5EBF" w:rsidRPr="00105FFC" w:rsidRDefault="007C5EBF" w:rsidP="00E2434F">
      <w:pPr>
        <w:pStyle w:val="Heading2"/>
        <w:rPr>
          <w:rFonts w:asciiTheme="minorHAnsi" w:eastAsiaTheme="minorHAnsi" w:hAnsiTheme="minorHAnsi"/>
          <w:color w:val="auto"/>
        </w:rPr>
      </w:pPr>
      <w:bookmarkStart w:id="558" w:name="_Toc459287797"/>
      <w:r w:rsidRPr="00105FFC">
        <w:rPr>
          <w:rFonts w:asciiTheme="minorHAnsi" w:eastAsiaTheme="minorHAnsi" w:hAnsiTheme="minorHAnsi"/>
          <w:color w:val="auto"/>
        </w:rPr>
        <w:t xml:space="preserve">Medi-Cal </w:t>
      </w:r>
      <w:r w:rsidR="004D1780" w:rsidRPr="00105FFC">
        <w:rPr>
          <w:rFonts w:asciiTheme="minorHAnsi" w:eastAsiaTheme="minorHAnsi" w:hAnsiTheme="minorHAnsi"/>
          <w:color w:val="auto"/>
        </w:rPr>
        <w:t>Provider Master File (</w:t>
      </w:r>
      <w:r w:rsidRPr="00105FFC">
        <w:rPr>
          <w:rFonts w:asciiTheme="minorHAnsi" w:eastAsiaTheme="minorHAnsi" w:hAnsiTheme="minorHAnsi"/>
          <w:color w:val="auto"/>
        </w:rPr>
        <w:t>PMF</w:t>
      </w:r>
      <w:r w:rsidR="004D1780" w:rsidRPr="00105FFC">
        <w:rPr>
          <w:rFonts w:asciiTheme="minorHAnsi" w:eastAsiaTheme="minorHAnsi" w:hAnsiTheme="minorHAnsi"/>
          <w:color w:val="auto"/>
        </w:rPr>
        <w:t>)</w:t>
      </w:r>
      <w:bookmarkEnd w:id="558"/>
    </w:p>
    <w:p w14:paraId="5D9451EE" w14:textId="77777777" w:rsidR="00E2434F" w:rsidRPr="00105FFC" w:rsidRDefault="00E2434F" w:rsidP="00E2434F">
      <w:pPr>
        <w:rPr>
          <w:rFonts w:asciiTheme="minorHAnsi" w:eastAsiaTheme="minorHAnsi" w:hAnsiTheme="minorHAnsi"/>
        </w:rPr>
      </w:pPr>
    </w:p>
    <w:p w14:paraId="1E18047C" w14:textId="77777777" w:rsidR="007C5EBF" w:rsidRPr="00105FFC" w:rsidRDefault="007C5EBF" w:rsidP="00EF2A6D">
      <w:pPr>
        <w:spacing w:after="120" w:line="276" w:lineRule="auto"/>
        <w:rPr>
          <w:rFonts w:asciiTheme="minorHAnsi" w:hAnsiTheme="minorHAnsi"/>
        </w:rPr>
      </w:pPr>
      <w:r w:rsidRPr="00105FFC">
        <w:rPr>
          <w:rFonts w:asciiTheme="minorHAnsi" w:hAnsiTheme="minorHAnsi"/>
        </w:rPr>
        <w:t>The Medi-Cal PMF contains records for providers who bill services through the fiscal intermediary.  The PMF contains information including service addresses, provider type and the categories of service billed by that provider.  Providers may have more than one record on the PMF if they have multiple Medi-Cal provider IDs.  Information on the PMF is updated frequently as the providers must report changes within 35 days.  Providers billing for services authorized through other departments may be included on this file, but may be reported with a program-specific provider number.  These files are downloaded monthly and are used to supplement information obtained from the cl</w:t>
      </w:r>
      <w:r w:rsidR="00EF2A6D" w:rsidRPr="00105FFC">
        <w:rPr>
          <w:rFonts w:asciiTheme="minorHAnsi" w:hAnsiTheme="minorHAnsi"/>
        </w:rPr>
        <w:t xml:space="preserve">aims and encounter data files. </w:t>
      </w:r>
    </w:p>
    <w:p w14:paraId="1A70C78A" w14:textId="77777777" w:rsidR="007C5EBF" w:rsidRPr="00105FFC" w:rsidRDefault="007C5EBF" w:rsidP="00E2434F">
      <w:pPr>
        <w:pStyle w:val="Heading2"/>
        <w:rPr>
          <w:rFonts w:asciiTheme="minorHAnsi" w:eastAsiaTheme="minorHAnsi" w:hAnsiTheme="minorHAnsi"/>
          <w:color w:val="auto"/>
        </w:rPr>
      </w:pPr>
      <w:bookmarkStart w:id="559" w:name="_Toc459287798"/>
      <w:r w:rsidRPr="00105FFC">
        <w:rPr>
          <w:rFonts w:asciiTheme="minorHAnsi" w:eastAsiaTheme="minorHAnsi" w:hAnsiTheme="minorHAnsi"/>
          <w:color w:val="auto"/>
        </w:rPr>
        <w:t>MIS/DSS Eligibility Tables</w:t>
      </w:r>
      <w:bookmarkEnd w:id="559"/>
    </w:p>
    <w:p w14:paraId="73A3BF56" w14:textId="77777777" w:rsidR="00E2434F" w:rsidRPr="00105FFC" w:rsidRDefault="00E2434F" w:rsidP="00E2434F">
      <w:pPr>
        <w:rPr>
          <w:rFonts w:asciiTheme="minorHAnsi" w:eastAsiaTheme="minorHAnsi" w:hAnsiTheme="minorHAnsi"/>
        </w:rPr>
      </w:pPr>
    </w:p>
    <w:p w14:paraId="6BF04E03" w14:textId="77777777" w:rsidR="007C5EBF" w:rsidRPr="00105FFC" w:rsidRDefault="007C5EBF" w:rsidP="00EF2A6D">
      <w:pPr>
        <w:spacing w:after="120" w:line="276" w:lineRule="auto"/>
        <w:rPr>
          <w:rFonts w:asciiTheme="minorHAnsi" w:hAnsiTheme="minorHAnsi"/>
        </w:rPr>
      </w:pPr>
      <w:r w:rsidRPr="00105FFC">
        <w:rPr>
          <w:rFonts w:asciiTheme="minorHAnsi" w:hAnsiTheme="minorHAnsi"/>
        </w:rPr>
        <w:t>The MIS/DSS contains observations reflecting the benefit history for anyone who received Medi-Cal or other state program benefits in the current and previous twelve months.  Since Medi-Cal eligibility can be reported retroactively, final beneficiary counts are not considered “comp</w:t>
      </w:r>
      <w:r w:rsidR="00EF2A6D" w:rsidRPr="00105FFC">
        <w:rPr>
          <w:rFonts w:asciiTheme="minorHAnsi" w:hAnsiTheme="minorHAnsi"/>
        </w:rPr>
        <w:t>lete” until the end of a 12-</w:t>
      </w:r>
      <w:r w:rsidRPr="00105FFC">
        <w:rPr>
          <w:rFonts w:asciiTheme="minorHAnsi" w:hAnsiTheme="minorHAnsi"/>
        </w:rPr>
        <w:t>month period.  Data contained in the MIS/DSS eligibility tables are used to supplement information obtained from the claims and encounter data files</w:t>
      </w:r>
      <w:r w:rsidR="0048468D" w:rsidRPr="00105FFC">
        <w:rPr>
          <w:rFonts w:asciiTheme="minorHAnsi" w:hAnsiTheme="minorHAnsi"/>
        </w:rPr>
        <w:t xml:space="preserve"> and is used in many cases to create denominators and describe the populations of interest</w:t>
      </w:r>
      <w:r w:rsidRPr="00105FFC">
        <w:rPr>
          <w:rFonts w:asciiTheme="minorHAnsi" w:hAnsiTheme="minorHAnsi"/>
        </w:rPr>
        <w:t>.</w:t>
      </w:r>
    </w:p>
    <w:p w14:paraId="7CEDA805" w14:textId="77777777" w:rsidR="007C5EBF" w:rsidRPr="00105FFC" w:rsidRDefault="007C5EBF" w:rsidP="007C5EBF">
      <w:pPr>
        <w:spacing w:after="200" w:line="276" w:lineRule="auto"/>
        <w:rPr>
          <w:rFonts w:asciiTheme="minorHAnsi" w:eastAsiaTheme="minorHAnsi" w:hAnsiTheme="minorHAnsi" w:cstheme="majorBidi"/>
          <w:b/>
          <w:bCs/>
          <w:sz w:val="28"/>
          <w:szCs w:val="28"/>
        </w:rPr>
      </w:pPr>
      <w:r w:rsidRPr="00105FFC">
        <w:rPr>
          <w:rFonts w:asciiTheme="minorHAnsi" w:eastAsiaTheme="minorHAnsi" w:hAnsiTheme="minorHAnsi"/>
        </w:rPr>
        <w:br w:type="page"/>
      </w:r>
    </w:p>
    <w:p w14:paraId="4453CD6A" w14:textId="77777777" w:rsidR="00630E73" w:rsidRPr="00105FFC" w:rsidRDefault="00630E73" w:rsidP="00EF2A6D">
      <w:pPr>
        <w:pStyle w:val="Heading1"/>
        <w:spacing w:before="0" w:after="120" w:line="276" w:lineRule="auto"/>
        <w:rPr>
          <w:rFonts w:eastAsiaTheme="minorHAnsi"/>
          <w:color w:val="auto"/>
        </w:rPr>
      </w:pPr>
      <w:bookmarkStart w:id="560" w:name="_Toc459287799"/>
      <w:r w:rsidRPr="00105FFC">
        <w:rPr>
          <w:rFonts w:eastAsiaTheme="minorHAnsi"/>
          <w:color w:val="auto"/>
        </w:rPr>
        <w:t xml:space="preserve">Appendix </w:t>
      </w:r>
      <w:r w:rsidR="00EF2A6D" w:rsidRPr="00105FFC">
        <w:rPr>
          <w:rFonts w:eastAsiaTheme="minorHAnsi"/>
          <w:color w:val="auto"/>
        </w:rPr>
        <w:t xml:space="preserve">C: </w:t>
      </w:r>
      <w:r w:rsidR="00FE7D00" w:rsidRPr="00105FFC">
        <w:rPr>
          <w:rFonts w:eastAsiaTheme="minorHAnsi"/>
          <w:color w:val="auto"/>
        </w:rPr>
        <w:t xml:space="preserve">Aid </w:t>
      </w:r>
      <w:r w:rsidR="00B373FD" w:rsidRPr="00105FFC">
        <w:rPr>
          <w:rFonts w:eastAsiaTheme="minorHAnsi"/>
          <w:color w:val="auto"/>
        </w:rPr>
        <w:t xml:space="preserve">and County </w:t>
      </w:r>
      <w:r w:rsidR="00FE7D00" w:rsidRPr="00105FFC">
        <w:rPr>
          <w:rFonts w:eastAsiaTheme="minorHAnsi"/>
          <w:color w:val="auto"/>
        </w:rPr>
        <w:t>Codes</w:t>
      </w:r>
      <w:r w:rsidR="00FE00B5" w:rsidRPr="00105FFC">
        <w:rPr>
          <w:rFonts w:eastAsiaTheme="minorHAnsi"/>
          <w:color w:val="auto"/>
        </w:rPr>
        <w:t xml:space="preserve"> by Delivery System</w:t>
      </w:r>
      <w:bookmarkEnd w:id="560"/>
    </w:p>
    <w:p w14:paraId="5DFC3040" w14:textId="77777777" w:rsidR="00042767" w:rsidRPr="00105FFC" w:rsidRDefault="00005FA6" w:rsidP="00005FA6">
      <w:pPr>
        <w:pStyle w:val="Caption"/>
        <w:spacing w:after="0"/>
        <w:rPr>
          <w:rFonts w:asciiTheme="minorHAnsi" w:eastAsiaTheme="minorHAnsi" w:hAnsiTheme="minorHAnsi" w:cstheme="minorBidi"/>
          <w:b w:val="0"/>
          <w:color w:val="auto"/>
          <w:sz w:val="20"/>
          <w:szCs w:val="20"/>
        </w:rPr>
      </w:pPr>
      <w:bookmarkStart w:id="561" w:name="_Toc458783158"/>
      <w:bookmarkStart w:id="562" w:name="_Toc459285203"/>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58</w:t>
      </w:r>
      <w:r w:rsidRPr="00105FFC">
        <w:rPr>
          <w:rFonts w:asciiTheme="minorHAnsi" w:hAnsiTheme="minorHAnsi"/>
          <w:color w:val="auto"/>
          <w:sz w:val="20"/>
          <w:szCs w:val="20"/>
        </w:rPr>
        <w:fldChar w:fldCharType="end"/>
      </w:r>
      <w:r w:rsidR="00042767" w:rsidRPr="00105FFC">
        <w:rPr>
          <w:rFonts w:asciiTheme="minorHAnsi" w:eastAsiaTheme="minorHAnsi" w:hAnsiTheme="minorHAnsi" w:cstheme="minorBidi"/>
          <w:b w:val="0"/>
          <w:color w:val="auto"/>
          <w:sz w:val="20"/>
          <w:szCs w:val="20"/>
        </w:rPr>
        <w:t xml:space="preserve">: </w:t>
      </w:r>
      <w:r w:rsidRPr="00105FFC">
        <w:rPr>
          <w:rFonts w:asciiTheme="minorHAnsi" w:eastAsiaTheme="minorHAnsi" w:hAnsiTheme="minorHAnsi" w:cstheme="minorBidi"/>
          <w:b w:val="0"/>
          <w:color w:val="auto"/>
          <w:sz w:val="20"/>
          <w:szCs w:val="20"/>
        </w:rPr>
        <w:t>County Codes in 2015 by Delivery Type</w:t>
      </w:r>
      <w:r w:rsidR="00042767" w:rsidRPr="00105FFC">
        <w:rPr>
          <w:rFonts w:asciiTheme="minorHAnsi" w:eastAsiaTheme="minorHAnsi" w:hAnsiTheme="minorHAnsi" w:cstheme="minorBidi"/>
          <w:b w:val="0"/>
          <w:color w:val="auto"/>
          <w:sz w:val="20"/>
          <w:szCs w:val="20"/>
        </w:rPr>
        <w:t xml:space="preserve"> and Dual Status</w:t>
      </w:r>
      <w:bookmarkEnd w:id="561"/>
      <w:bookmarkEnd w:id="562"/>
      <w:r w:rsidR="00042767" w:rsidRPr="00105FFC">
        <w:rPr>
          <w:rFonts w:asciiTheme="minorHAnsi" w:eastAsiaTheme="minorHAnsi" w:hAnsiTheme="minorHAnsi" w:cstheme="minorBidi"/>
          <w:b w:val="0"/>
          <w:color w:val="auto"/>
          <w:sz w:val="20"/>
          <w:szCs w:val="20"/>
        </w:rPr>
        <w:t xml:space="preserve"> </w:t>
      </w:r>
    </w:p>
    <w:tbl>
      <w:tblPr>
        <w:tblStyle w:val="MediumList1-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94"/>
        <w:gridCol w:w="2394"/>
        <w:gridCol w:w="2394"/>
        <w:gridCol w:w="2394"/>
      </w:tblGrid>
      <w:tr w:rsidR="00602297" w:rsidRPr="00105FFC" w14:paraId="375AEED6" w14:textId="77777777" w:rsidTr="00073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bottom w:val="none" w:sz="0" w:space="0" w:color="auto"/>
            </w:tcBorders>
            <w:vAlign w:val="center"/>
          </w:tcPr>
          <w:p w14:paraId="2ED3F1CD" w14:textId="77777777" w:rsidR="00602297" w:rsidRPr="00105FFC" w:rsidRDefault="00602297" w:rsidP="00005FA6">
            <w:pPr>
              <w:jc w:val="center"/>
              <w:rPr>
                <w:rFonts w:asciiTheme="minorHAnsi" w:hAnsiTheme="minorHAnsi"/>
                <w:bCs w:val="0"/>
                <w:color w:val="000000"/>
                <w:sz w:val="22"/>
                <w:szCs w:val="22"/>
              </w:rPr>
            </w:pPr>
            <w:r w:rsidRPr="00105FFC">
              <w:rPr>
                <w:rFonts w:asciiTheme="minorHAnsi" w:hAnsiTheme="minorHAnsi"/>
                <w:bCs w:val="0"/>
                <w:color w:val="000000"/>
                <w:sz w:val="22"/>
                <w:szCs w:val="22"/>
              </w:rPr>
              <w:t>COHS Counties</w:t>
            </w:r>
          </w:p>
        </w:tc>
        <w:tc>
          <w:tcPr>
            <w:tcW w:w="2394" w:type="dxa"/>
            <w:tcBorders>
              <w:top w:val="none" w:sz="0" w:space="0" w:color="auto"/>
              <w:bottom w:val="none" w:sz="0" w:space="0" w:color="auto"/>
            </w:tcBorders>
            <w:vAlign w:val="center"/>
          </w:tcPr>
          <w:p w14:paraId="13F00431" w14:textId="77777777" w:rsidR="00602297" w:rsidRPr="00105FFC" w:rsidRDefault="00602297" w:rsidP="00005F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COHS (P) Counties</w:t>
            </w:r>
          </w:p>
        </w:tc>
        <w:tc>
          <w:tcPr>
            <w:tcW w:w="2394" w:type="dxa"/>
            <w:tcBorders>
              <w:top w:val="none" w:sz="0" w:space="0" w:color="auto"/>
              <w:bottom w:val="none" w:sz="0" w:space="0" w:color="auto"/>
            </w:tcBorders>
            <w:vAlign w:val="center"/>
          </w:tcPr>
          <w:p w14:paraId="79DD808C" w14:textId="77777777" w:rsidR="00602297" w:rsidRPr="00105FFC" w:rsidRDefault="00602297" w:rsidP="00005F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GMC/Regional/2 Plan/Imperial Counties</w:t>
            </w:r>
          </w:p>
        </w:tc>
        <w:tc>
          <w:tcPr>
            <w:tcW w:w="2394" w:type="dxa"/>
            <w:tcBorders>
              <w:top w:val="none" w:sz="0" w:space="0" w:color="auto"/>
              <w:bottom w:val="none" w:sz="0" w:space="0" w:color="auto"/>
            </w:tcBorders>
            <w:vAlign w:val="center"/>
          </w:tcPr>
          <w:p w14:paraId="41997644" w14:textId="77777777" w:rsidR="00602297" w:rsidRPr="00105FFC" w:rsidRDefault="00602297" w:rsidP="00005F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San Benito</w:t>
            </w:r>
          </w:p>
        </w:tc>
      </w:tr>
      <w:tr w:rsidR="00602297" w:rsidRPr="00105FFC" w14:paraId="7A5345D3" w14:textId="77777777" w:rsidTr="0000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14:paraId="3689634E" w14:textId="77777777" w:rsidR="00602297" w:rsidRPr="00105FFC" w:rsidRDefault="00602297" w:rsidP="00005FA6">
            <w:pPr>
              <w:jc w:val="center"/>
              <w:rPr>
                <w:rFonts w:asciiTheme="minorHAnsi" w:hAnsiTheme="minorHAnsi"/>
                <w:b w:val="0"/>
                <w:color w:val="000000"/>
                <w:sz w:val="22"/>
                <w:szCs w:val="22"/>
              </w:rPr>
            </w:pPr>
            <w:r w:rsidRPr="00105FFC">
              <w:rPr>
                <w:rFonts w:asciiTheme="minorHAnsi" w:hAnsiTheme="minorHAnsi"/>
                <w:b w:val="0"/>
                <w:color w:val="000000"/>
                <w:sz w:val="22"/>
                <w:szCs w:val="22"/>
              </w:rPr>
              <w:t>08, 12, 17, 18, 21, 23, 24, 25, 27, 30, 41, 40, 42, 44, 45, 47, 49, 53, 56</w:t>
            </w:r>
          </w:p>
        </w:tc>
        <w:tc>
          <w:tcPr>
            <w:tcW w:w="2394" w:type="dxa"/>
            <w:vAlign w:val="center"/>
          </w:tcPr>
          <w:p w14:paraId="4FB37FD3" w14:textId="77777777" w:rsidR="00602297" w:rsidRPr="00105FFC" w:rsidRDefault="00602297" w:rsidP="00005F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28, 48, 57</w:t>
            </w:r>
          </w:p>
        </w:tc>
        <w:tc>
          <w:tcPr>
            <w:tcW w:w="2394" w:type="dxa"/>
            <w:vAlign w:val="center"/>
          </w:tcPr>
          <w:p w14:paraId="343BAF59" w14:textId="77777777" w:rsidR="00602297" w:rsidRPr="00105FFC" w:rsidRDefault="00602297" w:rsidP="00005F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01, 02, 03, 04, 05, 06, 07, 09, 10, 11, 13, 14, 15, 16, 19, 20, 22, 26, 29, 31, 32, 33, 34, 36, 37, 38, 39, 43, 46, 50, 51, 52, 54, 55, 58</w:t>
            </w:r>
          </w:p>
        </w:tc>
        <w:tc>
          <w:tcPr>
            <w:tcW w:w="2394" w:type="dxa"/>
            <w:vAlign w:val="center"/>
          </w:tcPr>
          <w:p w14:paraId="70C2C02C" w14:textId="77777777" w:rsidR="00602297" w:rsidRPr="00105FFC" w:rsidRDefault="00602297" w:rsidP="00005F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35</w:t>
            </w:r>
          </w:p>
        </w:tc>
      </w:tr>
    </w:tbl>
    <w:p w14:paraId="67AABAF1" w14:textId="77777777" w:rsidR="00602297" w:rsidRPr="00105FFC" w:rsidRDefault="00602297" w:rsidP="00602297">
      <w:pPr>
        <w:rPr>
          <w:rFonts w:asciiTheme="minorHAnsi" w:hAnsiTheme="minorHAnsi"/>
          <w:color w:val="000000"/>
          <w:sz w:val="16"/>
          <w:szCs w:val="16"/>
        </w:rPr>
      </w:pPr>
      <w:r w:rsidRPr="00105FFC">
        <w:rPr>
          <w:rFonts w:asciiTheme="minorHAnsi" w:hAnsiTheme="minorHAnsi" w:cs="Arial"/>
          <w:b/>
          <w:sz w:val="16"/>
          <w:szCs w:val="16"/>
        </w:rPr>
        <w:t xml:space="preserve">Source: </w:t>
      </w:r>
      <w:r w:rsidRPr="00105FFC">
        <w:rPr>
          <w:rFonts w:asciiTheme="minorHAnsi" w:hAnsiTheme="minorHAnsi"/>
          <w:color w:val="000000"/>
          <w:sz w:val="16"/>
          <w:szCs w:val="16"/>
        </w:rPr>
        <w:t xml:space="preserve">Managed Care Mandatory or Voluntary Enrollment Chart, Sept. 18, 2015 version. </w:t>
      </w:r>
    </w:p>
    <w:p w14:paraId="1BD2A32B" w14:textId="77777777" w:rsidR="00602297" w:rsidRPr="00105FFC" w:rsidRDefault="00602297" w:rsidP="00602297">
      <w:pPr>
        <w:rPr>
          <w:rFonts w:asciiTheme="minorHAnsi" w:hAnsiTheme="minorHAnsi"/>
          <w:color w:val="000000"/>
          <w:sz w:val="16"/>
          <w:szCs w:val="16"/>
        </w:rPr>
      </w:pPr>
      <w:r w:rsidRPr="00105FFC">
        <w:rPr>
          <w:rFonts w:asciiTheme="minorHAnsi" w:hAnsiTheme="minorHAnsi"/>
          <w:b/>
          <w:color w:val="000000"/>
          <w:sz w:val="16"/>
          <w:szCs w:val="16"/>
        </w:rPr>
        <w:t xml:space="preserve">Note: </w:t>
      </w:r>
      <w:r w:rsidRPr="00105FFC">
        <w:rPr>
          <w:rFonts w:asciiTheme="minorHAnsi" w:hAnsiTheme="minorHAnsi"/>
          <w:color w:val="000000"/>
          <w:sz w:val="16"/>
          <w:szCs w:val="16"/>
        </w:rPr>
        <w:t xml:space="preserve"> Aid Codes not included - 0E, 6S, 5H, 5M, G0, G5, J7, R1</w:t>
      </w:r>
      <w:bookmarkStart w:id="563" w:name="_GoBack"/>
      <w:bookmarkEnd w:id="563"/>
    </w:p>
    <w:p w14:paraId="7ACA6682" w14:textId="77777777" w:rsidR="00042767" w:rsidRPr="00105FFC" w:rsidRDefault="00042767" w:rsidP="00630E73">
      <w:pPr>
        <w:pStyle w:val="ListParagraph"/>
        <w:ind w:left="0"/>
        <w:rPr>
          <w:rFonts w:asciiTheme="minorHAnsi" w:eastAsiaTheme="minorHAnsi" w:hAnsiTheme="minorHAnsi" w:cstheme="minorBidi"/>
          <w:b/>
          <w:sz w:val="28"/>
          <w:szCs w:val="28"/>
        </w:rPr>
      </w:pPr>
    </w:p>
    <w:p w14:paraId="41CB8AC7" w14:textId="77777777" w:rsidR="00602297" w:rsidRPr="00105FFC" w:rsidRDefault="00005FA6" w:rsidP="00005FA6">
      <w:pPr>
        <w:pStyle w:val="Caption"/>
        <w:spacing w:after="0"/>
        <w:rPr>
          <w:rFonts w:asciiTheme="minorHAnsi" w:eastAsiaTheme="minorHAnsi" w:hAnsiTheme="minorHAnsi" w:cstheme="minorBidi"/>
          <w:b w:val="0"/>
          <w:color w:val="auto"/>
          <w:sz w:val="20"/>
          <w:szCs w:val="20"/>
        </w:rPr>
      </w:pPr>
      <w:bookmarkStart w:id="564" w:name="_Toc458783159"/>
      <w:bookmarkStart w:id="565" w:name="_Toc459285204"/>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59</w:t>
      </w:r>
      <w:r w:rsidRPr="00105FFC">
        <w:rPr>
          <w:rFonts w:asciiTheme="minorHAnsi" w:hAnsiTheme="minorHAnsi"/>
          <w:color w:val="auto"/>
          <w:sz w:val="20"/>
          <w:szCs w:val="20"/>
        </w:rPr>
        <w:fldChar w:fldCharType="end"/>
      </w:r>
      <w:r w:rsidR="00602297" w:rsidRPr="00105FFC">
        <w:rPr>
          <w:rFonts w:asciiTheme="minorHAnsi" w:eastAsiaTheme="minorHAnsi" w:hAnsiTheme="minorHAnsi" w:cstheme="minorBidi"/>
          <w:b w:val="0"/>
          <w:color w:val="auto"/>
          <w:sz w:val="20"/>
          <w:szCs w:val="20"/>
        </w:rPr>
        <w:t xml:space="preserve">: </w:t>
      </w:r>
      <w:r w:rsidR="00A70146" w:rsidRPr="00105FFC">
        <w:rPr>
          <w:rFonts w:asciiTheme="minorHAnsi" w:eastAsiaTheme="minorHAnsi" w:hAnsiTheme="minorHAnsi" w:cstheme="minorBidi"/>
          <w:b w:val="0"/>
          <w:color w:val="auto"/>
          <w:sz w:val="20"/>
          <w:szCs w:val="20"/>
        </w:rPr>
        <w:t>Mandatory Managed Care – An Exemption is Required for Beneficiaries to Stay in FFS – Aid Codes in</w:t>
      </w:r>
      <w:r w:rsidR="00602297" w:rsidRPr="00105FFC">
        <w:rPr>
          <w:rFonts w:asciiTheme="minorHAnsi" w:eastAsiaTheme="minorHAnsi" w:hAnsiTheme="minorHAnsi" w:cstheme="minorBidi"/>
          <w:b w:val="0"/>
          <w:color w:val="auto"/>
          <w:sz w:val="20"/>
          <w:szCs w:val="20"/>
        </w:rPr>
        <w:t xml:space="preserve"> 2015 by Delivery Type, County, and Dual Status</w:t>
      </w:r>
      <w:bookmarkEnd w:id="564"/>
      <w:bookmarkEnd w:id="565"/>
      <w:r w:rsidR="00602297" w:rsidRPr="00105FFC">
        <w:rPr>
          <w:rFonts w:asciiTheme="minorHAnsi" w:eastAsiaTheme="minorHAnsi" w:hAnsiTheme="minorHAnsi" w:cstheme="minorBidi"/>
          <w:b w:val="0"/>
          <w:color w:val="auto"/>
          <w:sz w:val="20"/>
          <w:szCs w:val="20"/>
        </w:rPr>
        <w:t xml:space="preserve"> </w:t>
      </w:r>
    </w:p>
    <w:tbl>
      <w:tblPr>
        <w:tblStyle w:val="MediumList1-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94"/>
        <w:gridCol w:w="2394"/>
        <w:gridCol w:w="2394"/>
        <w:gridCol w:w="2394"/>
      </w:tblGrid>
      <w:tr w:rsidR="00602297" w:rsidRPr="00105FFC" w14:paraId="344C8387" w14:textId="77777777" w:rsidTr="00073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bottom w:val="none" w:sz="0" w:space="0" w:color="auto"/>
            </w:tcBorders>
            <w:vAlign w:val="center"/>
          </w:tcPr>
          <w:p w14:paraId="3897D061" w14:textId="77777777" w:rsidR="00602297" w:rsidRPr="00105FFC" w:rsidRDefault="00602297" w:rsidP="00581724">
            <w:pPr>
              <w:jc w:val="center"/>
              <w:rPr>
                <w:rFonts w:asciiTheme="minorHAnsi" w:hAnsiTheme="minorHAnsi"/>
                <w:bCs w:val="0"/>
                <w:color w:val="000000"/>
                <w:sz w:val="22"/>
                <w:szCs w:val="22"/>
              </w:rPr>
            </w:pPr>
            <w:r w:rsidRPr="00105FFC">
              <w:rPr>
                <w:rFonts w:asciiTheme="minorHAnsi" w:hAnsiTheme="minorHAnsi"/>
                <w:bCs w:val="0"/>
                <w:color w:val="000000"/>
                <w:sz w:val="22"/>
                <w:szCs w:val="22"/>
              </w:rPr>
              <w:t>COHS excluding Napa Solano and Yolo. Duals and Non Duals</w:t>
            </w:r>
          </w:p>
        </w:tc>
        <w:tc>
          <w:tcPr>
            <w:tcW w:w="2394" w:type="dxa"/>
            <w:tcBorders>
              <w:top w:val="none" w:sz="0" w:space="0" w:color="auto"/>
              <w:bottom w:val="none" w:sz="0" w:space="0" w:color="auto"/>
            </w:tcBorders>
            <w:vAlign w:val="center"/>
          </w:tcPr>
          <w:p w14:paraId="3321FC25" w14:textId="77777777" w:rsidR="00602297" w:rsidRPr="00105FFC" w:rsidRDefault="00602297" w:rsidP="00581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COHS Napa, Solano, and Yolo Only (P). Duals and Non Duals</w:t>
            </w:r>
          </w:p>
        </w:tc>
        <w:tc>
          <w:tcPr>
            <w:tcW w:w="2394" w:type="dxa"/>
            <w:tcBorders>
              <w:top w:val="none" w:sz="0" w:space="0" w:color="auto"/>
              <w:bottom w:val="none" w:sz="0" w:space="0" w:color="auto"/>
            </w:tcBorders>
            <w:vAlign w:val="center"/>
          </w:tcPr>
          <w:p w14:paraId="39D2E84A" w14:textId="77777777" w:rsidR="00602297" w:rsidRPr="00105FFC" w:rsidRDefault="00602297" w:rsidP="00581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GMC/Regional/2 Plan/Imperial. Non Duals (Duals are always Voluntary)</w:t>
            </w:r>
          </w:p>
        </w:tc>
        <w:tc>
          <w:tcPr>
            <w:tcW w:w="2394" w:type="dxa"/>
            <w:tcBorders>
              <w:top w:val="none" w:sz="0" w:space="0" w:color="auto"/>
              <w:bottom w:val="none" w:sz="0" w:space="0" w:color="auto"/>
            </w:tcBorders>
            <w:vAlign w:val="center"/>
          </w:tcPr>
          <w:p w14:paraId="6B263858" w14:textId="77777777" w:rsidR="00602297" w:rsidRPr="00105FFC" w:rsidRDefault="00602297" w:rsidP="00581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San Benito,  Duals and Non Duals</w:t>
            </w:r>
          </w:p>
        </w:tc>
      </w:tr>
      <w:tr w:rsidR="00602297" w:rsidRPr="00105FFC" w14:paraId="33FAF8E9" w14:textId="77777777" w:rsidTr="0000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14:paraId="765E99BF" w14:textId="77777777" w:rsidR="00602297" w:rsidRPr="00105FFC" w:rsidRDefault="00602297" w:rsidP="00581724">
            <w:pPr>
              <w:rPr>
                <w:rFonts w:asciiTheme="minorHAnsi" w:hAnsiTheme="minorHAnsi"/>
                <w:b w:val="0"/>
                <w:color w:val="000000"/>
                <w:sz w:val="22"/>
                <w:szCs w:val="22"/>
              </w:rPr>
            </w:pPr>
            <w:r w:rsidRPr="00105FFC">
              <w:rPr>
                <w:rFonts w:asciiTheme="minorHAnsi" w:hAnsiTheme="minorHAnsi"/>
                <w:b w:val="0"/>
                <w:color w:val="000000"/>
                <w:sz w:val="22"/>
                <w:szCs w:val="22"/>
              </w:rPr>
              <w:t xml:space="preserve">0A, 0M, 0N, 0P, 0R, 0T, 0U, 0W, 01, 02, 03, 04, 06, 07, 08, 1E, 1H, 10, 13, 14, 16, 17, 2E, 2H, 20, 23, 24, 26, 27, 3A, 3C, 3E, 3F, 3G, 3H, 3L, 3M, 3N, 3P, 3R, 3U, 3W, 30, 32, 33, 34, 35, 36, 37, 38, 39, 4A, 4F, 4G, 4H, 4K, 4L, 4M, 4N, 4S, 4T, 4W, 40, 42, 43, 45, 46, 47, 49, 5C, 5D, 5K, 53, 54, 59, 6A, 6C, 6E, 6G, 6H, 6J, 6N, 6P, 6R, 6V, 6W, 6X, 6Y, 60, 63, 64, 66, 67, 7A, 7J, 7S, 7U, 7W, 7X, 72, 8P, 8R, 81, 82, 83, 86, 87, E2, E5, E6, E7, H1, H2, H3, H4, H5, K1, L1, M1, M3, M5, M7, P5, P7, P9, T1, T2, T3, T4, T5 </w:t>
            </w:r>
          </w:p>
        </w:tc>
        <w:tc>
          <w:tcPr>
            <w:tcW w:w="2394" w:type="dxa"/>
            <w:vAlign w:val="center"/>
          </w:tcPr>
          <w:p w14:paraId="263D2E12" w14:textId="77777777" w:rsidR="00602297" w:rsidRPr="00105FFC" w:rsidRDefault="00602297" w:rsidP="005817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 xml:space="preserve">0A, 0M, 0N, 0P, 0R, 0T, 0U, 0W, 01, 02, 03, 04, 06, 07, 08, 1E, 1H, 10, 13, 14, 16, 17, 2E, 2H, 20, 23, 24, 26, 27, 3A, 3C, 3E, 3F, 3G, 3H, 3L, 3M, 3N, 3P, 3R, 3U, 3W, 30, 32, 33, 34, 35, 36, 37, 38, 39, 4A, 4F, 4G, 4H, 4K, 4L, 4M, 4N, 4S, 4T, 4W, 40, 42, 43, 45, 46, 47, 49, 5C, 5D, 5F, 5K, 53, 54, 55, 58, 59, 6A, 6C, 6E, 6G, 6H, 6J, 6N, 6P, 6R, 6V, 6W, 6X, 6Y, 60, 63, 64, 66, 67, 7A, 7J, 7S, 7U, 7W, 7X, 72, 8P, 8R, 81, 82, 83, 86, 87, C1, C2, C3, C4, C5, C6, C7, C8, C9, D1, D2, D3, D4, D5, D6, D7, D8, D9, E2, E5, E6, E7, H1, H2, H3, H4, H5, K1, L1, M1, M3, M5, M7, P5, P7, P9, T1, T2, T3, T4, T5 </w:t>
            </w:r>
          </w:p>
        </w:tc>
        <w:tc>
          <w:tcPr>
            <w:tcW w:w="2394" w:type="dxa"/>
            <w:vAlign w:val="center"/>
          </w:tcPr>
          <w:p w14:paraId="141D41C8" w14:textId="77777777" w:rsidR="00602297" w:rsidRPr="00105FFC" w:rsidRDefault="00602297" w:rsidP="005817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0A, 01, 02, 08, 1E, 1H, 10, 14, 16, 2E, 2H, 20, 24, 26, 3A, 3C, 3E, 3F, 3G, 3H, 3L, 3M, 3N, 3P, 3R, 3U, 3W, 30, 32, 33, 34, 35, 36, 38, 39, 47, 5C, 5D, 54, 59, 6A, 6C, 6E, 6G, 6H, 6J, 6N, 6P, 6V, 60, 64, 66, 7A, 7J, 7S, 7U, 7W, 7X, 72, 8P, 8R, 82, E2, E5, E6, E7, H1, H2, H3, H4, H5, K1, L1, M1, M3, M5, M7, P5, P7, P9, T1, T2, T3, T4, T5</w:t>
            </w:r>
          </w:p>
        </w:tc>
        <w:tc>
          <w:tcPr>
            <w:tcW w:w="2394" w:type="dxa"/>
            <w:vAlign w:val="center"/>
          </w:tcPr>
          <w:p w14:paraId="417155F2" w14:textId="77777777" w:rsidR="00602297" w:rsidRPr="00105FFC" w:rsidRDefault="00602297" w:rsidP="0058172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105FFC">
              <w:rPr>
                <w:rFonts w:asciiTheme="minorHAnsi" w:hAnsiTheme="minorHAnsi"/>
                <w:bCs/>
                <w:color w:val="000000"/>
                <w:sz w:val="22"/>
                <w:szCs w:val="22"/>
              </w:rPr>
              <w:t>No Mandatory Aid Codes in San Benito County</w:t>
            </w:r>
          </w:p>
        </w:tc>
      </w:tr>
    </w:tbl>
    <w:p w14:paraId="3E2BCDDF" w14:textId="77777777" w:rsidR="00602297" w:rsidRPr="00105FFC" w:rsidRDefault="00602297" w:rsidP="00602297">
      <w:pPr>
        <w:rPr>
          <w:rFonts w:asciiTheme="minorHAnsi" w:hAnsiTheme="minorHAnsi"/>
          <w:color w:val="000000"/>
          <w:sz w:val="16"/>
          <w:szCs w:val="16"/>
        </w:rPr>
      </w:pPr>
      <w:r w:rsidRPr="00105FFC">
        <w:rPr>
          <w:rFonts w:asciiTheme="minorHAnsi" w:hAnsiTheme="minorHAnsi" w:cs="Arial"/>
          <w:b/>
          <w:sz w:val="16"/>
          <w:szCs w:val="16"/>
        </w:rPr>
        <w:t xml:space="preserve">Source: </w:t>
      </w:r>
      <w:r w:rsidRPr="00105FFC">
        <w:rPr>
          <w:rFonts w:asciiTheme="minorHAnsi" w:hAnsiTheme="minorHAnsi"/>
          <w:color w:val="000000"/>
          <w:sz w:val="16"/>
          <w:szCs w:val="16"/>
        </w:rPr>
        <w:t xml:space="preserve">Managed Care Mandatory or Voluntary Enrollment Chart, Sept. 18, 2015 version. </w:t>
      </w:r>
    </w:p>
    <w:p w14:paraId="3185CBF0" w14:textId="77777777" w:rsidR="00602297" w:rsidRPr="00105FFC" w:rsidRDefault="00602297" w:rsidP="00602297">
      <w:pPr>
        <w:spacing w:after="200"/>
        <w:rPr>
          <w:rFonts w:asciiTheme="minorHAnsi" w:hAnsiTheme="minorHAnsi"/>
          <w:color w:val="000000"/>
          <w:sz w:val="16"/>
          <w:szCs w:val="16"/>
        </w:rPr>
      </w:pPr>
      <w:r w:rsidRPr="00105FFC">
        <w:rPr>
          <w:rFonts w:asciiTheme="minorHAnsi" w:hAnsiTheme="minorHAnsi"/>
          <w:b/>
          <w:color w:val="000000"/>
          <w:sz w:val="16"/>
          <w:szCs w:val="16"/>
        </w:rPr>
        <w:t xml:space="preserve">Note: </w:t>
      </w:r>
      <w:r w:rsidRPr="00105FFC">
        <w:rPr>
          <w:rFonts w:asciiTheme="minorHAnsi" w:hAnsiTheme="minorHAnsi"/>
          <w:color w:val="000000"/>
          <w:sz w:val="16"/>
          <w:szCs w:val="16"/>
        </w:rPr>
        <w:t xml:space="preserve"> Aid Codes not included - 0E, 6S, 5H, 5M, G0, G5, J7, R1</w:t>
      </w:r>
    </w:p>
    <w:p w14:paraId="74ED8D8D" w14:textId="77777777" w:rsidR="00602297" w:rsidRPr="00105FFC" w:rsidRDefault="005A1332" w:rsidP="005A1332">
      <w:pPr>
        <w:pStyle w:val="Caption"/>
        <w:spacing w:after="0"/>
        <w:rPr>
          <w:rFonts w:asciiTheme="minorHAnsi" w:eastAsiaTheme="minorHAnsi" w:hAnsiTheme="minorHAnsi" w:cstheme="minorBidi"/>
          <w:b w:val="0"/>
          <w:color w:val="auto"/>
          <w:sz w:val="20"/>
          <w:szCs w:val="20"/>
        </w:rPr>
      </w:pPr>
      <w:bookmarkStart w:id="566" w:name="_Toc458783160"/>
      <w:bookmarkStart w:id="567" w:name="_Toc459285205"/>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60</w:t>
      </w:r>
      <w:r w:rsidRPr="00105FFC">
        <w:rPr>
          <w:rFonts w:asciiTheme="minorHAnsi" w:hAnsiTheme="minorHAnsi"/>
          <w:color w:val="auto"/>
          <w:sz w:val="20"/>
          <w:szCs w:val="20"/>
        </w:rPr>
        <w:fldChar w:fldCharType="end"/>
      </w:r>
      <w:r w:rsidR="00602297" w:rsidRPr="00105FFC">
        <w:rPr>
          <w:rFonts w:asciiTheme="minorHAnsi" w:eastAsiaTheme="minorHAnsi" w:hAnsiTheme="minorHAnsi" w:cstheme="minorBidi"/>
          <w:b w:val="0"/>
          <w:color w:val="auto"/>
          <w:sz w:val="20"/>
          <w:szCs w:val="20"/>
        </w:rPr>
        <w:t xml:space="preserve">: </w:t>
      </w:r>
      <w:r w:rsidR="00A70146" w:rsidRPr="00105FFC">
        <w:rPr>
          <w:rFonts w:asciiTheme="minorHAnsi" w:eastAsiaTheme="minorHAnsi" w:hAnsiTheme="minorHAnsi" w:cstheme="minorBidi"/>
          <w:b w:val="0"/>
          <w:color w:val="auto"/>
          <w:sz w:val="20"/>
          <w:szCs w:val="20"/>
        </w:rPr>
        <w:t xml:space="preserve">Voluntary - Beneficiaries May Choose to Stay in FFS - </w:t>
      </w:r>
      <w:r w:rsidR="00602297" w:rsidRPr="00105FFC">
        <w:rPr>
          <w:rFonts w:asciiTheme="minorHAnsi" w:eastAsiaTheme="minorHAnsi" w:hAnsiTheme="minorHAnsi" w:cstheme="minorBidi"/>
          <w:b w:val="0"/>
          <w:color w:val="auto"/>
          <w:sz w:val="20"/>
          <w:szCs w:val="20"/>
        </w:rPr>
        <w:t>Aid Codes in 2015 by Delivery Type, County, and Dual Status</w:t>
      </w:r>
      <w:bookmarkEnd w:id="566"/>
      <w:bookmarkEnd w:id="567"/>
      <w:r w:rsidR="00602297" w:rsidRPr="00105FFC">
        <w:rPr>
          <w:rFonts w:asciiTheme="minorHAnsi" w:eastAsiaTheme="minorHAnsi" w:hAnsiTheme="minorHAnsi" w:cstheme="minorBidi"/>
          <w:b w:val="0"/>
          <w:color w:val="auto"/>
          <w:sz w:val="20"/>
          <w:szCs w:val="20"/>
        </w:rPr>
        <w:t xml:space="preserve"> </w:t>
      </w:r>
    </w:p>
    <w:tbl>
      <w:tblPr>
        <w:tblStyle w:val="MediumList1-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94"/>
        <w:gridCol w:w="2394"/>
        <w:gridCol w:w="2394"/>
        <w:gridCol w:w="2394"/>
      </w:tblGrid>
      <w:tr w:rsidR="00602297" w:rsidRPr="00105FFC" w14:paraId="6CEF1FC6" w14:textId="77777777" w:rsidTr="00073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bottom w:val="none" w:sz="0" w:space="0" w:color="auto"/>
            </w:tcBorders>
            <w:vAlign w:val="center"/>
          </w:tcPr>
          <w:p w14:paraId="585C527B" w14:textId="77777777" w:rsidR="00602297" w:rsidRPr="00105FFC" w:rsidRDefault="00602297" w:rsidP="005A1332">
            <w:pPr>
              <w:jc w:val="center"/>
              <w:rPr>
                <w:rFonts w:asciiTheme="minorHAnsi" w:hAnsiTheme="minorHAnsi"/>
                <w:bCs w:val="0"/>
                <w:color w:val="000000"/>
                <w:sz w:val="22"/>
                <w:szCs w:val="22"/>
              </w:rPr>
            </w:pPr>
            <w:r w:rsidRPr="00105FFC">
              <w:rPr>
                <w:rFonts w:asciiTheme="minorHAnsi" w:hAnsiTheme="minorHAnsi"/>
                <w:bCs w:val="0"/>
                <w:color w:val="000000"/>
                <w:sz w:val="22"/>
                <w:szCs w:val="22"/>
              </w:rPr>
              <w:t>COHS. Duals and Non Duals</w:t>
            </w:r>
          </w:p>
        </w:tc>
        <w:tc>
          <w:tcPr>
            <w:tcW w:w="2394" w:type="dxa"/>
            <w:tcBorders>
              <w:top w:val="none" w:sz="0" w:space="0" w:color="auto"/>
              <w:bottom w:val="none" w:sz="0" w:space="0" w:color="auto"/>
            </w:tcBorders>
            <w:vAlign w:val="center"/>
          </w:tcPr>
          <w:p w14:paraId="68D5270D" w14:textId="77777777" w:rsidR="00602297" w:rsidRPr="00105FFC" w:rsidRDefault="00602297" w:rsidP="005A13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GMC/Regional/2 Plan/Imperial,  Voluntary for Duals (D)</w:t>
            </w:r>
          </w:p>
        </w:tc>
        <w:tc>
          <w:tcPr>
            <w:tcW w:w="2394" w:type="dxa"/>
            <w:tcBorders>
              <w:top w:val="none" w:sz="0" w:space="0" w:color="auto"/>
              <w:bottom w:val="none" w:sz="0" w:space="0" w:color="auto"/>
            </w:tcBorders>
            <w:vAlign w:val="center"/>
          </w:tcPr>
          <w:p w14:paraId="54480CEA" w14:textId="77777777" w:rsidR="00602297" w:rsidRPr="00105FFC" w:rsidRDefault="00602297" w:rsidP="005A13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GMC/Regional/2 Plan/Imperial,  Voluntary for Non Duals</w:t>
            </w:r>
          </w:p>
        </w:tc>
        <w:tc>
          <w:tcPr>
            <w:tcW w:w="2394" w:type="dxa"/>
            <w:tcBorders>
              <w:top w:val="none" w:sz="0" w:space="0" w:color="auto"/>
              <w:bottom w:val="none" w:sz="0" w:space="0" w:color="auto"/>
            </w:tcBorders>
            <w:vAlign w:val="center"/>
          </w:tcPr>
          <w:p w14:paraId="6B245C20" w14:textId="77777777" w:rsidR="00602297" w:rsidRPr="00105FFC" w:rsidRDefault="00602297" w:rsidP="005A13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San Benito,  Duals and Non Duals</w:t>
            </w:r>
          </w:p>
        </w:tc>
      </w:tr>
      <w:tr w:rsidR="00602297" w:rsidRPr="00105FFC" w14:paraId="72442DFB" w14:textId="77777777" w:rsidTr="005A1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14:paraId="2CA2DB5A" w14:textId="77777777" w:rsidR="00602297" w:rsidRPr="00105FFC" w:rsidRDefault="00602297" w:rsidP="005A1332">
            <w:pPr>
              <w:jc w:val="center"/>
              <w:rPr>
                <w:rFonts w:asciiTheme="minorHAnsi" w:hAnsiTheme="minorHAnsi"/>
                <w:b w:val="0"/>
                <w:bCs w:val="0"/>
                <w:color w:val="000000"/>
                <w:sz w:val="22"/>
                <w:szCs w:val="22"/>
              </w:rPr>
            </w:pPr>
            <w:r w:rsidRPr="00105FFC">
              <w:rPr>
                <w:rFonts w:asciiTheme="minorHAnsi" w:hAnsiTheme="minorHAnsi"/>
                <w:b w:val="0"/>
                <w:bCs w:val="0"/>
                <w:color w:val="000000"/>
                <w:sz w:val="22"/>
                <w:szCs w:val="22"/>
              </w:rPr>
              <w:t>No Voluntary Aid Codes in COHS counties.</w:t>
            </w:r>
          </w:p>
        </w:tc>
        <w:tc>
          <w:tcPr>
            <w:tcW w:w="2394" w:type="dxa"/>
            <w:vAlign w:val="center"/>
          </w:tcPr>
          <w:p w14:paraId="7EC5DF3D" w14:textId="77777777" w:rsidR="00602297" w:rsidRPr="00105FFC" w:rsidRDefault="00602297" w:rsidP="005A13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0A, 0N, 0P, 0W, 01, 02, 03, 04, 06, 07, 08, 1E, 1H, 10, 14, 16, 2E, 2H, 20, 24, 26, 3A, 3C, 3E, 3F, 3G, 3H, 3L, 3M, 3N, 3P, 3R, 3U, 3W, 30, 32, 33, 34, 35, 36, 38, 39, 4A, 4F, 4G, 4H, 4K, 4L, 4M, 4N, 4S, 4T, 4W, 40, 42, 43, 45, 46, 47, 49, 5C, 5D, 5K, 54, 59, 6A, 6C, 6E, 6G, 6H, 6J, 6N, 6P, 6V, 60, 64, 66, 7A, 7J, 7S, 7U, 7W, 7X, 72, 8P, 8R, 82, 86, 87, E2, E5, E6, E7, H1, H2, H3, H4, H5, K1, L1, M1, M3, M5, M7, P5, P7, P9, T1, T2, T3, T4, T5</w:t>
            </w:r>
          </w:p>
        </w:tc>
        <w:tc>
          <w:tcPr>
            <w:tcW w:w="2394" w:type="dxa"/>
            <w:vAlign w:val="center"/>
          </w:tcPr>
          <w:p w14:paraId="0812154F" w14:textId="77777777" w:rsidR="00602297" w:rsidRPr="00105FFC" w:rsidRDefault="00602297" w:rsidP="005A13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0N, 0P, 0W, 03, 04, 06, 07, 4A, 4F, 4G, 4H, 4K, 4L, 4M, 4N, 4S, 4T, 4W, 40, 42, 43, 45, 46, 49, 5K, 86, 87</w:t>
            </w:r>
          </w:p>
        </w:tc>
        <w:tc>
          <w:tcPr>
            <w:tcW w:w="2394" w:type="dxa"/>
            <w:vAlign w:val="center"/>
          </w:tcPr>
          <w:p w14:paraId="38C82BC6" w14:textId="77777777" w:rsidR="00602297" w:rsidRPr="00105FFC" w:rsidRDefault="00602297" w:rsidP="005A13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0A, 0N, 0P, 0W, 01, 02, 03, 04, 06, 07, 08, 09, 1E, 1H, 10, 14, 16, 2E, 2H, 20, 24, 26, 3A, 3C, 3E, 3F, 3G, 3H, 3L, 3M, 3N, 3P, 3R, 3U, 3W, 30, 32, 33, 34, 35, 36, 38, 39, 4A, 4F, 4G, 4H, 4K, 4L, 4M, 4N, 4S, 4T, 4W, 40, 42, 43, 45, 46, 47, 49, 5C, 5D, 5K, 54, 59, 6A, 6C, 6E, 6G, 6H, 6J, 6N, 6P, 6V, 60, 64, 66, 7A, 7J, 7S, 7U, 7W, 7X, 72, 8P, 8R, 82, 86, E2, E5, E6, E7, H1, H2, H3, H4, H5, K1, L1, M1, M3, M5, M7, P5, P7, P9, T1, T2, T3, T4, T5</w:t>
            </w:r>
          </w:p>
        </w:tc>
      </w:tr>
    </w:tbl>
    <w:p w14:paraId="3CA4FB55" w14:textId="77777777" w:rsidR="00602297" w:rsidRPr="00105FFC" w:rsidRDefault="00602297" w:rsidP="00602297">
      <w:pPr>
        <w:rPr>
          <w:rFonts w:asciiTheme="minorHAnsi" w:hAnsiTheme="minorHAnsi"/>
          <w:color w:val="000000"/>
          <w:sz w:val="16"/>
          <w:szCs w:val="16"/>
        </w:rPr>
      </w:pPr>
      <w:r w:rsidRPr="00105FFC">
        <w:rPr>
          <w:rFonts w:asciiTheme="minorHAnsi" w:hAnsiTheme="minorHAnsi" w:cs="Arial"/>
          <w:b/>
          <w:sz w:val="16"/>
          <w:szCs w:val="16"/>
        </w:rPr>
        <w:t xml:space="preserve">Source: </w:t>
      </w:r>
      <w:r w:rsidRPr="00105FFC">
        <w:rPr>
          <w:rFonts w:asciiTheme="minorHAnsi" w:hAnsiTheme="minorHAnsi"/>
          <w:color w:val="000000"/>
          <w:sz w:val="16"/>
          <w:szCs w:val="16"/>
        </w:rPr>
        <w:t xml:space="preserve">Managed Care Mandatory or Voluntary Enrollment Chart, Sept. 18, 2015 version. </w:t>
      </w:r>
    </w:p>
    <w:p w14:paraId="204ABD2E" w14:textId="77777777" w:rsidR="00602297" w:rsidRPr="00105FFC" w:rsidRDefault="00602297" w:rsidP="00602297">
      <w:pPr>
        <w:spacing w:after="200"/>
        <w:rPr>
          <w:rFonts w:asciiTheme="minorHAnsi" w:hAnsiTheme="minorHAnsi"/>
          <w:color w:val="000000"/>
          <w:sz w:val="16"/>
          <w:szCs w:val="16"/>
        </w:rPr>
      </w:pPr>
      <w:r w:rsidRPr="00105FFC">
        <w:rPr>
          <w:rFonts w:asciiTheme="minorHAnsi" w:hAnsiTheme="minorHAnsi"/>
          <w:b/>
          <w:color w:val="000000"/>
          <w:sz w:val="16"/>
          <w:szCs w:val="16"/>
        </w:rPr>
        <w:t xml:space="preserve">Note: </w:t>
      </w:r>
      <w:r w:rsidRPr="00105FFC">
        <w:rPr>
          <w:rFonts w:asciiTheme="minorHAnsi" w:hAnsiTheme="minorHAnsi"/>
          <w:color w:val="000000"/>
          <w:sz w:val="16"/>
          <w:szCs w:val="16"/>
        </w:rPr>
        <w:t xml:space="preserve"> Aid Codes not included - 0E, 6S, 5H, 5M, G0, G5, J7, R1</w:t>
      </w:r>
    </w:p>
    <w:p w14:paraId="6E484442" w14:textId="77777777" w:rsidR="00B373FD" w:rsidRPr="00105FFC" w:rsidRDefault="00B373FD">
      <w:pPr>
        <w:spacing w:after="200" w:line="276" w:lineRule="auto"/>
        <w:rPr>
          <w:rFonts w:asciiTheme="minorHAnsi" w:eastAsiaTheme="minorHAnsi" w:hAnsiTheme="minorHAnsi" w:cstheme="minorBidi"/>
          <w:b/>
          <w:sz w:val="20"/>
          <w:szCs w:val="20"/>
        </w:rPr>
      </w:pPr>
      <w:r w:rsidRPr="00105FFC">
        <w:rPr>
          <w:rFonts w:asciiTheme="minorHAnsi" w:eastAsiaTheme="minorHAnsi" w:hAnsiTheme="minorHAnsi" w:cstheme="minorBidi"/>
          <w:b/>
          <w:sz w:val="20"/>
          <w:szCs w:val="20"/>
        </w:rPr>
        <w:br w:type="page"/>
      </w:r>
    </w:p>
    <w:p w14:paraId="656F7ACE" w14:textId="77777777" w:rsidR="00602297" w:rsidRPr="00105FFC" w:rsidRDefault="00B373FD" w:rsidP="00B373FD">
      <w:pPr>
        <w:pStyle w:val="Caption"/>
        <w:spacing w:after="0"/>
        <w:rPr>
          <w:rFonts w:asciiTheme="minorHAnsi" w:eastAsiaTheme="minorHAnsi" w:hAnsiTheme="minorHAnsi" w:cstheme="minorBidi"/>
          <w:b w:val="0"/>
          <w:color w:val="auto"/>
          <w:sz w:val="20"/>
          <w:szCs w:val="20"/>
        </w:rPr>
      </w:pPr>
      <w:bookmarkStart w:id="568" w:name="_Toc458783161"/>
      <w:bookmarkStart w:id="569" w:name="_Toc459285206"/>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61</w:t>
      </w:r>
      <w:r w:rsidRPr="00105FFC">
        <w:rPr>
          <w:rFonts w:asciiTheme="minorHAnsi" w:hAnsiTheme="minorHAnsi"/>
          <w:color w:val="auto"/>
          <w:sz w:val="20"/>
          <w:szCs w:val="20"/>
        </w:rPr>
        <w:fldChar w:fldCharType="end"/>
      </w:r>
      <w:r w:rsidR="00602297" w:rsidRPr="00105FFC">
        <w:rPr>
          <w:rFonts w:asciiTheme="minorHAnsi" w:eastAsiaTheme="minorHAnsi" w:hAnsiTheme="minorHAnsi" w:cstheme="minorBidi"/>
          <w:b w:val="0"/>
          <w:color w:val="auto"/>
          <w:sz w:val="20"/>
          <w:szCs w:val="20"/>
        </w:rPr>
        <w:t xml:space="preserve">: </w:t>
      </w:r>
      <w:r w:rsidR="001E5163" w:rsidRPr="00105FFC">
        <w:rPr>
          <w:rFonts w:asciiTheme="minorHAnsi" w:eastAsiaTheme="minorHAnsi" w:hAnsiTheme="minorHAnsi" w:cstheme="minorBidi"/>
          <w:b w:val="0"/>
          <w:color w:val="auto"/>
          <w:sz w:val="20"/>
          <w:szCs w:val="20"/>
        </w:rPr>
        <w:t>FFS</w:t>
      </w:r>
      <w:r w:rsidRPr="00105FFC">
        <w:rPr>
          <w:rFonts w:asciiTheme="minorHAnsi" w:eastAsiaTheme="minorHAnsi" w:hAnsiTheme="minorHAnsi" w:cstheme="minorBidi"/>
          <w:b w:val="0"/>
          <w:color w:val="auto"/>
          <w:sz w:val="20"/>
          <w:szCs w:val="20"/>
        </w:rPr>
        <w:t xml:space="preserve"> Only</w:t>
      </w:r>
      <w:r w:rsidR="001E5163" w:rsidRPr="00105FFC">
        <w:rPr>
          <w:rFonts w:asciiTheme="minorHAnsi" w:eastAsiaTheme="minorHAnsi" w:hAnsiTheme="minorHAnsi" w:cstheme="minorBidi"/>
          <w:b w:val="0"/>
          <w:color w:val="auto"/>
          <w:sz w:val="20"/>
          <w:szCs w:val="20"/>
        </w:rPr>
        <w:t xml:space="preserve"> – Beneficiaries are not able to Enroll in Managed Care Plans - </w:t>
      </w:r>
      <w:r w:rsidR="00602297" w:rsidRPr="00105FFC">
        <w:rPr>
          <w:rFonts w:asciiTheme="minorHAnsi" w:eastAsiaTheme="minorHAnsi" w:hAnsiTheme="minorHAnsi" w:cstheme="minorBidi"/>
          <w:b w:val="0"/>
          <w:color w:val="auto"/>
          <w:sz w:val="20"/>
          <w:szCs w:val="20"/>
        </w:rPr>
        <w:t>Aid Codes in 2015 by Delivery Type, County, and Dual Status</w:t>
      </w:r>
      <w:bookmarkEnd w:id="568"/>
      <w:bookmarkEnd w:id="569"/>
      <w:r w:rsidR="00602297" w:rsidRPr="00105FFC">
        <w:rPr>
          <w:rFonts w:asciiTheme="minorHAnsi" w:eastAsiaTheme="minorHAnsi" w:hAnsiTheme="minorHAnsi" w:cstheme="minorBidi"/>
          <w:b w:val="0"/>
          <w:color w:val="auto"/>
          <w:sz w:val="20"/>
          <w:szCs w:val="20"/>
        </w:rPr>
        <w:t xml:space="preserve"> </w:t>
      </w:r>
    </w:p>
    <w:tbl>
      <w:tblPr>
        <w:tblStyle w:val="MediumList1-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94"/>
        <w:gridCol w:w="2394"/>
        <w:gridCol w:w="2394"/>
        <w:gridCol w:w="2394"/>
      </w:tblGrid>
      <w:tr w:rsidR="00602297" w:rsidRPr="00105FFC" w14:paraId="02798FAB" w14:textId="77777777" w:rsidTr="000739E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bottom w:val="none" w:sz="0" w:space="0" w:color="auto"/>
            </w:tcBorders>
            <w:vAlign w:val="center"/>
          </w:tcPr>
          <w:p w14:paraId="00C72128" w14:textId="77777777" w:rsidR="00602297" w:rsidRPr="00105FFC" w:rsidRDefault="00602297" w:rsidP="00B373FD">
            <w:pPr>
              <w:jc w:val="center"/>
              <w:rPr>
                <w:rFonts w:asciiTheme="minorHAnsi" w:hAnsiTheme="minorHAnsi"/>
                <w:bCs w:val="0"/>
                <w:color w:val="000000"/>
                <w:sz w:val="22"/>
                <w:szCs w:val="22"/>
              </w:rPr>
            </w:pPr>
            <w:r w:rsidRPr="00105FFC">
              <w:rPr>
                <w:rFonts w:asciiTheme="minorHAnsi" w:hAnsiTheme="minorHAnsi"/>
                <w:bCs w:val="0"/>
                <w:color w:val="000000"/>
                <w:sz w:val="22"/>
                <w:szCs w:val="22"/>
              </w:rPr>
              <w:t>COHS excluding Napa Solano and Yolo. Duals and Non Duals</w:t>
            </w:r>
          </w:p>
        </w:tc>
        <w:tc>
          <w:tcPr>
            <w:tcW w:w="2394" w:type="dxa"/>
            <w:tcBorders>
              <w:top w:val="none" w:sz="0" w:space="0" w:color="auto"/>
              <w:bottom w:val="none" w:sz="0" w:space="0" w:color="auto"/>
            </w:tcBorders>
            <w:vAlign w:val="center"/>
          </w:tcPr>
          <w:p w14:paraId="724FB9B8" w14:textId="77777777" w:rsidR="00602297" w:rsidRPr="00105FFC" w:rsidRDefault="00602297" w:rsidP="00B373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COHS Napa, Solano, and Yolo Only (P). Duals and Non Duals</w:t>
            </w:r>
          </w:p>
        </w:tc>
        <w:tc>
          <w:tcPr>
            <w:tcW w:w="2394" w:type="dxa"/>
            <w:tcBorders>
              <w:top w:val="none" w:sz="0" w:space="0" w:color="auto"/>
              <w:bottom w:val="none" w:sz="0" w:space="0" w:color="auto"/>
            </w:tcBorders>
            <w:vAlign w:val="center"/>
          </w:tcPr>
          <w:p w14:paraId="7794BEE7" w14:textId="77777777" w:rsidR="00602297" w:rsidRPr="00105FFC" w:rsidRDefault="00602297" w:rsidP="00B373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GMC/Regional/2 Plan/Imperial. Duals and Non Duals</w:t>
            </w:r>
          </w:p>
        </w:tc>
        <w:tc>
          <w:tcPr>
            <w:tcW w:w="2394" w:type="dxa"/>
            <w:tcBorders>
              <w:top w:val="none" w:sz="0" w:space="0" w:color="auto"/>
              <w:bottom w:val="none" w:sz="0" w:space="0" w:color="auto"/>
            </w:tcBorders>
            <w:vAlign w:val="center"/>
          </w:tcPr>
          <w:p w14:paraId="206CA16D" w14:textId="77777777" w:rsidR="00602297" w:rsidRPr="00105FFC" w:rsidRDefault="00602297" w:rsidP="00B373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San Benito. Duals and Non Duals</w:t>
            </w:r>
          </w:p>
        </w:tc>
      </w:tr>
      <w:tr w:rsidR="00602297" w:rsidRPr="00105FFC" w14:paraId="3E06ABD3" w14:textId="77777777" w:rsidTr="00B373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94" w:type="dxa"/>
            <w:vAlign w:val="center"/>
          </w:tcPr>
          <w:p w14:paraId="0C894806" w14:textId="77777777" w:rsidR="00602297" w:rsidRPr="00105FFC" w:rsidRDefault="00602297" w:rsidP="00B373FD">
            <w:pPr>
              <w:jc w:val="center"/>
              <w:rPr>
                <w:rFonts w:asciiTheme="minorHAnsi" w:hAnsiTheme="minorHAnsi"/>
                <w:b w:val="0"/>
                <w:color w:val="000000"/>
                <w:sz w:val="22"/>
                <w:szCs w:val="22"/>
              </w:rPr>
            </w:pPr>
            <w:r w:rsidRPr="00105FFC">
              <w:rPr>
                <w:rFonts w:asciiTheme="minorHAnsi" w:hAnsiTheme="minorHAnsi"/>
                <w:b w:val="0"/>
                <w:color w:val="000000"/>
                <w:sz w:val="22"/>
                <w:szCs w:val="22"/>
              </w:rPr>
              <w:t>0C, 0D, 0L, 0V, 0X, 0Y, 1U, 1X, 1Y, 18, 2A, 2V, 28, 3D, 3T, 3V, 4C, 4E, 4V, 44, 48, 5E, 5F, 5G, 5J, 5N, 5R, 5T, 5V, 5W, 5X, 50, 55, 58, 6U, 65, 68, 69, 7C, 7F, 7G, 7H, 7K, 7M, 7N, 7P, 7R, 7T, 7V, 71, 73, 74, 76, 77, 8E, 8F, 8G, 8H, 8N, 8T, 8U, 8V, 8W, 8X, 8Y, 80, 84, 85, 88, 89, 9A, 9H, 9J, 9K, 9L, 9M, 9N, 9P, 9R, 9U, 9V, C1, C2, C3, C4, C5, C6, C7, C8, C9, D1, D2, D3, D4, D5, D6, D7, D8, D9, E1, E4, F1, F2, F3, F4, G1, G2, G3, G4, G9, H6, H7, H8, H9, H0, J1, J2, M2, M4, M6, M8, M9, M0, N5, N6, N7, N8, N9, N0, P1, P2, P3, P4, P6, P8, P0, T6, T7, T8, T9, T0</w:t>
            </w:r>
          </w:p>
        </w:tc>
        <w:tc>
          <w:tcPr>
            <w:tcW w:w="2394" w:type="dxa"/>
            <w:vAlign w:val="center"/>
          </w:tcPr>
          <w:p w14:paraId="099CCACD" w14:textId="77777777" w:rsidR="00602297" w:rsidRPr="00105FFC" w:rsidRDefault="00602297" w:rsidP="00B373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0C, 0D, 0L, 0V, 0X, 0Y, 1U, 1X, 1Y, 18, 2A, 2V, 28, 3D, 3T, 3V, 4C, 4E, 4V, 44, 48, 5E, 5G, 5J, 5N, 5R, 5T, 5V, 5W, 5X, 50, 6U, 65, 68, 69, 7C, 7F, 7G, 7H, 7K, 7M, 7N, 7P, 7R, 7T, 7V, 71, 73, 74, 76, 77, 8E, 8F, 8G, 8H, 8N, 8T, 8U, 8V, 8W, 8X, 8Y, 80, 84, 85, 88, 89, 9A, 9H, 9J, 9K, 9L, 9M, 9N, 9P, 9R, 9U, 9V, E1, E4, F1, F2, F3, F4, G1, G2, G3, G4, G9, H6, H7, H8, H9, H0, J1, J2, M2, M4, M6, M8, M9, M0, N5, N6, N7, N8, N9, N0, P1, P2, P3, P4, P6, P8, P0, T6, T7, T8, T9, T0</w:t>
            </w:r>
          </w:p>
        </w:tc>
        <w:tc>
          <w:tcPr>
            <w:tcW w:w="2394" w:type="dxa"/>
            <w:vAlign w:val="center"/>
          </w:tcPr>
          <w:p w14:paraId="5F1CE2EB" w14:textId="77777777" w:rsidR="00602297" w:rsidRPr="00105FFC" w:rsidRDefault="00602297" w:rsidP="00B373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0C, 0D, 0L, 0M, 0R, 0T, 0U, 0V, 0X, 0Y, 1U, 1X, 1Y, 13, 17, 18, 2A, 2V, 23, 27, 28, 3D, 3T, 3V, 37, 4C, 4E, 4V, 44, 48, 5E, 5F, 5G, 5J, 5N, 5R, 5T, 5V, 5W, 5X, 50, 53, 55, 58, 6R, 6U, 6W, 6X, 6Y, 63, 65, 67, 68, 69, 7C, 7F, 7G, 7H, 7K, 7M, 7N, 7P, 7R, 7T, 7V, 71, 73, 74, 76, 77, 8E, 8F, 8G, 8H, 8N, 8T, 8U, 8V, 8W, 8X, 8Y, 80, 81, 83, 84, 85, 88, 89, 9A, 9H, 9J, 9K, 9L, 9M, 9N, 9P, 9R, 9U, 9V, C1, C2, C3, C4, C5, C6, C7, C8, C9, D1, D2, D3, D4, D5, D6, D7, D8, D9, E1, E4, F1, F2, F3, F4, G1, G2, G3, G4, G9, H6, H7, H8, H9, H0, J1, J2, M2, M4, M6, M8, M9, M0, N5, N6, N7, N8, N9, N0, P1, P2, P3, P4, P6, P8, P0, T6, T7, T8, T9, T0</w:t>
            </w:r>
          </w:p>
        </w:tc>
        <w:tc>
          <w:tcPr>
            <w:tcW w:w="2394" w:type="dxa"/>
            <w:vAlign w:val="center"/>
          </w:tcPr>
          <w:p w14:paraId="723A34C0" w14:textId="77777777" w:rsidR="00602297" w:rsidRPr="00105FFC" w:rsidRDefault="00602297" w:rsidP="00B373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0C, 0D, 0L, 0M, 0R, 0T, 0U, 0V, 0X, 0Y, 1U, 1X, 1Y, 13, 17, 18, 2A, 2V, 23, 27, 28, 3D, 3T, 3V, 37, 4C, 4E, 4V, 44, 48, 5E, 5F, 5G, 5J, 5N, 5R, 5T, 5V, 5W, 5X, 50, 53, 55, 58, 6R, 6U, 6W, 6X, 6Y, 63, 65, 67, 68, 69, 7C, 7F, 7G, 7H, 7K, 7M, 7N, 7P, 7R, 7T, 7V, 71, 73, 74, 76, 77, 8E, 8F, 8G, 8H, 8N, 8T, 8U, 8V, 8W, 8X, 8Y, 80, 81, 83, 84, 85, 87, 88, 89, 9A, 9H, 9J, 9K, 9L, 9M, 9N, 9P, 9R, 9U, 9V, C1, C2, C3, C4, C5, C6, C7, C8, C9, D1, D2, D3, D4, D5, D6, D7, D8, D9, E1, E4, F1, F2, F3, F4, G1, G2, G3, G4, G9, H6, H7, H8, H9, H0, J1, J2, M2, M4, M6, M8, M9, M0, N5, N6, N7, N8, N9, N0, P1, P2, P3, P4, P6, P8, P0, T6, T7, T8, T9, T0</w:t>
            </w:r>
          </w:p>
        </w:tc>
      </w:tr>
    </w:tbl>
    <w:p w14:paraId="20FAA415" w14:textId="77777777" w:rsidR="00602297" w:rsidRPr="00105FFC" w:rsidRDefault="00602297" w:rsidP="00602297">
      <w:pPr>
        <w:rPr>
          <w:rFonts w:asciiTheme="minorHAnsi" w:hAnsiTheme="minorHAnsi"/>
          <w:color w:val="000000"/>
          <w:sz w:val="16"/>
          <w:szCs w:val="16"/>
        </w:rPr>
      </w:pPr>
      <w:r w:rsidRPr="00105FFC">
        <w:rPr>
          <w:rFonts w:asciiTheme="minorHAnsi" w:hAnsiTheme="minorHAnsi" w:cs="Arial"/>
          <w:b/>
          <w:sz w:val="16"/>
          <w:szCs w:val="16"/>
        </w:rPr>
        <w:t xml:space="preserve">Source: </w:t>
      </w:r>
      <w:r w:rsidRPr="00105FFC">
        <w:rPr>
          <w:rFonts w:asciiTheme="minorHAnsi" w:hAnsiTheme="minorHAnsi"/>
          <w:color w:val="000000"/>
          <w:sz w:val="16"/>
          <w:szCs w:val="16"/>
        </w:rPr>
        <w:t xml:space="preserve">Managed Care Mandatory or Voluntary Enrollment Chart, Sept. 18, 2015 version. </w:t>
      </w:r>
    </w:p>
    <w:p w14:paraId="4A7578B8" w14:textId="77777777" w:rsidR="001E5163" w:rsidRPr="00105FFC" w:rsidRDefault="00602297" w:rsidP="00602297">
      <w:pPr>
        <w:spacing w:after="200"/>
        <w:rPr>
          <w:rFonts w:asciiTheme="minorHAnsi" w:hAnsiTheme="minorHAnsi"/>
          <w:color w:val="000000"/>
          <w:sz w:val="16"/>
          <w:szCs w:val="16"/>
        </w:rPr>
      </w:pPr>
      <w:r w:rsidRPr="00105FFC">
        <w:rPr>
          <w:rFonts w:asciiTheme="minorHAnsi" w:hAnsiTheme="minorHAnsi"/>
          <w:b/>
          <w:color w:val="000000"/>
          <w:sz w:val="16"/>
          <w:szCs w:val="16"/>
        </w:rPr>
        <w:t xml:space="preserve">Note: </w:t>
      </w:r>
      <w:r w:rsidRPr="00105FFC">
        <w:rPr>
          <w:rFonts w:asciiTheme="minorHAnsi" w:hAnsiTheme="minorHAnsi"/>
          <w:color w:val="000000"/>
          <w:sz w:val="16"/>
          <w:szCs w:val="16"/>
        </w:rPr>
        <w:t xml:space="preserve"> Aid Codes not included - 0E, 6S, 5H, 5M, G0, G5, J7, R1</w:t>
      </w:r>
    </w:p>
    <w:p w14:paraId="17A50270" w14:textId="77777777" w:rsidR="001E5163" w:rsidRPr="00105FFC" w:rsidRDefault="001E5163" w:rsidP="001E5163">
      <w:pPr>
        <w:rPr>
          <w:rFonts w:asciiTheme="minorHAnsi" w:hAnsiTheme="minorHAnsi"/>
        </w:rPr>
      </w:pPr>
      <w:r w:rsidRPr="00105FFC">
        <w:rPr>
          <w:rFonts w:asciiTheme="minorHAnsi" w:hAnsiTheme="minorHAnsi"/>
        </w:rPr>
        <w:br w:type="page"/>
      </w:r>
    </w:p>
    <w:p w14:paraId="305B4321" w14:textId="77777777" w:rsidR="00FE7D00" w:rsidRPr="00105FFC" w:rsidRDefault="00EF2A6D" w:rsidP="00EF2A6D">
      <w:pPr>
        <w:pStyle w:val="Heading1"/>
        <w:spacing w:before="0" w:after="120" w:line="276" w:lineRule="auto"/>
        <w:rPr>
          <w:color w:val="auto"/>
        </w:rPr>
      </w:pPr>
      <w:bookmarkStart w:id="570" w:name="_Appendix_II_–"/>
      <w:bookmarkStart w:id="571" w:name="_Toc459287800"/>
      <w:bookmarkEnd w:id="570"/>
      <w:r w:rsidRPr="00105FFC">
        <w:rPr>
          <w:color w:val="auto"/>
        </w:rPr>
        <w:t xml:space="preserve">Appendix D: </w:t>
      </w:r>
      <w:r w:rsidR="00FE7D00" w:rsidRPr="00105FFC">
        <w:rPr>
          <w:color w:val="auto"/>
        </w:rPr>
        <w:t xml:space="preserve">Aid Code </w:t>
      </w:r>
      <w:r w:rsidR="00316360" w:rsidRPr="00105FFC">
        <w:rPr>
          <w:color w:val="auto"/>
        </w:rPr>
        <w:t>Categories</w:t>
      </w:r>
      <w:bookmarkEnd w:id="571"/>
    </w:p>
    <w:p w14:paraId="382B048F" w14:textId="77777777" w:rsidR="00FE7D00" w:rsidRPr="00105FFC" w:rsidRDefault="00316360" w:rsidP="00316360">
      <w:pPr>
        <w:pStyle w:val="Caption"/>
        <w:spacing w:after="0"/>
        <w:rPr>
          <w:rFonts w:asciiTheme="minorHAnsi" w:eastAsiaTheme="minorHAnsi" w:hAnsiTheme="minorHAnsi" w:cstheme="minorBidi"/>
          <w:b w:val="0"/>
          <w:color w:val="auto"/>
          <w:sz w:val="20"/>
          <w:szCs w:val="20"/>
        </w:rPr>
      </w:pPr>
      <w:bookmarkStart w:id="572" w:name="_Toc458783162"/>
      <w:bookmarkStart w:id="573" w:name="_Toc459285207"/>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62</w:t>
      </w:r>
      <w:r w:rsidRPr="00105FFC">
        <w:rPr>
          <w:rFonts w:asciiTheme="minorHAnsi" w:hAnsiTheme="minorHAnsi"/>
          <w:color w:val="auto"/>
          <w:sz w:val="20"/>
          <w:szCs w:val="20"/>
        </w:rPr>
        <w:fldChar w:fldCharType="end"/>
      </w:r>
      <w:r w:rsidRPr="00105FFC">
        <w:rPr>
          <w:rFonts w:asciiTheme="minorHAnsi" w:hAnsiTheme="minorHAnsi"/>
          <w:color w:val="auto"/>
          <w:sz w:val="20"/>
          <w:szCs w:val="20"/>
        </w:rPr>
        <w:t>:</w:t>
      </w:r>
      <w:r w:rsidR="00FE7D00" w:rsidRPr="00105FFC">
        <w:rPr>
          <w:rFonts w:asciiTheme="minorHAnsi" w:eastAsiaTheme="minorHAnsi" w:hAnsiTheme="minorHAnsi" w:cstheme="minorBidi"/>
          <w:b w:val="0"/>
          <w:color w:val="auto"/>
          <w:sz w:val="20"/>
          <w:szCs w:val="20"/>
        </w:rPr>
        <w:t xml:space="preserve"> Aid Code Grouping Schema</w:t>
      </w:r>
      <w:bookmarkEnd w:id="572"/>
      <w:bookmarkEnd w:id="573"/>
    </w:p>
    <w:tbl>
      <w:tblPr>
        <w:tblStyle w:val="MediumList1-Accent1"/>
        <w:tblW w:w="92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0"/>
        <w:gridCol w:w="6460"/>
      </w:tblGrid>
      <w:tr w:rsidR="00FE7D00" w:rsidRPr="00105FFC" w14:paraId="1287F7D4" w14:textId="77777777" w:rsidTr="000739EB">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2800" w:type="dxa"/>
            <w:tcBorders>
              <w:top w:val="none" w:sz="0" w:space="0" w:color="auto"/>
              <w:bottom w:val="none" w:sz="0" w:space="0" w:color="auto"/>
            </w:tcBorders>
            <w:vAlign w:val="center"/>
            <w:hideMark/>
          </w:tcPr>
          <w:p w14:paraId="655AA4EF" w14:textId="77777777" w:rsidR="00FE7D00" w:rsidRPr="00105FFC" w:rsidRDefault="00FE7D00" w:rsidP="00D82233">
            <w:pPr>
              <w:jc w:val="center"/>
              <w:rPr>
                <w:rFonts w:asciiTheme="minorHAnsi" w:hAnsiTheme="minorHAnsi"/>
                <w:bCs w:val="0"/>
                <w:color w:val="000000"/>
                <w:sz w:val="22"/>
                <w:szCs w:val="22"/>
              </w:rPr>
            </w:pPr>
            <w:r w:rsidRPr="00105FFC">
              <w:rPr>
                <w:rFonts w:asciiTheme="minorHAnsi" w:hAnsiTheme="minorHAnsi"/>
                <w:bCs w:val="0"/>
                <w:color w:val="000000"/>
                <w:sz w:val="22"/>
                <w:szCs w:val="22"/>
              </w:rPr>
              <w:t>Category</w:t>
            </w:r>
          </w:p>
        </w:tc>
        <w:tc>
          <w:tcPr>
            <w:tcW w:w="6460" w:type="dxa"/>
            <w:tcBorders>
              <w:top w:val="none" w:sz="0" w:space="0" w:color="auto"/>
              <w:bottom w:val="none" w:sz="0" w:space="0" w:color="auto"/>
            </w:tcBorders>
            <w:vAlign w:val="center"/>
            <w:hideMark/>
          </w:tcPr>
          <w:p w14:paraId="61764D7F" w14:textId="77777777" w:rsidR="00FE7D00" w:rsidRPr="00105FFC" w:rsidRDefault="00FE7D00" w:rsidP="00D8223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Aid Code</w:t>
            </w:r>
          </w:p>
        </w:tc>
      </w:tr>
      <w:tr w:rsidR="00FE7D00" w:rsidRPr="00105FFC" w14:paraId="7FBA708B" w14:textId="77777777" w:rsidTr="00D82233">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800" w:type="dxa"/>
            <w:vAlign w:val="center"/>
          </w:tcPr>
          <w:p w14:paraId="053B28B5"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Dual Eligible</w:t>
            </w:r>
          </w:p>
        </w:tc>
        <w:tc>
          <w:tcPr>
            <w:tcW w:w="6460" w:type="dxa"/>
            <w:vAlign w:val="center"/>
          </w:tcPr>
          <w:p w14:paraId="49954D11" w14:textId="77777777" w:rsidR="00FE7D00" w:rsidRPr="00105FFC" w:rsidRDefault="00FE7D00" w:rsidP="00D8223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This group consists of those also enrolled in Medicare, therefore, can be any aid code</w:t>
            </w:r>
          </w:p>
        </w:tc>
      </w:tr>
      <w:tr w:rsidR="00FE7D00" w:rsidRPr="00105FFC" w14:paraId="7319861F" w14:textId="77777777" w:rsidTr="00D82233">
        <w:trPr>
          <w:trHeight w:val="845"/>
        </w:trPr>
        <w:tc>
          <w:tcPr>
            <w:cnfStyle w:val="001000000000" w:firstRow="0" w:lastRow="0" w:firstColumn="1" w:lastColumn="0" w:oddVBand="0" w:evenVBand="0" w:oddHBand="0" w:evenHBand="0" w:firstRowFirstColumn="0" w:firstRowLastColumn="0" w:lastRowFirstColumn="0" w:lastRowLastColumn="0"/>
            <w:tcW w:w="2800" w:type="dxa"/>
            <w:vAlign w:val="center"/>
            <w:hideMark/>
          </w:tcPr>
          <w:p w14:paraId="2E7C8FDD"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ACA Expansion Adult Age 19 to 64</w:t>
            </w:r>
          </w:p>
        </w:tc>
        <w:tc>
          <w:tcPr>
            <w:tcW w:w="6460" w:type="dxa"/>
            <w:vAlign w:val="center"/>
            <w:hideMark/>
          </w:tcPr>
          <w:p w14:paraId="7BA7E56D" w14:textId="77777777" w:rsidR="00FE7D00" w:rsidRPr="00105FFC" w:rsidRDefault="00FE7D00" w:rsidP="00D822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7U, L1, M1, P3</w:t>
            </w:r>
          </w:p>
        </w:tc>
      </w:tr>
      <w:tr w:rsidR="00FE7D00" w:rsidRPr="00105FFC" w14:paraId="7CD4E76E" w14:textId="77777777" w:rsidTr="00D82233">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800" w:type="dxa"/>
            <w:vAlign w:val="center"/>
            <w:hideMark/>
          </w:tcPr>
          <w:p w14:paraId="353B5976"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Adoption/Foster Care</w:t>
            </w:r>
          </w:p>
        </w:tc>
        <w:tc>
          <w:tcPr>
            <w:tcW w:w="6460" w:type="dxa"/>
            <w:vAlign w:val="center"/>
            <w:hideMark/>
          </w:tcPr>
          <w:p w14:paraId="40E3C3A2" w14:textId="77777777" w:rsidR="00FE7D00" w:rsidRPr="00105FFC" w:rsidRDefault="00FE7D00" w:rsidP="00D82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03, 04, 06, 07, 2P, 2S, 2T, 40, 42, 43, 45, 46, 49, 4A, 4E, 4F, 4G, 4H, 4L, 4M, 4N, 4S, 4T, 4W, 5K</w:t>
            </w:r>
          </w:p>
        </w:tc>
      </w:tr>
      <w:tr w:rsidR="00FE7D00" w:rsidRPr="00105FFC" w14:paraId="4F0E3DED" w14:textId="77777777" w:rsidTr="00D82233">
        <w:trPr>
          <w:trHeight w:val="1997"/>
        </w:trPr>
        <w:tc>
          <w:tcPr>
            <w:cnfStyle w:val="001000000000" w:firstRow="0" w:lastRow="0" w:firstColumn="1" w:lastColumn="0" w:oddVBand="0" w:evenVBand="0" w:oddHBand="0" w:evenHBand="0" w:firstRowFirstColumn="0" w:firstRowLastColumn="0" w:lastRowFirstColumn="0" w:lastRowLastColumn="0"/>
            <w:tcW w:w="2800" w:type="dxa"/>
            <w:vAlign w:val="center"/>
            <w:hideMark/>
          </w:tcPr>
          <w:p w14:paraId="0EBF4F0A"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Other</w:t>
            </w:r>
          </w:p>
        </w:tc>
        <w:tc>
          <w:tcPr>
            <w:tcW w:w="6460" w:type="dxa"/>
            <w:vAlign w:val="center"/>
            <w:hideMark/>
          </w:tcPr>
          <w:p w14:paraId="5C47F1A5" w14:textId="77777777" w:rsidR="00FE7D00" w:rsidRPr="00105FFC" w:rsidRDefault="00FE7D00" w:rsidP="00D822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01, 02, 08, 0A, 0L, 0M, 0N, 0P, 0R, 0T, 0U, 0V, 0W, 0X, 0Y, 2A, 2V, 44, 4K, 4V, 5V,  65, 71, 73, 76, 77, 7F, 7G, 7H, 7M, 7N, 7P, 7R, 7V, 81, 82, 83, 86, 87, 8E, 8W, 90, F1, F2, F3, F4, F5, F6, F7, F8, G0, G1, G2, G3, G4, G5, G6, G7, G8, G9, J1, J2, J3, J4, J5, J6, J7, J8, M9, N0, N5, N6, N7, N8, N9, R1</w:t>
            </w:r>
          </w:p>
        </w:tc>
      </w:tr>
      <w:tr w:rsidR="00FE7D00" w:rsidRPr="00105FFC" w14:paraId="52DDFE88" w14:textId="77777777" w:rsidTr="00D82233">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2800" w:type="dxa"/>
            <w:vAlign w:val="center"/>
          </w:tcPr>
          <w:p w14:paraId="706A9805"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Parent/Caretaker Relative/Child</w:t>
            </w:r>
          </w:p>
        </w:tc>
        <w:tc>
          <w:tcPr>
            <w:tcW w:w="6460" w:type="dxa"/>
            <w:vAlign w:val="center"/>
          </w:tcPr>
          <w:p w14:paraId="4456D960" w14:textId="77777777" w:rsidR="00FE7D00" w:rsidRPr="00105FFC" w:rsidRDefault="00FE7D00" w:rsidP="00D82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3N, 30, 32, 33, 34, 35, 37, 38, 39, 3A, 3C, 3D, 3E, 3F, 3G, 3H, 3L, 3M, 3P, 3R, 3U, 3W, 47, 5C, 5D, 5E, 5X, 54, 59, 6R, 7A, 7J, 7S, 7T, 7W, 7X, 72, 8P, 8R, 8U, 8V, 8X, E2, E6, E7, H0, H1, H2, H3, H4, H5, H6, H7, H8, H9, K1, L2, L4, M3, M5, P1, P2, P4, P5, P7, P9, T1, T2, T3, T4, T5</w:t>
            </w:r>
          </w:p>
        </w:tc>
      </w:tr>
      <w:tr w:rsidR="00FE7D00" w:rsidRPr="00105FFC" w14:paraId="53DF5844" w14:textId="77777777" w:rsidTr="00D82233">
        <w:trPr>
          <w:trHeight w:val="1365"/>
        </w:trPr>
        <w:tc>
          <w:tcPr>
            <w:cnfStyle w:val="001000000000" w:firstRow="0" w:lastRow="0" w:firstColumn="1" w:lastColumn="0" w:oddVBand="0" w:evenVBand="0" w:oddHBand="0" w:evenHBand="0" w:firstRowFirstColumn="0" w:firstRowLastColumn="0" w:lastRowFirstColumn="0" w:lastRowLastColumn="0"/>
            <w:tcW w:w="2800" w:type="dxa"/>
            <w:vAlign w:val="center"/>
            <w:hideMark/>
          </w:tcPr>
          <w:p w14:paraId="297A8C43"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Seniors and Persons with Disabilities</w:t>
            </w:r>
          </w:p>
        </w:tc>
        <w:tc>
          <w:tcPr>
            <w:tcW w:w="6460" w:type="dxa"/>
            <w:vAlign w:val="center"/>
            <w:hideMark/>
          </w:tcPr>
          <w:p w14:paraId="5D63AC8C" w14:textId="77777777" w:rsidR="00FE7D00" w:rsidRPr="00105FFC" w:rsidRDefault="00FE7D00" w:rsidP="00D822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10, 13, 14, 16, 17, 18, 1E, 1H, 1X, 1Y, 20, 23, 24, 26, 27, 28, 2E, 2H, 36, 53, 60, 63, 64, 66, 67, 68, 6A, 6C, 6E, 6G, 6H, 6J, 6N, 6P, 6S, 6V, 6W, 6X, 6Y, 8G</w:t>
            </w:r>
          </w:p>
        </w:tc>
      </w:tr>
      <w:tr w:rsidR="00FE7D00" w:rsidRPr="00105FFC" w14:paraId="253A4B94" w14:textId="77777777" w:rsidTr="00D82233">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2800" w:type="dxa"/>
            <w:vAlign w:val="center"/>
            <w:hideMark/>
          </w:tcPr>
          <w:p w14:paraId="3A4A07A3"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Undocumented</w:t>
            </w:r>
          </w:p>
        </w:tc>
        <w:tc>
          <w:tcPr>
            <w:tcW w:w="6460" w:type="dxa"/>
            <w:vAlign w:val="center"/>
            <w:hideMark/>
          </w:tcPr>
          <w:p w14:paraId="4513D760" w14:textId="77777777" w:rsidR="00FE7D00" w:rsidRPr="00105FFC" w:rsidRDefault="00FE7D00" w:rsidP="00D82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1U, 3T, 3V, 48, 55, 58, 5F, 5H, 5J, 5M, 5N, 5R, 5T, 5W, 5Y, 69, 6U, 70, 74, 7C, 7K, 8N, 8T, C1, C2, C3, C4, C5, C6, C7, C8, C9, D1, D2, D3, D4, D5, D6, D7, D8, D9, L3, L5, M0, M2, M4, M6, M8, P0, P6, P8, T0, T6, T7, T8, T9</w:t>
            </w:r>
          </w:p>
        </w:tc>
      </w:tr>
    </w:tbl>
    <w:p w14:paraId="48722E1A" w14:textId="77777777" w:rsidR="00FE7D00" w:rsidRPr="00105FFC" w:rsidRDefault="00FE7D00" w:rsidP="00FE7D00">
      <w:pPr>
        <w:spacing w:after="200" w:line="276" w:lineRule="auto"/>
        <w:rPr>
          <w:rFonts w:asciiTheme="minorHAnsi" w:eastAsiaTheme="minorHAnsi" w:hAnsiTheme="minorHAnsi" w:cstheme="minorBidi"/>
          <w:sz w:val="22"/>
          <w:szCs w:val="22"/>
        </w:rPr>
      </w:pPr>
    </w:p>
    <w:p w14:paraId="5F5F8445" w14:textId="77777777" w:rsidR="00FE7D00" w:rsidRPr="00105FFC" w:rsidRDefault="00FE7D00" w:rsidP="00FE7D00">
      <w:pPr>
        <w:spacing w:after="200" w:line="276" w:lineRule="auto"/>
        <w:rPr>
          <w:rFonts w:asciiTheme="minorHAnsi" w:eastAsiaTheme="minorHAnsi" w:hAnsiTheme="minorHAnsi" w:cstheme="minorBidi"/>
          <w:sz w:val="22"/>
          <w:szCs w:val="22"/>
        </w:rPr>
      </w:pPr>
      <w:r w:rsidRPr="00105FFC">
        <w:rPr>
          <w:rFonts w:asciiTheme="minorHAnsi" w:eastAsiaTheme="minorHAnsi" w:hAnsiTheme="minorHAnsi" w:cstheme="minorBidi"/>
          <w:sz w:val="22"/>
          <w:szCs w:val="22"/>
        </w:rPr>
        <w:br w:type="page"/>
      </w:r>
    </w:p>
    <w:p w14:paraId="6E622953" w14:textId="77777777" w:rsidR="00FE7D00" w:rsidRPr="00105FFC" w:rsidRDefault="00FE7D00" w:rsidP="00EF2A6D">
      <w:pPr>
        <w:pStyle w:val="Heading1"/>
        <w:spacing w:before="0" w:after="120" w:line="276" w:lineRule="auto"/>
        <w:rPr>
          <w:color w:val="auto"/>
        </w:rPr>
      </w:pPr>
      <w:bookmarkStart w:id="574" w:name="_Appendix_III_–"/>
      <w:bookmarkStart w:id="575" w:name="_Toc459287801"/>
      <w:bookmarkEnd w:id="574"/>
      <w:r w:rsidRPr="00105FFC">
        <w:rPr>
          <w:color w:val="auto"/>
        </w:rPr>
        <w:t>Append</w:t>
      </w:r>
      <w:r w:rsidR="00CF3B52" w:rsidRPr="00105FFC">
        <w:rPr>
          <w:color w:val="auto"/>
        </w:rPr>
        <w:t xml:space="preserve">ix </w:t>
      </w:r>
      <w:r w:rsidR="00EF2A6D" w:rsidRPr="00105FFC">
        <w:rPr>
          <w:color w:val="auto"/>
        </w:rPr>
        <w:t xml:space="preserve">E: </w:t>
      </w:r>
      <w:r w:rsidRPr="00105FFC">
        <w:rPr>
          <w:color w:val="auto"/>
        </w:rPr>
        <w:t xml:space="preserve">Geographic Region </w:t>
      </w:r>
      <w:r w:rsidR="00581724" w:rsidRPr="00105FFC">
        <w:rPr>
          <w:color w:val="auto"/>
        </w:rPr>
        <w:t>Categories</w:t>
      </w:r>
      <w:bookmarkEnd w:id="575"/>
    </w:p>
    <w:p w14:paraId="46D84253" w14:textId="77777777" w:rsidR="00FE7D00" w:rsidRPr="00105FFC" w:rsidRDefault="00581724" w:rsidP="00581724">
      <w:pPr>
        <w:pStyle w:val="Caption"/>
        <w:spacing w:after="0"/>
        <w:rPr>
          <w:rFonts w:asciiTheme="minorHAnsi" w:eastAsiaTheme="majorEastAsia" w:hAnsiTheme="minorHAnsi"/>
          <w:b w:val="0"/>
          <w:color w:val="auto"/>
          <w:sz w:val="20"/>
          <w:szCs w:val="20"/>
        </w:rPr>
      </w:pPr>
      <w:bookmarkStart w:id="576" w:name="_Toc458783163"/>
      <w:bookmarkStart w:id="577" w:name="_Toc459285208"/>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63</w:t>
      </w:r>
      <w:r w:rsidRPr="00105FFC">
        <w:rPr>
          <w:rFonts w:asciiTheme="minorHAnsi" w:hAnsiTheme="minorHAnsi"/>
          <w:color w:val="auto"/>
          <w:sz w:val="20"/>
          <w:szCs w:val="20"/>
        </w:rPr>
        <w:fldChar w:fldCharType="end"/>
      </w:r>
      <w:r w:rsidRPr="00105FFC">
        <w:rPr>
          <w:rFonts w:asciiTheme="minorHAnsi" w:hAnsiTheme="minorHAnsi"/>
          <w:color w:val="auto"/>
          <w:sz w:val="20"/>
          <w:szCs w:val="20"/>
        </w:rPr>
        <w:t>:</w:t>
      </w:r>
      <w:r w:rsidR="00FE7D00" w:rsidRPr="00105FFC">
        <w:rPr>
          <w:rFonts w:asciiTheme="minorHAnsi" w:eastAsiaTheme="majorEastAsia" w:hAnsiTheme="minorHAnsi"/>
          <w:color w:val="auto"/>
          <w:sz w:val="20"/>
          <w:szCs w:val="20"/>
        </w:rPr>
        <w:t xml:space="preserve"> </w:t>
      </w:r>
      <w:r w:rsidR="00FE7D00" w:rsidRPr="00105FFC">
        <w:rPr>
          <w:rFonts w:asciiTheme="minorHAnsi" w:eastAsiaTheme="majorEastAsia" w:hAnsiTheme="minorHAnsi"/>
          <w:b w:val="0"/>
          <w:color w:val="auto"/>
          <w:sz w:val="20"/>
          <w:szCs w:val="20"/>
        </w:rPr>
        <w:t>Geographic Region Grouping Schema</w:t>
      </w:r>
      <w:bookmarkEnd w:id="576"/>
      <w:bookmarkEnd w:id="577"/>
    </w:p>
    <w:tbl>
      <w:tblPr>
        <w:tblStyle w:val="MediumList1-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6384"/>
      </w:tblGrid>
      <w:tr w:rsidR="00FE7D00" w:rsidRPr="00105FFC" w14:paraId="01A5D4C5" w14:textId="77777777" w:rsidTr="000739EB">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bottom w:val="none" w:sz="0" w:space="0" w:color="auto"/>
            </w:tcBorders>
            <w:vAlign w:val="center"/>
          </w:tcPr>
          <w:p w14:paraId="717536A7" w14:textId="77777777" w:rsidR="00FE7D00" w:rsidRPr="00105FFC" w:rsidRDefault="00FE7D00" w:rsidP="00D82233">
            <w:pPr>
              <w:jc w:val="center"/>
              <w:rPr>
                <w:rFonts w:asciiTheme="minorHAnsi" w:hAnsiTheme="minorHAnsi"/>
                <w:bCs w:val="0"/>
                <w:color w:val="000000"/>
                <w:sz w:val="22"/>
                <w:szCs w:val="22"/>
              </w:rPr>
            </w:pPr>
            <w:r w:rsidRPr="00105FFC">
              <w:rPr>
                <w:rFonts w:asciiTheme="minorHAnsi" w:hAnsiTheme="minorHAnsi"/>
                <w:bCs w:val="0"/>
                <w:color w:val="000000"/>
                <w:sz w:val="22"/>
                <w:szCs w:val="22"/>
              </w:rPr>
              <w:t>Geographic Region</w:t>
            </w:r>
          </w:p>
        </w:tc>
        <w:tc>
          <w:tcPr>
            <w:tcW w:w="6384" w:type="dxa"/>
            <w:tcBorders>
              <w:top w:val="none" w:sz="0" w:space="0" w:color="auto"/>
              <w:bottom w:val="none" w:sz="0" w:space="0" w:color="auto"/>
            </w:tcBorders>
            <w:vAlign w:val="center"/>
          </w:tcPr>
          <w:p w14:paraId="38BE8FF7" w14:textId="77777777" w:rsidR="00FE7D00" w:rsidRPr="00105FFC" w:rsidRDefault="00FE7D00" w:rsidP="00D8223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Counties</w:t>
            </w:r>
          </w:p>
        </w:tc>
      </w:tr>
      <w:tr w:rsidR="00FE7D00" w:rsidRPr="00105FFC" w14:paraId="6263F545" w14:textId="77777777" w:rsidTr="00D8223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51E03B78"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Bay Area</w:t>
            </w:r>
          </w:p>
        </w:tc>
        <w:tc>
          <w:tcPr>
            <w:tcW w:w="6384" w:type="dxa"/>
            <w:vAlign w:val="center"/>
          </w:tcPr>
          <w:p w14:paraId="22564363" w14:textId="77777777" w:rsidR="00FE7D00" w:rsidRPr="00105FFC" w:rsidRDefault="00FE7D00" w:rsidP="00D82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Alameda, Contra Costa, Marin, Napa, San Francisco, San Mateo, Santa Clara, Solano, Sonoma</w:t>
            </w:r>
          </w:p>
        </w:tc>
      </w:tr>
      <w:tr w:rsidR="00FE7D00" w:rsidRPr="00105FFC" w14:paraId="277AFE2E" w14:textId="77777777" w:rsidTr="00D82233">
        <w:trPr>
          <w:trHeight w:val="620"/>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2FC53CC5"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Central Coast</w:t>
            </w:r>
          </w:p>
        </w:tc>
        <w:tc>
          <w:tcPr>
            <w:tcW w:w="6384" w:type="dxa"/>
            <w:vAlign w:val="center"/>
          </w:tcPr>
          <w:p w14:paraId="3CB93034" w14:textId="77777777" w:rsidR="00FE7D00" w:rsidRPr="00105FFC" w:rsidRDefault="00FE7D00" w:rsidP="00D822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Monterey, San Benito, San Luis Obispo, Santa Barbara, Santa Cruz, Ventura</w:t>
            </w:r>
          </w:p>
        </w:tc>
      </w:tr>
      <w:tr w:rsidR="00FE7D00" w:rsidRPr="00105FFC" w14:paraId="3D2D6E38" w14:textId="77777777" w:rsidTr="00D8223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475E289"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Central Valley</w:t>
            </w:r>
          </w:p>
        </w:tc>
        <w:tc>
          <w:tcPr>
            <w:tcW w:w="6384" w:type="dxa"/>
            <w:vAlign w:val="center"/>
          </w:tcPr>
          <w:p w14:paraId="2980619C" w14:textId="77777777" w:rsidR="00FE7D00" w:rsidRPr="00105FFC" w:rsidRDefault="00FE7D00" w:rsidP="00D82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Fresno, Kern, Kings, Madera, Merced, San Joaquin, Stanislaus, Tulare</w:t>
            </w:r>
          </w:p>
        </w:tc>
      </w:tr>
      <w:tr w:rsidR="00FE7D00" w:rsidRPr="00105FFC" w14:paraId="19711005" w14:textId="77777777" w:rsidTr="00D82233">
        <w:trPr>
          <w:trHeight w:val="350"/>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12EA3E4D"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Far North</w:t>
            </w:r>
          </w:p>
        </w:tc>
        <w:tc>
          <w:tcPr>
            <w:tcW w:w="6384" w:type="dxa"/>
            <w:vAlign w:val="center"/>
          </w:tcPr>
          <w:p w14:paraId="3F64CF4A" w14:textId="77777777" w:rsidR="00FE7D00" w:rsidRPr="00105FFC" w:rsidRDefault="00FE7D00" w:rsidP="00D822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Modoc, Shasta, Siskiyou, Trinity</w:t>
            </w:r>
          </w:p>
        </w:tc>
      </w:tr>
      <w:tr w:rsidR="00FE7D00" w:rsidRPr="00105FFC" w14:paraId="736010E2" w14:textId="77777777" w:rsidTr="00D8223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218043E5"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Los Angeles</w:t>
            </w:r>
          </w:p>
        </w:tc>
        <w:tc>
          <w:tcPr>
            <w:tcW w:w="6384" w:type="dxa"/>
            <w:vAlign w:val="center"/>
          </w:tcPr>
          <w:p w14:paraId="50B964E2" w14:textId="77777777" w:rsidR="00FE7D00" w:rsidRPr="00105FFC" w:rsidRDefault="00FE7D00" w:rsidP="00D82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Los Angeles</w:t>
            </w:r>
          </w:p>
        </w:tc>
      </w:tr>
      <w:tr w:rsidR="00FE7D00" w:rsidRPr="00105FFC" w14:paraId="1DB16CB1" w14:textId="77777777" w:rsidTr="00D82233">
        <w:trPr>
          <w:trHeight w:val="350"/>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4774A5B0"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North Coast</w:t>
            </w:r>
          </w:p>
        </w:tc>
        <w:tc>
          <w:tcPr>
            <w:tcW w:w="6384" w:type="dxa"/>
            <w:vAlign w:val="center"/>
          </w:tcPr>
          <w:p w14:paraId="610526E1" w14:textId="77777777" w:rsidR="00FE7D00" w:rsidRPr="00105FFC" w:rsidRDefault="00FE7D00" w:rsidP="00D822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Del Norte, Humboldt, Lake, Mendocino</w:t>
            </w:r>
          </w:p>
        </w:tc>
      </w:tr>
      <w:tr w:rsidR="00FE7D00" w:rsidRPr="00105FFC" w14:paraId="75768CF9" w14:textId="77777777" w:rsidTr="00D8223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AA38BCE"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Sacramento Valley</w:t>
            </w:r>
          </w:p>
        </w:tc>
        <w:tc>
          <w:tcPr>
            <w:tcW w:w="6384" w:type="dxa"/>
            <w:vAlign w:val="center"/>
          </w:tcPr>
          <w:p w14:paraId="2F373EF2" w14:textId="77777777" w:rsidR="00FE7D00" w:rsidRPr="00105FFC" w:rsidRDefault="00FE7D00" w:rsidP="00D82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Butte, Colusa, Glenn, Sacramento, Sutter, Tehama, Yolo, Yuba</w:t>
            </w:r>
          </w:p>
        </w:tc>
      </w:tr>
      <w:tr w:rsidR="00FE7D00" w:rsidRPr="00105FFC" w14:paraId="6AE6B878" w14:textId="77777777" w:rsidTr="00D82233">
        <w:trPr>
          <w:trHeight w:val="800"/>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600B1C19"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Sierra Range/Foothills</w:t>
            </w:r>
          </w:p>
        </w:tc>
        <w:tc>
          <w:tcPr>
            <w:tcW w:w="6384" w:type="dxa"/>
            <w:vAlign w:val="center"/>
          </w:tcPr>
          <w:p w14:paraId="2541DDCD" w14:textId="77777777" w:rsidR="00FE7D00" w:rsidRPr="00105FFC" w:rsidRDefault="00FE7D00" w:rsidP="00D822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Alpine, Amador, Calaveras, El Dorado, Inyo, Lassen, Mariposa, Mono, Nevada, Placer, Plumas, Sierra, Tuolumne</w:t>
            </w:r>
          </w:p>
        </w:tc>
      </w:tr>
      <w:tr w:rsidR="00FE7D00" w:rsidRPr="00105FFC" w14:paraId="4D5B35BF" w14:textId="77777777" w:rsidTr="00D8223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03FB9DF" w14:textId="77777777" w:rsidR="00FE7D00" w:rsidRPr="00105FFC" w:rsidRDefault="00FE7D00" w:rsidP="00D82233">
            <w:pPr>
              <w:jc w:val="center"/>
              <w:rPr>
                <w:rFonts w:asciiTheme="minorHAnsi" w:hAnsiTheme="minorHAnsi"/>
                <w:b w:val="0"/>
                <w:color w:val="000000"/>
                <w:sz w:val="22"/>
                <w:szCs w:val="22"/>
              </w:rPr>
            </w:pPr>
            <w:r w:rsidRPr="00105FFC">
              <w:rPr>
                <w:rFonts w:asciiTheme="minorHAnsi" w:hAnsiTheme="minorHAnsi"/>
                <w:b w:val="0"/>
                <w:color w:val="000000"/>
                <w:sz w:val="22"/>
                <w:szCs w:val="22"/>
              </w:rPr>
              <w:t>Southern California</w:t>
            </w:r>
          </w:p>
        </w:tc>
        <w:tc>
          <w:tcPr>
            <w:tcW w:w="6384" w:type="dxa"/>
            <w:vAlign w:val="center"/>
          </w:tcPr>
          <w:p w14:paraId="17CA779B" w14:textId="77777777" w:rsidR="00FE7D00" w:rsidRPr="00105FFC" w:rsidRDefault="00FE7D00" w:rsidP="00D82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Imperial, Oran</w:t>
            </w:r>
            <w:r w:rsidR="006F7144" w:rsidRPr="00105FFC">
              <w:rPr>
                <w:rFonts w:asciiTheme="minorHAnsi" w:hAnsiTheme="minorHAnsi"/>
                <w:color w:val="000000"/>
                <w:sz w:val="22"/>
                <w:szCs w:val="22"/>
              </w:rPr>
              <w:t>ge, Riverside, San Bernardino, S</w:t>
            </w:r>
            <w:r w:rsidRPr="00105FFC">
              <w:rPr>
                <w:rFonts w:asciiTheme="minorHAnsi" w:hAnsiTheme="minorHAnsi"/>
                <w:color w:val="000000"/>
                <w:sz w:val="22"/>
                <w:szCs w:val="22"/>
              </w:rPr>
              <w:t>an Diego</w:t>
            </w:r>
          </w:p>
        </w:tc>
      </w:tr>
    </w:tbl>
    <w:p w14:paraId="3F29C252" w14:textId="77777777" w:rsidR="00F93D43" w:rsidRPr="00105FFC" w:rsidRDefault="00F93D43">
      <w:pPr>
        <w:spacing w:after="200" w:line="276" w:lineRule="auto"/>
        <w:rPr>
          <w:rFonts w:asciiTheme="minorHAnsi" w:hAnsiTheme="minorHAnsi" w:cs="Arial"/>
        </w:rPr>
      </w:pPr>
    </w:p>
    <w:p w14:paraId="401086C6" w14:textId="77777777" w:rsidR="00F93D43" w:rsidRPr="00105FFC" w:rsidRDefault="00F93D43">
      <w:pPr>
        <w:spacing w:after="200" w:line="276" w:lineRule="auto"/>
        <w:rPr>
          <w:rFonts w:asciiTheme="minorHAnsi" w:hAnsiTheme="minorHAnsi" w:cs="Arial"/>
        </w:rPr>
      </w:pPr>
      <w:r w:rsidRPr="00105FFC">
        <w:rPr>
          <w:rFonts w:asciiTheme="minorHAnsi" w:hAnsiTheme="minorHAnsi" w:cs="Arial"/>
        </w:rPr>
        <w:br w:type="page"/>
      </w:r>
    </w:p>
    <w:p w14:paraId="550F429B" w14:textId="77777777" w:rsidR="00F93D43" w:rsidRPr="00105FFC" w:rsidRDefault="00F93D43" w:rsidP="00F93D43">
      <w:pPr>
        <w:pStyle w:val="Heading1"/>
        <w:spacing w:before="0" w:after="120" w:line="276" w:lineRule="auto"/>
        <w:rPr>
          <w:color w:val="auto"/>
        </w:rPr>
      </w:pPr>
      <w:bookmarkStart w:id="578" w:name="_Toc458177982"/>
      <w:bookmarkStart w:id="579" w:name="_Toc459287802"/>
      <w:r w:rsidRPr="00105FFC">
        <w:rPr>
          <w:color w:val="auto"/>
        </w:rPr>
        <w:t>Appendix F: Dental Services’ Geographic Region Categories</w:t>
      </w:r>
      <w:bookmarkEnd w:id="578"/>
      <w:bookmarkEnd w:id="579"/>
    </w:p>
    <w:p w14:paraId="457B04A2" w14:textId="77777777" w:rsidR="00F93D43" w:rsidRPr="00105FFC" w:rsidRDefault="00F93D43" w:rsidP="00F93D43">
      <w:pPr>
        <w:pStyle w:val="Caption"/>
        <w:spacing w:after="0"/>
        <w:rPr>
          <w:rFonts w:asciiTheme="minorHAnsi" w:eastAsiaTheme="majorEastAsia" w:hAnsiTheme="minorHAnsi"/>
          <w:b w:val="0"/>
          <w:color w:val="auto"/>
          <w:sz w:val="20"/>
          <w:szCs w:val="20"/>
        </w:rPr>
      </w:pPr>
      <w:bookmarkStart w:id="580" w:name="_Toc458178125"/>
      <w:bookmarkStart w:id="581" w:name="_Toc458783164"/>
      <w:bookmarkStart w:id="582" w:name="_Toc459285209"/>
      <w:r w:rsidRPr="00105FFC">
        <w:rPr>
          <w:rFonts w:asciiTheme="minorHAnsi" w:hAnsiTheme="minorHAnsi"/>
          <w:color w:val="auto"/>
        </w:rPr>
        <w:t xml:space="preserve">Table </w:t>
      </w:r>
      <w:r w:rsidRPr="00105FFC">
        <w:rPr>
          <w:rFonts w:asciiTheme="minorHAnsi" w:hAnsiTheme="minorHAnsi"/>
          <w:color w:val="auto"/>
        </w:rPr>
        <w:fldChar w:fldCharType="begin"/>
      </w:r>
      <w:r w:rsidRPr="00105FFC">
        <w:rPr>
          <w:rFonts w:asciiTheme="minorHAnsi" w:hAnsiTheme="minorHAnsi"/>
          <w:color w:val="auto"/>
        </w:rPr>
        <w:instrText xml:space="preserve"> SEQ Table \* ARABIC </w:instrText>
      </w:r>
      <w:r w:rsidRPr="00105FFC">
        <w:rPr>
          <w:rFonts w:asciiTheme="minorHAnsi" w:hAnsiTheme="minorHAnsi"/>
          <w:color w:val="auto"/>
        </w:rPr>
        <w:fldChar w:fldCharType="separate"/>
      </w:r>
      <w:r w:rsidR="00B04F0F">
        <w:rPr>
          <w:rFonts w:asciiTheme="minorHAnsi" w:hAnsiTheme="minorHAnsi"/>
          <w:noProof/>
          <w:color w:val="auto"/>
        </w:rPr>
        <w:t>64</w:t>
      </w:r>
      <w:r w:rsidRPr="00105FFC">
        <w:rPr>
          <w:rFonts w:asciiTheme="minorHAnsi" w:hAnsiTheme="minorHAnsi"/>
          <w:color w:val="auto"/>
        </w:rPr>
        <w:fldChar w:fldCharType="end"/>
      </w:r>
      <w:r w:rsidRPr="00105FFC">
        <w:rPr>
          <w:rFonts w:asciiTheme="minorHAnsi" w:hAnsiTheme="minorHAnsi"/>
          <w:color w:val="auto"/>
          <w:sz w:val="20"/>
          <w:szCs w:val="20"/>
        </w:rPr>
        <w:t>:</w:t>
      </w:r>
      <w:r w:rsidRPr="00105FFC">
        <w:rPr>
          <w:rFonts w:asciiTheme="minorHAnsi" w:eastAsiaTheme="majorEastAsia" w:hAnsiTheme="minorHAnsi"/>
          <w:color w:val="auto"/>
          <w:sz w:val="20"/>
          <w:szCs w:val="20"/>
        </w:rPr>
        <w:t xml:space="preserve"> </w:t>
      </w:r>
      <w:r w:rsidRPr="00105FFC">
        <w:rPr>
          <w:rFonts w:asciiTheme="minorHAnsi" w:eastAsiaTheme="majorEastAsia" w:hAnsiTheme="minorHAnsi"/>
          <w:b w:val="0"/>
          <w:color w:val="auto"/>
          <w:sz w:val="20"/>
          <w:szCs w:val="20"/>
        </w:rPr>
        <w:t>Dental Services’</w:t>
      </w:r>
      <w:r w:rsidRPr="00105FFC">
        <w:rPr>
          <w:rFonts w:asciiTheme="minorHAnsi" w:eastAsiaTheme="majorEastAsia" w:hAnsiTheme="minorHAnsi"/>
          <w:color w:val="auto"/>
          <w:sz w:val="20"/>
          <w:szCs w:val="20"/>
        </w:rPr>
        <w:t xml:space="preserve"> </w:t>
      </w:r>
      <w:r w:rsidRPr="00105FFC">
        <w:rPr>
          <w:rFonts w:asciiTheme="minorHAnsi" w:eastAsiaTheme="majorEastAsia" w:hAnsiTheme="minorHAnsi"/>
          <w:b w:val="0"/>
          <w:color w:val="auto"/>
          <w:sz w:val="20"/>
          <w:szCs w:val="20"/>
        </w:rPr>
        <w:t>Geographic Region Grouping Schema</w:t>
      </w:r>
      <w:bookmarkEnd w:id="580"/>
      <w:bookmarkEnd w:id="581"/>
      <w:bookmarkEnd w:id="582"/>
    </w:p>
    <w:tbl>
      <w:tblPr>
        <w:tblStyle w:val="MediumList1-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36"/>
        <w:gridCol w:w="6204"/>
      </w:tblGrid>
      <w:tr w:rsidR="00F93D43" w:rsidRPr="00105FFC" w14:paraId="23186898" w14:textId="77777777" w:rsidTr="000739EB">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3136" w:type="dxa"/>
            <w:tcBorders>
              <w:top w:val="none" w:sz="0" w:space="0" w:color="auto"/>
              <w:bottom w:val="none" w:sz="0" w:space="0" w:color="auto"/>
            </w:tcBorders>
            <w:vAlign w:val="center"/>
          </w:tcPr>
          <w:p w14:paraId="1B6D89E7" w14:textId="77777777" w:rsidR="00F93D43" w:rsidRPr="00105FFC" w:rsidRDefault="00F93D43" w:rsidP="00BF7E63">
            <w:pPr>
              <w:jc w:val="center"/>
              <w:rPr>
                <w:rFonts w:asciiTheme="minorHAnsi" w:hAnsiTheme="minorHAnsi"/>
                <w:bCs w:val="0"/>
                <w:color w:val="000000"/>
                <w:sz w:val="22"/>
                <w:szCs w:val="22"/>
              </w:rPr>
            </w:pPr>
            <w:r w:rsidRPr="00105FFC">
              <w:rPr>
                <w:rFonts w:asciiTheme="minorHAnsi" w:hAnsiTheme="minorHAnsi"/>
                <w:bCs w:val="0"/>
                <w:color w:val="000000"/>
                <w:sz w:val="22"/>
                <w:szCs w:val="22"/>
              </w:rPr>
              <w:t>Geographic Region</w:t>
            </w:r>
          </w:p>
        </w:tc>
        <w:tc>
          <w:tcPr>
            <w:tcW w:w="6204" w:type="dxa"/>
            <w:tcBorders>
              <w:top w:val="none" w:sz="0" w:space="0" w:color="auto"/>
              <w:bottom w:val="none" w:sz="0" w:space="0" w:color="auto"/>
            </w:tcBorders>
            <w:vAlign w:val="center"/>
          </w:tcPr>
          <w:p w14:paraId="54502E98" w14:textId="77777777" w:rsidR="00F93D43" w:rsidRPr="00105FFC" w:rsidRDefault="00F93D43" w:rsidP="00BF7E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105FFC">
              <w:rPr>
                <w:rFonts w:asciiTheme="minorHAnsi" w:hAnsiTheme="minorHAnsi"/>
                <w:b/>
                <w:bCs/>
                <w:color w:val="000000"/>
                <w:sz w:val="22"/>
                <w:szCs w:val="22"/>
              </w:rPr>
              <w:t>Counties</w:t>
            </w:r>
          </w:p>
        </w:tc>
      </w:tr>
      <w:tr w:rsidR="00F93D43" w:rsidRPr="00105FFC" w14:paraId="02C8F66B" w14:textId="77777777" w:rsidTr="00BF7E6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7A714DDB"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Alameda</w:t>
            </w:r>
          </w:p>
        </w:tc>
        <w:tc>
          <w:tcPr>
            <w:tcW w:w="6204" w:type="dxa"/>
            <w:vAlign w:val="center"/>
          </w:tcPr>
          <w:p w14:paraId="67C4C510" w14:textId="77777777" w:rsidR="00F93D43" w:rsidRPr="00105FFC" w:rsidRDefault="00F93D43" w:rsidP="00BF7E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Alameda</w:t>
            </w:r>
          </w:p>
        </w:tc>
      </w:tr>
      <w:tr w:rsidR="00F93D43" w:rsidRPr="00105FFC" w14:paraId="12FEC410" w14:textId="77777777" w:rsidTr="00BF7E63">
        <w:trPr>
          <w:trHeight w:val="62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72A22728"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Central Coast</w:t>
            </w:r>
          </w:p>
        </w:tc>
        <w:tc>
          <w:tcPr>
            <w:tcW w:w="6204" w:type="dxa"/>
            <w:vAlign w:val="center"/>
          </w:tcPr>
          <w:p w14:paraId="51C523E4" w14:textId="77777777" w:rsidR="00F93D43" w:rsidRPr="00105FFC" w:rsidRDefault="00F93D43" w:rsidP="00BF7E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 xml:space="preserve">Monterey, San Benito, Santa Cruz </w:t>
            </w:r>
          </w:p>
        </w:tc>
      </w:tr>
      <w:tr w:rsidR="00F93D43" w:rsidRPr="00105FFC" w14:paraId="5B1894A6" w14:textId="77777777" w:rsidTr="00BF7E6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52B4524F"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Central Valley</w:t>
            </w:r>
          </w:p>
        </w:tc>
        <w:tc>
          <w:tcPr>
            <w:tcW w:w="6204" w:type="dxa"/>
            <w:vAlign w:val="center"/>
          </w:tcPr>
          <w:p w14:paraId="6AC678E3" w14:textId="77777777" w:rsidR="00F93D43" w:rsidRPr="00105FFC" w:rsidRDefault="00F93D43" w:rsidP="00BF7E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Mariposa, Merced, San Joaquin, Stanislaus, Tulare</w:t>
            </w:r>
          </w:p>
        </w:tc>
      </w:tr>
      <w:tr w:rsidR="00F93D43" w:rsidRPr="00105FFC" w14:paraId="1C195D3F" w14:textId="77777777" w:rsidTr="00BF7E63">
        <w:trPr>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590B8BA1"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Contra Costa</w:t>
            </w:r>
          </w:p>
        </w:tc>
        <w:tc>
          <w:tcPr>
            <w:tcW w:w="6204" w:type="dxa"/>
            <w:vAlign w:val="center"/>
          </w:tcPr>
          <w:p w14:paraId="2AF88BD6" w14:textId="77777777" w:rsidR="00F93D43" w:rsidRPr="00105FFC" w:rsidRDefault="00F93D43" w:rsidP="00BF7E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Contra Costa</w:t>
            </w:r>
          </w:p>
        </w:tc>
      </w:tr>
      <w:tr w:rsidR="00F93D43" w:rsidRPr="00105FFC" w14:paraId="47AFF46B" w14:textId="77777777" w:rsidTr="00BF7E6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141AFED3"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Greater Fresno</w:t>
            </w:r>
          </w:p>
        </w:tc>
        <w:tc>
          <w:tcPr>
            <w:tcW w:w="6204" w:type="dxa"/>
            <w:vAlign w:val="center"/>
          </w:tcPr>
          <w:p w14:paraId="6AAE9C52" w14:textId="77777777" w:rsidR="00F93D43" w:rsidRPr="00105FFC" w:rsidRDefault="00F93D43" w:rsidP="00BF7E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Fresno, Kings, Madera</w:t>
            </w:r>
          </w:p>
        </w:tc>
      </w:tr>
      <w:tr w:rsidR="00F93D43" w:rsidRPr="00105FFC" w14:paraId="17E2E54E" w14:textId="77777777" w:rsidTr="00BF7E63">
        <w:trPr>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444085A9"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Greater Sacramento</w:t>
            </w:r>
          </w:p>
        </w:tc>
        <w:tc>
          <w:tcPr>
            <w:tcW w:w="6204" w:type="dxa"/>
            <w:vAlign w:val="center"/>
          </w:tcPr>
          <w:p w14:paraId="7A548799" w14:textId="77777777" w:rsidR="00F93D43" w:rsidRPr="00105FFC" w:rsidRDefault="00F93D43" w:rsidP="00BF7E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El Dorado, Placer, Sacramento, Yolo</w:t>
            </w:r>
          </w:p>
        </w:tc>
      </w:tr>
      <w:tr w:rsidR="00F93D43" w:rsidRPr="00105FFC" w14:paraId="2E6914D9" w14:textId="77777777" w:rsidTr="00BF7E6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7683AA63"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Inland Desert</w:t>
            </w:r>
          </w:p>
        </w:tc>
        <w:tc>
          <w:tcPr>
            <w:tcW w:w="6204" w:type="dxa"/>
            <w:vAlign w:val="center"/>
          </w:tcPr>
          <w:p w14:paraId="342C9BFD" w14:textId="77777777" w:rsidR="00F93D43" w:rsidRPr="00105FFC" w:rsidRDefault="00F93D43" w:rsidP="00BF7E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Imperial, Inyo, Mono</w:t>
            </w:r>
          </w:p>
        </w:tc>
      </w:tr>
      <w:tr w:rsidR="00F93D43" w:rsidRPr="00105FFC" w14:paraId="25795F08" w14:textId="77777777" w:rsidTr="00BF7E63">
        <w:trPr>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10519DCE"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Inland Empire</w:t>
            </w:r>
          </w:p>
        </w:tc>
        <w:tc>
          <w:tcPr>
            <w:tcW w:w="6204" w:type="dxa"/>
            <w:vAlign w:val="center"/>
          </w:tcPr>
          <w:p w14:paraId="261F9A90" w14:textId="77777777" w:rsidR="00F93D43" w:rsidRPr="00105FFC" w:rsidRDefault="00F93D43" w:rsidP="00BF7E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Riverside, San Bernardino</w:t>
            </w:r>
          </w:p>
        </w:tc>
      </w:tr>
      <w:tr w:rsidR="00F93D43" w:rsidRPr="00105FFC" w14:paraId="4756E152" w14:textId="77777777" w:rsidTr="00BF7E6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3C3F6BC8"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Kern</w:t>
            </w:r>
          </w:p>
        </w:tc>
        <w:tc>
          <w:tcPr>
            <w:tcW w:w="6204" w:type="dxa"/>
            <w:vAlign w:val="center"/>
          </w:tcPr>
          <w:p w14:paraId="6816A222" w14:textId="77777777" w:rsidR="00F93D43" w:rsidRPr="00105FFC" w:rsidRDefault="00F93D43" w:rsidP="00BF7E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Kern</w:t>
            </w:r>
          </w:p>
        </w:tc>
      </w:tr>
      <w:tr w:rsidR="00F93D43" w:rsidRPr="00105FFC" w14:paraId="44D8D9D0" w14:textId="77777777" w:rsidTr="00BF7E63">
        <w:trPr>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6B0EE100"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Los Angeles</w:t>
            </w:r>
          </w:p>
        </w:tc>
        <w:tc>
          <w:tcPr>
            <w:tcW w:w="6204" w:type="dxa"/>
            <w:vAlign w:val="center"/>
          </w:tcPr>
          <w:p w14:paraId="34DAB184" w14:textId="77777777" w:rsidR="00F93D43" w:rsidRPr="00105FFC" w:rsidRDefault="00F93D43" w:rsidP="00BF7E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Los Angeles</w:t>
            </w:r>
          </w:p>
        </w:tc>
      </w:tr>
      <w:tr w:rsidR="00F93D43" w:rsidRPr="00105FFC" w14:paraId="62D1C4CA" w14:textId="77777777" w:rsidTr="00BF7E6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4E28D7A1"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North Bay</w:t>
            </w:r>
          </w:p>
        </w:tc>
        <w:tc>
          <w:tcPr>
            <w:tcW w:w="6204" w:type="dxa"/>
            <w:vAlign w:val="center"/>
          </w:tcPr>
          <w:p w14:paraId="0FE517E1" w14:textId="77777777" w:rsidR="00F93D43" w:rsidRPr="00105FFC" w:rsidRDefault="00F93D43" w:rsidP="00BF7E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Marin, Napa, Solano, Sonoma</w:t>
            </w:r>
          </w:p>
        </w:tc>
      </w:tr>
      <w:tr w:rsidR="00F93D43" w:rsidRPr="00105FFC" w14:paraId="5BCC1ED2" w14:textId="77777777" w:rsidTr="00BF7E63">
        <w:trPr>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2477601D"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Northern</w:t>
            </w:r>
          </w:p>
        </w:tc>
        <w:tc>
          <w:tcPr>
            <w:tcW w:w="6204" w:type="dxa"/>
            <w:vAlign w:val="center"/>
          </w:tcPr>
          <w:p w14:paraId="12AEED23" w14:textId="77777777" w:rsidR="00F93D43" w:rsidRPr="00105FFC" w:rsidRDefault="00F93D43" w:rsidP="00BF7E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Alpine, Amador, Butte, Calaveras, Colusa, Del Norte, Glenn, Humboldt, Lake, Lassen, Mendocino, Modoc, Nevada, Plumas, Shasta, Sierra, Siskiyou, Sutter, Tehama, Trinity, Tuolumne, Yuba</w:t>
            </w:r>
          </w:p>
        </w:tc>
      </w:tr>
      <w:tr w:rsidR="00F93D43" w:rsidRPr="00105FFC" w14:paraId="6F64D0AE" w14:textId="77777777" w:rsidTr="00BF7E6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40C74697"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Orange</w:t>
            </w:r>
          </w:p>
        </w:tc>
        <w:tc>
          <w:tcPr>
            <w:tcW w:w="6204" w:type="dxa"/>
            <w:vAlign w:val="center"/>
          </w:tcPr>
          <w:p w14:paraId="37EBE2B3" w14:textId="77777777" w:rsidR="00F93D43" w:rsidRPr="00105FFC" w:rsidRDefault="00F93D43" w:rsidP="00BF7E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Orange</w:t>
            </w:r>
          </w:p>
        </w:tc>
      </w:tr>
      <w:tr w:rsidR="00F93D43" w:rsidRPr="00105FFC" w14:paraId="3F8C785F" w14:textId="77777777" w:rsidTr="00BF7E63">
        <w:trPr>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09A69362"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San Diego</w:t>
            </w:r>
          </w:p>
        </w:tc>
        <w:tc>
          <w:tcPr>
            <w:tcW w:w="6204" w:type="dxa"/>
            <w:vAlign w:val="center"/>
          </w:tcPr>
          <w:p w14:paraId="5670C6EE" w14:textId="77777777" w:rsidR="00F93D43" w:rsidRPr="00105FFC" w:rsidRDefault="00F93D43" w:rsidP="00BF7E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San Diego</w:t>
            </w:r>
          </w:p>
        </w:tc>
      </w:tr>
      <w:tr w:rsidR="00F93D43" w:rsidRPr="00105FFC" w14:paraId="29D3FF88" w14:textId="77777777" w:rsidTr="00BF7E6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0AF29B2C"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San Francisco</w:t>
            </w:r>
          </w:p>
        </w:tc>
        <w:tc>
          <w:tcPr>
            <w:tcW w:w="6204" w:type="dxa"/>
            <w:vAlign w:val="center"/>
          </w:tcPr>
          <w:p w14:paraId="1837A57A" w14:textId="77777777" w:rsidR="00F93D43" w:rsidRPr="00105FFC" w:rsidRDefault="00F93D43" w:rsidP="00BF7E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San Francisco</w:t>
            </w:r>
          </w:p>
        </w:tc>
      </w:tr>
      <w:tr w:rsidR="00F93D43" w:rsidRPr="00105FFC" w14:paraId="2CFA8E47" w14:textId="77777777" w:rsidTr="00BF7E63">
        <w:trPr>
          <w:trHeight w:val="62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44FEBF73"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San Mateo</w:t>
            </w:r>
          </w:p>
        </w:tc>
        <w:tc>
          <w:tcPr>
            <w:tcW w:w="6204" w:type="dxa"/>
            <w:vAlign w:val="center"/>
          </w:tcPr>
          <w:p w14:paraId="7C037DB5" w14:textId="77777777" w:rsidR="00F93D43" w:rsidRPr="00105FFC" w:rsidRDefault="00F93D43" w:rsidP="00BF7E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San Mateo</w:t>
            </w:r>
          </w:p>
        </w:tc>
      </w:tr>
      <w:tr w:rsidR="00F93D43" w:rsidRPr="00105FFC" w14:paraId="16B76291" w14:textId="77777777" w:rsidTr="00BF7E6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233107A5"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Santa Clara</w:t>
            </w:r>
          </w:p>
        </w:tc>
        <w:tc>
          <w:tcPr>
            <w:tcW w:w="6204" w:type="dxa"/>
            <w:vAlign w:val="center"/>
          </w:tcPr>
          <w:p w14:paraId="2AFF1438" w14:textId="77777777" w:rsidR="00F93D43" w:rsidRPr="00105FFC" w:rsidRDefault="00F93D43" w:rsidP="00BF7E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Santa Clara</w:t>
            </w:r>
          </w:p>
        </w:tc>
      </w:tr>
      <w:tr w:rsidR="00F93D43" w:rsidRPr="00105FFC" w14:paraId="366848F4" w14:textId="77777777" w:rsidTr="00BF7E63">
        <w:trPr>
          <w:trHeight w:val="620"/>
        </w:trPr>
        <w:tc>
          <w:tcPr>
            <w:cnfStyle w:val="001000000000" w:firstRow="0" w:lastRow="0" w:firstColumn="1" w:lastColumn="0" w:oddVBand="0" w:evenVBand="0" w:oddHBand="0" w:evenHBand="0" w:firstRowFirstColumn="0" w:firstRowLastColumn="0" w:lastRowFirstColumn="0" w:lastRowLastColumn="0"/>
            <w:tcW w:w="3136" w:type="dxa"/>
            <w:vAlign w:val="center"/>
          </w:tcPr>
          <w:p w14:paraId="144D0D53" w14:textId="77777777" w:rsidR="00F93D43" w:rsidRPr="00105FFC" w:rsidRDefault="00F93D43" w:rsidP="00BF7E63">
            <w:pPr>
              <w:jc w:val="center"/>
              <w:rPr>
                <w:rFonts w:asciiTheme="minorHAnsi" w:hAnsiTheme="minorHAnsi"/>
                <w:b w:val="0"/>
                <w:color w:val="000000"/>
                <w:sz w:val="22"/>
                <w:szCs w:val="22"/>
              </w:rPr>
            </w:pPr>
            <w:r w:rsidRPr="00105FFC">
              <w:rPr>
                <w:rFonts w:asciiTheme="minorHAnsi" w:hAnsiTheme="minorHAnsi"/>
                <w:b w:val="0"/>
                <w:color w:val="000000"/>
                <w:sz w:val="22"/>
                <w:szCs w:val="22"/>
              </w:rPr>
              <w:t>South Coast</w:t>
            </w:r>
          </w:p>
        </w:tc>
        <w:tc>
          <w:tcPr>
            <w:tcW w:w="6204" w:type="dxa"/>
            <w:vAlign w:val="center"/>
          </w:tcPr>
          <w:p w14:paraId="6B04E8EA" w14:textId="77777777" w:rsidR="00F93D43" w:rsidRPr="00105FFC" w:rsidRDefault="00F93D43" w:rsidP="00BF7E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105FFC">
              <w:rPr>
                <w:rFonts w:asciiTheme="minorHAnsi" w:hAnsiTheme="minorHAnsi"/>
                <w:color w:val="000000"/>
                <w:sz w:val="22"/>
                <w:szCs w:val="22"/>
              </w:rPr>
              <w:t>San Luis Obispo, Santa Barbara, Ventura</w:t>
            </w:r>
          </w:p>
        </w:tc>
      </w:tr>
    </w:tbl>
    <w:p w14:paraId="59C37A80" w14:textId="77777777" w:rsidR="00F93D43" w:rsidRPr="00105FFC" w:rsidRDefault="00F93D43" w:rsidP="00F93D43">
      <w:pPr>
        <w:spacing w:after="200" w:line="276" w:lineRule="auto"/>
        <w:rPr>
          <w:rFonts w:asciiTheme="minorHAnsi" w:hAnsiTheme="minorHAnsi" w:cs="Arial"/>
        </w:rPr>
      </w:pPr>
    </w:p>
    <w:p w14:paraId="3B3F73BE" w14:textId="77777777" w:rsidR="00F93D43" w:rsidRPr="00105FFC" w:rsidRDefault="00F93D43">
      <w:pPr>
        <w:spacing w:after="200" w:line="276" w:lineRule="auto"/>
        <w:rPr>
          <w:rFonts w:asciiTheme="minorHAnsi" w:hAnsiTheme="minorHAnsi" w:cs="Arial"/>
        </w:rPr>
      </w:pPr>
      <w:r w:rsidRPr="00105FFC">
        <w:rPr>
          <w:rFonts w:asciiTheme="minorHAnsi" w:hAnsiTheme="minorHAnsi" w:cs="Arial"/>
        </w:rPr>
        <w:br w:type="page"/>
      </w:r>
    </w:p>
    <w:p w14:paraId="0C480170" w14:textId="77777777" w:rsidR="00F93D43" w:rsidRPr="00105FFC" w:rsidRDefault="00F93D43" w:rsidP="00CD2A36">
      <w:pPr>
        <w:pStyle w:val="Heading1"/>
        <w:spacing w:before="0" w:line="276" w:lineRule="auto"/>
        <w:rPr>
          <w:color w:val="auto"/>
        </w:rPr>
      </w:pPr>
      <w:bookmarkStart w:id="583" w:name="_Toc459287803"/>
      <w:r w:rsidRPr="00105FFC">
        <w:rPr>
          <w:color w:val="auto"/>
        </w:rPr>
        <w:t xml:space="preserve">Appendix F: Dental Services’ </w:t>
      </w:r>
      <w:r w:rsidR="00CD2A36" w:rsidRPr="00105FFC">
        <w:rPr>
          <w:color w:val="auto"/>
        </w:rPr>
        <w:t>Procedure Code Descriptions</w:t>
      </w:r>
      <w:bookmarkEnd w:id="583"/>
    </w:p>
    <w:p w14:paraId="416BEF1E" w14:textId="77777777" w:rsidR="00CD2A36" w:rsidRPr="00105FFC" w:rsidRDefault="00CD2A36" w:rsidP="00CD2A36">
      <w:pPr>
        <w:pStyle w:val="Caption"/>
        <w:spacing w:after="0"/>
        <w:rPr>
          <w:rFonts w:asciiTheme="minorHAnsi" w:hAnsiTheme="minorHAnsi"/>
          <w:color w:val="auto"/>
        </w:rPr>
      </w:pPr>
    </w:p>
    <w:p w14:paraId="64C12C09" w14:textId="77777777" w:rsidR="00CD2A36" w:rsidRPr="00105FFC" w:rsidRDefault="00CD2A36" w:rsidP="00CD2A36">
      <w:pPr>
        <w:pStyle w:val="Caption"/>
        <w:spacing w:after="0"/>
        <w:rPr>
          <w:rFonts w:asciiTheme="minorHAnsi" w:eastAsiaTheme="majorEastAsia" w:hAnsiTheme="minorHAnsi"/>
          <w:b w:val="0"/>
          <w:color w:val="auto"/>
          <w:sz w:val="20"/>
          <w:szCs w:val="20"/>
        </w:rPr>
      </w:pPr>
      <w:bookmarkStart w:id="584" w:name="_Toc458783165"/>
      <w:bookmarkStart w:id="585" w:name="_Toc459285210"/>
      <w:r w:rsidRPr="00105FFC">
        <w:rPr>
          <w:rFonts w:asciiTheme="minorHAnsi" w:hAnsiTheme="minorHAnsi"/>
          <w:color w:val="auto"/>
          <w:sz w:val="20"/>
          <w:szCs w:val="20"/>
        </w:rPr>
        <w:t xml:space="preserve">Table </w:t>
      </w:r>
      <w:r w:rsidRPr="00105FFC">
        <w:rPr>
          <w:rFonts w:asciiTheme="minorHAnsi" w:hAnsiTheme="minorHAnsi"/>
          <w:color w:val="auto"/>
          <w:sz w:val="20"/>
          <w:szCs w:val="20"/>
        </w:rPr>
        <w:fldChar w:fldCharType="begin"/>
      </w:r>
      <w:r w:rsidRPr="00105FFC">
        <w:rPr>
          <w:rFonts w:asciiTheme="minorHAnsi" w:hAnsiTheme="minorHAnsi"/>
          <w:color w:val="auto"/>
          <w:sz w:val="20"/>
          <w:szCs w:val="20"/>
        </w:rPr>
        <w:instrText xml:space="preserve"> SEQ Table \* ARABIC </w:instrText>
      </w:r>
      <w:r w:rsidRPr="00105FFC">
        <w:rPr>
          <w:rFonts w:asciiTheme="minorHAnsi" w:hAnsiTheme="minorHAnsi"/>
          <w:color w:val="auto"/>
          <w:sz w:val="20"/>
          <w:szCs w:val="20"/>
        </w:rPr>
        <w:fldChar w:fldCharType="separate"/>
      </w:r>
      <w:r w:rsidR="00B04F0F">
        <w:rPr>
          <w:rFonts w:asciiTheme="minorHAnsi" w:hAnsiTheme="minorHAnsi"/>
          <w:noProof/>
          <w:color w:val="auto"/>
          <w:sz w:val="20"/>
          <w:szCs w:val="20"/>
        </w:rPr>
        <w:t>65</w:t>
      </w:r>
      <w:r w:rsidRPr="00105FFC">
        <w:rPr>
          <w:rFonts w:asciiTheme="minorHAnsi" w:hAnsiTheme="minorHAnsi"/>
          <w:color w:val="auto"/>
          <w:sz w:val="20"/>
          <w:szCs w:val="20"/>
        </w:rPr>
        <w:fldChar w:fldCharType="end"/>
      </w:r>
      <w:r w:rsidRPr="00105FFC">
        <w:rPr>
          <w:rFonts w:asciiTheme="minorHAnsi" w:hAnsiTheme="minorHAnsi"/>
          <w:color w:val="auto"/>
          <w:sz w:val="20"/>
          <w:szCs w:val="20"/>
        </w:rPr>
        <w:t>:</w:t>
      </w:r>
      <w:r w:rsidRPr="00105FFC">
        <w:rPr>
          <w:rFonts w:asciiTheme="minorHAnsi" w:eastAsiaTheme="majorEastAsia" w:hAnsiTheme="minorHAnsi"/>
          <w:color w:val="auto"/>
          <w:sz w:val="20"/>
          <w:szCs w:val="20"/>
        </w:rPr>
        <w:t xml:space="preserve"> </w:t>
      </w:r>
      <w:r w:rsidRPr="00105FFC">
        <w:rPr>
          <w:rFonts w:asciiTheme="minorHAnsi" w:eastAsiaTheme="majorEastAsia" w:hAnsiTheme="minorHAnsi"/>
          <w:b w:val="0"/>
          <w:color w:val="auto"/>
          <w:sz w:val="20"/>
          <w:szCs w:val="20"/>
        </w:rPr>
        <w:t>Dental Services’</w:t>
      </w:r>
      <w:r w:rsidRPr="00105FFC">
        <w:rPr>
          <w:rFonts w:asciiTheme="minorHAnsi" w:eastAsiaTheme="majorEastAsia" w:hAnsiTheme="minorHAnsi"/>
          <w:color w:val="auto"/>
          <w:sz w:val="20"/>
          <w:szCs w:val="20"/>
        </w:rPr>
        <w:t xml:space="preserve"> </w:t>
      </w:r>
      <w:r w:rsidRPr="00105FFC">
        <w:rPr>
          <w:rFonts w:asciiTheme="minorHAnsi" w:eastAsiaTheme="majorEastAsia" w:hAnsiTheme="minorHAnsi"/>
          <w:b w:val="0"/>
          <w:color w:val="auto"/>
          <w:sz w:val="20"/>
          <w:szCs w:val="20"/>
        </w:rPr>
        <w:t>Procedure Code Descriptions</w:t>
      </w:r>
      <w:bookmarkEnd w:id="584"/>
      <w:bookmarkEnd w:id="585"/>
    </w:p>
    <w:p w14:paraId="61C342D0" w14:textId="77777777" w:rsidR="00CF3B52" w:rsidRPr="00105FFC" w:rsidRDefault="00CD2A36">
      <w:pPr>
        <w:spacing w:after="200" w:line="276" w:lineRule="auto"/>
        <w:rPr>
          <w:rFonts w:asciiTheme="minorHAnsi" w:hAnsiTheme="minorHAnsi" w:cs="Arial"/>
        </w:rPr>
      </w:pPr>
      <w:r w:rsidRPr="00105FFC">
        <w:rPr>
          <w:rFonts w:asciiTheme="minorHAnsi" w:hAnsiTheme="minorHAnsi"/>
          <w:noProof/>
        </w:rPr>
        <w:drawing>
          <wp:inline distT="0" distB="0" distL="0" distR="0" wp14:anchorId="11ECCDFF" wp14:editId="44A76F07">
            <wp:extent cx="5942965" cy="4829175"/>
            <wp:effectExtent l="0" t="0" r="635" b="9525"/>
            <wp:docPr id="43" name="Picture 43" descr="cid:image003.png@01D1F14F.AC2D8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1F14F.AC2D85F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5944688" cy="4830575"/>
                    </a:xfrm>
                    <a:prstGeom prst="rect">
                      <a:avLst/>
                    </a:prstGeom>
                    <a:noFill/>
                    <a:ln>
                      <a:noFill/>
                    </a:ln>
                  </pic:spPr>
                </pic:pic>
              </a:graphicData>
            </a:graphic>
          </wp:inline>
        </w:drawing>
      </w:r>
    </w:p>
    <w:p w14:paraId="1AE714D5" w14:textId="77777777" w:rsidR="00EF2A6D" w:rsidRPr="00105FFC" w:rsidRDefault="00630E73" w:rsidP="00EF2A6D">
      <w:pPr>
        <w:pStyle w:val="Heading1"/>
        <w:spacing w:before="0" w:after="120" w:line="276" w:lineRule="auto"/>
        <w:rPr>
          <w:color w:val="auto"/>
        </w:rPr>
      </w:pPr>
      <w:r w:rsidRPr="00105FFC">
        <w:rPr>
          <w:rFonts w:cs="Arial"/>
        </w:rPr>
        <w:br w:type="page"/>
      </w:r>
      <w:bookmarkStart w:id="586" w:name="_Toc459287804"/>
      <w:r w:rsidR="00F93D43" w:rsidRPr="00105FFC">
        <w:rPr>
          <w:color w:val="auto"/>
        </w:rPr>
        <w:t>Appendix H</w:t>
      </w:r>
      <w:r w:rsidR="00EF2A6D" w:rsidRPr="00105FFC">
        <w:rPr>
          <w:color w:val="auto"/>
        </w:rPr>
        <w:t xml:space="preserve">: </w:t>
      </w:r>
      <w:r w:rsidR="00BD6AA1" w:rsidRPr="00105FFC">
        <w:rPr>
          <w:color w:val="auto"/>
        </w:rPr>
        <w:t>Provider Type Categories</w:t>
      </w:r>
      <w:bookmarkEnd w:id="586"/>
    </w:p>
    <w:p w14:paraId="2E16FF1B" w14:textId="77777777" w:rsidR="00EF2A6D" w:rsidRPr="00105FFC" w:rsidRDefault="00EF2A6D" w:rsidP="00EF2A6D">
      <w:pPr>
        <w:pStyle w:val="Heading1"/>
        <w:spacing w:before="0" w:after="120" w:line="276" w:lineRule="auto"/>
        <w:rPr>
          <w:rFonts w:eastAsiaTheme="minorHAnsi"/>
          <w:color w:val="FF0000"/>
        </w:rPr>
      </w:pPr>
      <w:bookmarkStart w:id="587" w:name="_Toc458519044"/>
      <w:bookmarkStart w:id="588" w:name="_Toc458526755"/>
      <w:bookmarkStart w:id="589" w:name="_Toc458782937"/>
      <w:bookmarkStart w:id="590" w:name="_Toc458783166"/>
      <w:bookmarkStart w:id="591" w:name="_Toc459285211"/>
      <w:bookmarkStart w:id="592" w:name="_Toc459287805"/>
      <w:r w:rsidRPr="00105FFC">
        <w:rPr>
          <w:sz w:val="20"/>
          <w:szCs w:val="20"/>
        </w:rPr>
        <w:t xml:space="preserve">Table </w:t>
      </w:r>
      <w:r w:rsidRPr="00105FFC">
        <w:rPr>
          <w:sz w:val="20"/>
          <w:szCs w:val="20"/>
        </w:rPr>
        <w:fldChar w:fldCharType="begin"/>
      </w:r>
      <w:r w:rsidRPr="00105FFC">
        <w:rPr>
          <w:sz w:val="20"/>
          <w:szCs w:val="20"/>
        </w:rPr>
        <w:instrText xml:space="preserve"> SEQ Table \* ARABIC </w:instrText>
      </w:r>
      <w:r w:rsidRPr="00105FFC">
        <w:rPr>
          <w:sz w:val="20"/>
          <w:szCs w:val="20"/>
        </w:rPr>
        <w:fldChar w:fldCharType="separate"/>
      </w:r>
      <w:r w:rsidR="00B04F0F">
        <w:rPr>
          <w:noProof/>
          <w:sz w:val="20"/>
          <w:szCs w:val="20"/>
        </w:rPr>
        <w:t>66</w:t>
      </w:r>
      <w:r w:rsidRPr="00105FFC">
        <w:rPr>
          <w:sz w:val="20"/>
          <w:szCs w:val="20"/>
        </w:rPr>
        <w:fldChar w:fldCharType="end"/>
      </w:r>
      <w:r w:rsidRPr="00105FFC">
        <w:rPr>
          <w:sz w:val="20"/>
          <w:szCs w:val="20"/>
        </w:rPr>
        <w:t xml:space="preserve">: </w:t>
      </w:r>
      <w:r w:rsidRPr="00105FFC">
        <w:rPr>
          <w:b w:val="0"/>
          <w:sz w:val="20"/>
          <w:szCs w:val="20"/>
        </w:rPr>
        <w:t>Description of Provider Types Used in Provider Participation and Service Utilization Measures</w:t>
      </w:r>
      <w:bookmarkEnd w:id="587"/>
      <w:bookmarkEnd w:id="588"/>
      <w:bookmarkEnd w:id="589"/>
      <w:bookmarkEnd w:id="590"/>
      <w:bookmarkEnd w:id="591"/>
      <w:bookmarkEnd w:id="592"/>
    </w:p>
    <w:tbl>
      <w:tblPr>
        <w:tblW w:w="8720" w:type="dxa"/>
        <w:tblInd w:w="113" w:type="dxa"/>
        <w:tblLook w:val="04A0" w:firstRow="1" w:lastRow="0" w:firstColumn="1" w:lastColumn="0" w:noHBand="0" w:noVBand="1"/>
      </w:tblPr>
      <w:tblGrid>
        <w:gridCol w:w="3000"/>
        <w:gridCol w:w="5720"/>
      </w:tblGrid>
      <w:tr w:rsidR="00EF2A6D" w:rsidRPr="00105FFC" w14:paraId="595F4A9A" w14:textId="77777777" w:rsidTr="00EF2A6D">
        <w:trPr>
          <w:trHeight w:val="300"/>
        </w:trPr>
        <w:tc>
          <w:tcPr>
            <w:tcW w:w="8720"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43456C7A" w14:textId="77777777" w:rsidR="00EF2A6D" w:rsidRPr="00105FFC" w:rsidRDefault="00EF2A6D" w:rsidP="00EF2A6D">
            <w:pPr>
              <w:jc w:val="center"/>
              <w:rPr>
                <w:rFonts w:asciiTheme="minorHAnsi" w:hAnsiTheme="minorHAnsi"/>
                <w:b/>
                <w:bCs/>
                <w:color w:val="000000"/>
                <w:sz w:val="20"/>
                <w:szCs w:val="20"/>
              </w:rPr>
            </w:pPr>
            <w:r w:rsidRPr="00105FFC">
              <w:rPr>
                <w:rFonts w:asciiTheme="minorHAnsi" w:hAnsiTheme="minorHAnsi"/>
                <w:b/>
                <w:bCs/>
                <w:color w:val="000000"/>
                <w:sz w:val="20"/>
                <w:szCs w:val="20"/>
              </w:rPr>
              <w:t>Primary Care Providers  -  Physicians, Physician Groups, and Clinics</w:t>
            </w:r>
          </w:p>
        </w:tc>
      </w:tr>
      <w:tr w:rsidR="00EF2A6D" w:rsidRPr="00105FFC" w14:paraId="4197557B" w14:textId="77777777" w:rsidTr="00EF2A6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BDDE5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Physicians and Physicians Groups</w:t>
            </w:r>
          </w:p>
        </w:tc>
        <w:tc>
          <w:tcPr>
            <w:tcW w:w="5720" w:type="dxa"/>
            <w:tcBorders>
              <w:top w:val="nil"/>
              <w:left w:val="nil"/>
              <w:bottom w:val="single" w:sz="4" w:space="0" w:color="auto"/>
              <w:right w:val="single" w:sz="4" w:space="0" w:color="auto"/>
            </w:tcBorders>
            <w:shd w:val="clear" w:color="auto" w:fill="auto"/>
            <w:noWrap/>
            <w:vAlign w:val="bottom"/>
            <w:hideMark/>
          </w:tcPr>
          <w:p w14:paraId="0A06CA9B"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General Practice</w:t>
            </w:r>
          </w:p>
        </w:tc>
      </w:tr>
      <w:tr w:rsidR="00EF2A6D" w:rsidRPr="00105FFC" w14:paraId="7DC9A1EF"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5B719DC"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C680662"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Family Practice</w:t>
            </w:r>
          </w:p>
        </w:tc>
      </w:tr>
      <w:tr w:rsidR="00EF2A6D" w:rsidRPr="00105FFC" w14:paraId="2E060E7C"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B5640D7"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77024B0C"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Gynecology (D.O. only)</w:t>
            </w:r>
          </w:p>
        </w:tc>
      </w:tr>
      <w:tr w:rsidR="00EF2A6D" w:rsidRPr="00105FFC" w14:paraId="1A31011B"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9668017"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2C4CD26A"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Obstetrics (D.O. only), Endodontist (Dentists Only)</w:t>
            </w:r>
          </w:p>
        </w:tc>
      </w:tr>
      <w:tr w:rsidR="00EF2A6D" w:rsidRPr="00105FFC" w14:paraId="2694F526"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5041F0E"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A284967"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Obstetrics-Gynecology (M.D. Only) Neonatal</w:t>
            </w:r>
          </w:p>
        </w:tc>
      </w:tr>
      <w:tr w:rsidR="00EF2A6D" w:rsidRPr="00105FFC" w14:paraId="20556C21"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B8D6887"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AEFE5F3"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Preventive (M.D. only)</w:t>
            </w:r>
          </w:p>
        </w:tc>
      </w:tr>
      <w:tr w:rsidR="00EF2A6D" w:rsidRPr="00105FFC" w14:paraId="1F4C5CDB"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0821E118"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16C5048D"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Pediatrics,  Periodontist (Dentists Only)</w:t>
            </w:r>
          </w:p>
        </w:tc>
      </w:tr>
      <w:tr w:rsidR="00EF2A6D" w:rsidRPr="00105FFC" w14:paraId="522FC5A4"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F9309E9"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56F00D01"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Internal Medicine</w:t>
            </w:r>
          </w:p>
        </w:tc>
      </w:tr>
      <w:tr w:rsidR="00EF2A6D" w:rsidRPr="00105FFC" w14:paraId="73247B46" w14:textId="77777777" w:rsidTr="00EF2A6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BDFC1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Clinics</w:t>
            </w:r>
          </w:p>
        </w:tc>
        <w:tc>
          <w:tcPr>
            <w:tcW w:w="5720" w:type="dxa"/>
            <w:tcBorders>
              <w:top w:val="nil"/>
              <w:left w:val="nil"/>
              <w:bottom w:val="single" w:sz="4" w:space="0" w:color="auto"/>
              <w:right w:val="single" w:sz="4" w:space="0" w:color="auto"/>
            </w:tcBorders>
            <w:shd w:val="clear" w:color="auto" w:fill="auto"/>
            <w:noWrap/>
            <w:vAlign w:val="bottom"/>
            <w:hideMark/>
          </w:tcPr>
          <w:p w14:paraId="4C7D048D"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RURAL HEALTH CLINICS/FEDERALLY QUALIFIED HEALTH CENTER</w:t>
            </w:r>
          </w:p>
        </w:tc>
      </w:tr>
      <w:tr w:rsidR="00EF2A6D" w:rsidRPr="00105FFC" w14:paraId="7071D7D5"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599A1567"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0733FCB1"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FREE CLINIC</w:t>
            </w:r>
          </w:p>
        </w:tc>
      </w:tr>
      <w:tr w:rsidR="00EF2A6D" w:rsidRPr="00105FFC" w14:paraId="5CC8F139"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5A71F5CC"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0EF70D8"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COMMUNITY CLINIC</w:t>
            </w:r>
          </w:p>
        </w:tc>
      </w:tr>
      <w:tr w:rsidR="00EF2A6D" w:rsidRPr="00105FFC" w14:paraId="512DC546"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23DB00FC"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23C17EE4"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Multispecialty Clinic</w:t>
            </w:r>
          </w:p>
        </w:tc>
      </w:tr>
      <w:tr w:rsidR="00EF2A6D" w:rsidRPr="00105FFC" w14:paraId="53E23A57"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3F5DD1A"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A302401"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CLINIC EXEMP FROM LICENSURE</w:t>
            </w:r>
          </w:p>
        </w:tc>
      </w:tr>
      <w:tr w:rsidR="00EF2A6D" w:rsidRPr="00105FFC" w14:paraId="3EF7B7D3"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28E4FEBD"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740D580C"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COUNTY CLINICS NOT ASSOCIATED WITH HOSPITAL</w:t>
            </w:r>
          </w:p>
        </w:tc>
      </w:tr>
      <w:tr w:rsidR="00EF2A6D" w:rsidRPr="00105FFC" w14:paraId="22DDB9D6"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053F00C"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F2CC064"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OTHERWISE UNDESIGNATED CLINIC</w:t>
            </w:r>
          </w:p>
        </w:tc>
      </w:tr>
      <w:tr w:rsidR="00EF2A6D" w:rsidRPr="00105FFC" w14:paraId="7B6F4CD8"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2F2F03CF"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9B1F776"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Tribal Health</w:t>
            </w:r>
          </w:p>
        </w:tc>
      </w:tr>
      <w:tr w:rsidR="00EF2A6D" w:rsidRPr="00105FFC" w14:paraId="7FC6CDA5" w14:textId="77777777" w:rsidTr="00EF2A6D">
        <w:trPr>
          <w:trHeight w:val="300"/>
        </w:trPr>
        <w:tc>
          <w:tcPr>
            <w:tcW w:w="8720"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77E3F8A5" w14:textId="77777777" w:rsidR="00EF2A6D" w:rsidRPr="00105FFC" w:rsidRDefault="00EF2A6D" w:rsidP="00EF2A6D">
            <w:pPr>
              <w:jc w:val="center"/>
              <w:rPr>
                <w:rFonts w:asciiTheme="minorHAnsi" w:hAnsiTheme="minorHAnsi"/>
                <w:b/>
                <w:bCs/>
                <w:color w:val="000000"/>
                <w:sz w:val="20"/>
                <w:szCs w:val="20"/>
              </w:rPr>
            </w:pPr>
            <w:r w:rsidRPr="00105FFC">
              <w:rPr>
                <w:rFonts w:asciiTheme="minorHAnsi" w:hAnsiTheme="minorHAnsi"/>
                <w:b/>
                <w:bCs/>
                <w:color w:val="000000"/>
                <w:sz w:val="20"/>
                <w:szCs w:val="20"/>
              </w:rPr>
              <w:t>Specialist Providers - Physicians and Physician Groups</w:t>
            </w:r>
          </w:p>
        </w:tc>
      </w:tr>
      <w:tr w:rsidR="00EF2A6D" w:rsidRPr="00105FFC" w14:paraId="4221BBEB" w14:textId="77777777" w:rsidTr="00EF2A6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CC2EF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Physicians and Physicians Groups</w:t>
            </w:r>
          </w:p>
        </w:tc>
        <w:tc>
          <w:tcPr>
            <w:tcW w:w="5720" w:type="dxa"/>
            <w:tcBorders>
              <w:top w:val="nil"/>
              <w:left w:val="nil"/>
              <w:bottom w:val="single" w:sz="4" w:space="0" w:color="auto"/>
              <w:right w:val="single" w:sz="4" w:space="0" w:color="auto"/>
            </w:tcBorders>
            <w:shd w:val="clear" w:color="auto" w:fill="auto"/>
            <w:noWrap/>
            <w:vAlign w:val="bottom"/>
            <w:hideMark/>
          </w:tcPr>
          <w:p w14:paraId="1C31EB6F"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General Surgery                             </w:t>
            </w:r>
          </w:p>
        </w:tc>
      </w:tr>
      <w:tr w:rsidR="00EF2A6D" w:rsidRPr="00105FFC" w14:paraId="505EAEDE"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233301DC"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76DB2671"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Allergy</w:t>
            </w:r>
          </w:p>
        </w:tc>
      </w:tr>
      <w:tr w:rsidR="00EF2A6D" w:rsidRPr="00105FFC" w14:paraId="697EF8D4"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5B675130"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25A296C6"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Otology, Laryngology, Rhinology             </w:t>
            </w:r>
          </w:p>
        </w:tc>
      </w:tr>
      <w:tr w:rsidR="00EF2A6D" w:rsidRPr="00105FFC" w14:paraId="167378D9"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71CC11F"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5298F84"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Cardiovascular Disease (internal medicine)  </w:t>
            </w:r>
          </w:p>
        </w:tc>
      </w:tr>
      <w:tr w:rsidR="00EF2A6D" w:rsidRPr="00105FFC" w14:paraId="6BCDDFEE"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6EFD1A8"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194AF60C"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Dermatology                                 </w:t>
            </w:r>
          </w:p>
        </w:tc>
      </w:tr>
      <w:tr w:rsidR="00EF2A6D" w:rsidRPr="00105FFC" w14:paraId="02424634"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5414A8CB"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79C4CFD"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Gynecology (Osteopaths only)                </w:t>
            </w:r>
          </w:p>
        </w:tc>
      </w:tr>
      <w:tr w:rsidR="00EF2A6D" w:rsidRPr="00105FFC" w14:paraId="42E05C36"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38BE686"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9176DE8"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Gastroenterology (internal medicine)        </w:t>
            </w:r>
          </w:p>
        </w:tc>
      </w:tr>
      <w:tr w:rsidR="00EF2A6D" w:rsidRPr="00105FFC" w14:paraId="12BA9B94"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43E51EB"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55D97717"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Neurology                                   </w:t>
            </w:r>
          </w:p>
        </w:tc>
      </w:tr>
      <w:tr w:rsidR="00EF2A6D" w:rsidRPr="00105FFC" w14:paraId="34BC26BB"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BEF37A9"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43371F64"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Neurological Surgery                        </w:t>
            </w:r>
          </w:p>
        </w:tc>
      </w:tr>
      <w:tr w:rsidR="00EF2A6D" w:rsidRPr="00105FFC" w14:paraId="68E90623"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126A0E3"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1F6ECD9"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Obstetrics (D. O. only)                     </w:t>
            </w:r>
          </w:p>
        </w:tc>
      </w:tr>
      <w:tr w:rsidR="00EF2A6D" w:rsidRPr="00105FFC" w14:paraId="03A74968"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E9D6D97"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088223E2"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OB-Gynecology (M. E. only)                  </w:t>
            </w:r>
          </w:p>
        </w:tc>
      </w:tr>
      <w:tr w:rsidR="00EF2A6D" w:rsidRPr="00105FFC" w14:paraId="7F68B8B8"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3B7C604"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7C3459DF"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Ophthalmology, otolaryngology                </w:t>
            </w:r>
          </w:p>
        </w:tc>
      </w:tr>
      <w:tr w:rsidR="00EF2A6D" w:rsidRPr="00105FFC" w14:paraId="4F32EA3C"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F835CA8"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1D8695F0"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Ophthalmology                            </w:t>
            </w:r>
          </w:p>
        </w:tc>
      </w:tr>
      <w:tr w:rsidR="00EF2A6D" w:rsidRPr="00105FFC" w14:paraId="2805D8BA"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F50D5AA"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0B21BABF"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Orthopedic Surgery      </w:t>
            </w:r>
          </w:p>
        </w:tc>
      </w:tr>
      <w:tr w:rsidR="00EF2A6D" w:rsidRPr="00105FFC" w14:paraId="20F39B12"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035818E9"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5C0651B"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Peripheral Vascular Disease or Surgery (D. O. only)  </w:t>
            </w:r>
          </w:p>
        </w:tc>
      </w:tr>
      <w:tr w:rsidR="00EF2A6D" w:rsidRPr="00105FFC" w14:paraId="7E0958CD"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C90C859"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1962CAC3"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Plastic Surgery                                     </w:t>
            </w:r>
          </w:p>
        </w:tc>
      </w:tr>
      <w:tr w:rsidR="00EF2A6D" w:rsidRPr="00105FFC" w14:paraId="380FA750"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7A0B8FE"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7BE5C050"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Physical Medicine and Rehabilitation                </w:t>
            </w:r>
          </w:p>
        </w:tc>
      </w:tr>
      <w:tr w:rsidR="00EF2A6D" w:rsidRPr="00105FFC" w14:paraId="7F9A164C"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B92716B"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4C15E90B"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Psychiatry Neurology                                </w:t>
            </w:r>
          </w:p>
        </w:tc>
      </w:tr>
      <w:tr w:rsidR="00EF2A6D" w:rsidRPr="00105FFC" w14:paraId="25845C72"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55565081"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B5B381B"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Proctology (colon and rectal surgery)               </w:t>
            </w:r>
          </w:p>
        </w:tc>
      </w:tr>
      <w:tr w:rsidR="00EF2A6D" w:rsidRPr="00105FFC" w14:paraId="21CFB6F6"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1DB45F9"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4184304"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Pulmonary Diseases                                  </w:t>
            </w:r>
          </w:p>
        </w:tc>
      </w:tr>
      <w:tr w:rsidR="00EF2A6D" w:rsidRPr="00105FFC" w14:paraId="422EF2C0"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8AAD249"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0C5208F9"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Radiology                                           </w:t>
            </w:r>
          </w:p>
        </w:tc>
      </w:tr>
      <w:tr w:rsidR="00EF2A6D" w:rsidRPr="00105FFC" w14:paraId="1F8811B9"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E2395BB"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5633E293"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Roentgenology</w:t>
            </w:r>
          </w:p>
        </w:tc>
      </w:tr>
      <w:tr w:rsidR="00EF2A6D" w:rsidRPr="00105FFC" w14:paraId="09A590A5"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21CA466"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5FDBADC0"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Radiation Therapy (D.O. only)</w:t>
            </w:r>
          </w:p>
        </w:tc>
      </w:tr>
      <w:tr w:rsidR="00EF2A6D" w:rsidRPr="00105FFC" w14:paraId="67C41FA3"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2FAAC104"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44BB7D56"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Thoracic Surgery                                    </w:t>
            </w:r>
          </w:p>
        </w:tc>
      </w:tr>
      <w:tr w:rsidR="00EF2A6D" w:rsidRPr="00105FFC" w14:paraId="5E6E7092"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9FE906C"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5F761C3"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Urology and Urological Surgery                     </w:t>
            </w:r>
          </w:p>
        </w:tc>
      </w:tr>
      <w:tr w:rsidR="00EF2A6D" w:rsidRPr="00105FFC" w14:paraId="58DC4303"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DE17F1C"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5ED6287E"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Pediatric Cardiology (internal medicine)            </w:t>
            </w:r>
          </w:p>
        </w:tc>
      </w:tr>
      <w:tr w:rsidR="00EF2A6D" w:rsidRPr="00105FFC" w14:paraId="2351B40C"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503B0BF"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49A03D05"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Pediatrics                                          </w:t>
            </w:r>
          </w:p>
        </w:tc>
      </w:tr>
      <w:tr w:rsidR="00EF2A6D" w:rsidRPr="00105FFC" w14:paraId="34303158"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074F1ED"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7171C219"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Nuclear Medicine                                    </w:t>
            </w:r>
          </w:p>
        </w:tc>
      </w:tr>
      <w:tr w:rsidR="00EF2A6D" w:rsidRPr="00105FFC" w14:paraId="3BB7966D"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7E1C4FA"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B4E73A6"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Pediatric Allergy                                </w:t>
            </w:r>
          </w:p>
        </w:tc>
      </w:tr>
      <w:tr w:rsidR="00EF2A6D" w:rsidRPr="00105FFC" w14:paraId="22160CCD"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0D129577"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1CFC9CBF"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Nephrology                                 </w:t>
            </w:r>
          </w:p>
        </w:tc>
      </w:tr>
      <w:tr w:rsidR="00EF2A6D" w:rsidRPr="00105FFC" w14:paraId="015123A3"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2F5DDE7"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D4EC10E"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Hand Surgery                               </w:t>
            </w:r>
          </w:p>
        </w:tc>
      </w:tr>
      <w:tr w:rsidR="00EF2A6D" w:rsidRPr="00105FFC" w14:paraId="2D7DF7D7"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20D0C6E9"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046B8FF2"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Endocrinology                              </w:t>
            </w:r>
          </w:p>
        </w:tc>
      </w:tr>
      <w:tr w:rsidR="00EF2A6D" w:rsidRPr="00105FFC" w14:paraId="092F2BFE"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5499C8C9"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2AB8A8C4"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Hematology                                 </w:t>
            </w:r>
          </w:p>
        </w:tc>
      </w:tr>
      <w:tr w:rsidR="00EF2A6D" w:rsidRPr="00105FFC" w14:paraId="70370FD6"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71B75901"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21DE823D"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Infectious Disease                         </w:t>
            </w:r>
          </w:p>
        </w:tc>
      </w:tr>
      <w:tr w:rsidR="00EF2A6D" w:rsidRPr="00105FFC" w14:paraId="6B3F26A8"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0B676EFE"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1A19CFA2"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Neoplastic Diseases</w:t>
            </w:r>
          </w:p>
        </w:tc>
      </w:tr>
      <w:tr w:rsidR="00EF2A6D" w:rsidRPr="00105FFC" w14:paraId="7089BC23"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70BAECB2"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4E1757A2"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Neurology-Child                            </w:t>
            </w:r>
          </w:p>
        </w:tc>
      </w:tr>
      <w:tr w:rsidR="00EF2A6D" w:rsidRPr="00105FFC" w14:paraId="362D0F5A"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F038632"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75401330"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Rheumatology                               </w:t>
            </w:r>
          </w:p>
        </w:tc>
      </w:tr>
      <w:tr w:rsidR="00EF2A6D" w:rsidRPr="00105FFC" w14:paraId="74CA67B3"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79B2AD5C"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56B18F11"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Surgery Head and Neck                     </w:t>
            </w:r>
          </w:p>
        </w:tc>
      </w:tr>
      <w:tr w:rsidR="00EF2A6D" w:rsidRPr="00105FFC" w14:paraId="486B4029"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3F926C8"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585177BC"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Surgery Pediatric                          </w:t>
            </w:r>
          </w:p>
        </w:tc>
      </w:tr>
      <w:tr w:rsidR="00EF2A6D" w:rsidRPr="00105FFC" w14:paraId="3421C6A6"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55894F11"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0FAB27C7"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 xml:space="preserve">Surgery Traumatic                           </w:t>
            </w:r>
          </w:p>
        </w:tc>
      </w:tr>
      <w:tr w:rsidR="00EF2A6D" w:rsidRPr="00105FFC" w14:paraId="281590A0" w14:textId="77777777" w:rsidTr="00EF2A6D">
        <w:trPr>
          <w:trHeight w:val="300"/>
        </w:trPr>
        <w:tc>
          <w:tcPr>
            <w:tcW w:w="8720"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0ECEA17A" w14:textId="77777777" w:rsidR="00EF2A6D" w:rsidRPr="00105FFC" w:rsidRDefault="00EF2A6D" w:rsidP="00EF2A6D">
            <w:pPr>
              <w:jc w:val="center"/>
              <w:rPr>
                <w:rFonts w:asciiTheme="minorHAnsi" w:hAnsiTheme="minorHAnsi"/>
                <w:b/>
                <w:bCs/>
                <w:color w:val="000000"/>
                <w:sz w:val="20"/>
                <w:szCs w:val="20"/>
              </w:rPr>
            </w:pPr>
            <w:r w:rsidRPr="00105FFC">
              <w:rPr>
                <w:rFonts w:asciiTheme="minorHAnsi" w:hAnsiTheme="minorHAnsi"/>
                <w:b/>
                <w:bCs/>
                <w:color w:val="000000"/>
                <w:sz w:val="20"/>
                <w:szCs w:val="20"/>
              </w:rPr>
              <w:t>Behavioral Health Providers  -  Physicians, Physician Groups, and Other Non-Physician Providers</w:t>
            </w:r>
          </w:p>
        </w:tc>
      </w:tr>
      <w:tr w:rsidR="00EF2A6D" w:rsidRPr="00105FFC" w14:paraId="1DE79811" w14:textId="77777777" w:rsidTr="00EF2A6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5A12A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Physicians and Physician Groups</w:t>
            </w:r>
          </w:p>
        </w:tc>
        <w:tc>
          <w:tcPr>
            <w:tcW w:w="5720" w:type="dxa"/>
            <w:tcBorders>
              <w:top w:val="nil"/>
              <w:left w:val="nil"/>
              <w:bottom w:val="single" w:sz="4" w:space="0" w:color="auto"/>
              <w:right w:val="single" w:sz="4" w:space="0" w:color="auto"/>
            </w:tcBorders>
            <w:shd w:val="clear" w:color="auto" w:fill="auto"/>
            <w:noWrap/>
            <w:vAlign w:val="bottom"/>
            <w:hideMark/>
          </w:tcPr>
          <w:p w14:paraId="408A8A47"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Psychiatry (child)</w:t>
            </w:r>
          </w:p>
        </w:tc>
      </w:tr>
      <w:tr w:rsidR="00EF2A6D" w:rsidRPr="00105FFC" w14:paraId="3DD44549"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58C18896"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13A1B61D"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Psychiatry Neurology (D.O. only)</w:t>
            </w:r>
          </w:p>
        </w:tc>
      </w:tr>
      <w:tr w:rsidR="00EF2A6D" w:rsidRPr="00105FFC" w14:paraId="411F6F77"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372D7B1"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7C9506E"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Psychiatry</w:t>
            </w:r>
          </w:p>
        </w:tc>
      </w:tr>
      <w:tr w:rsidR="00EF2A6D" w:rsidRPr="00105FFC" w14:paraId="50BDCAE9"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E040A75"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2C122FBA"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Marriage, family and child counselor</w:t>
            </w:r>
          </w:p>
        </w:tc>
      </w:tr>
      <w:tr w:rsidR="00EF2A6D" w:rsidRPr="00105FFC" w14:paraId="5628FD98"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C1E2C68"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4C9A4A80"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Licensed clinical social worker</w:t>
            </w:r>
          </w:p>
        </w:tc>
      </w:tr>
      <w:tr w:rsidR="00EF2A6D" w:rsidRPr="00105FFC" w14:paraId="055F4B90" w14:textId="77777777" w:rsidTr="00EF2A6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959C0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Other Non-Physician Providers</w:t>
            </w:r>
          </w:p>
        </w:tc>
        <w:tc>
          <w:tcPr>
            <w:tcW w:w="5720" w:type="dxa"/>
            <w:tcBorders>
              <w:top w:val="nil"/>
              <w:left w:val="nil"/>
              <w:bottom w:val="single" w:sz="4" w:space="0" w:color="auto"/>
              <w:right w:val="single" w:sz="4" w:space="0" w:color="auto"/>
            </w:tcBorders>
            <w:shd w:val="clear" w:color="auto" w:fill="auto"/>
            <w:noWrap/>
            <w:vAlign w:val="bottom"/>
            <w:hideMark/>
          </w:tcPr>
          <w:p w14:paraId="6F901415"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PSYCHOLOGISTS</w:t>
            </w:r>
          </w:p>
        </w:tc>
      </w:tr>
      <w:tr w:rsidR="00EF2A6D" w:rsidRPr="00105FFC" w14:paraId="6C1F8CBB"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3E29660"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16AFAA28"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OUTPATIENT HEROIN DETOX CENTER</w:t>
            </w:r>
          </w:p>
        </w:tc>
      </w:tr>
      <w:tr w:rsidR="00EF2A6D" w:rsidRPr="00105FFC" w14:paraId="7B71728C"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166D7B9"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16E9C5D"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LICENSED CLINICAL SOCIAL WORKER INDIVIDUAL</w:t>
            </w:r>
          </w:p>
        </w:tc>
      </w:tr>
      <w:tr w:rsidR="00EF2A6D" w:rsidRPr="00105FFC" w14:paraId="4EF38F48"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A447219"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EDA120F"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LICENSED CLINICAL SOCIAL WORKER GROUP</w:t>
            </w:r>
          </w:p>
        </w:tc>
      </w:tr>
      <w:tr w:rsidR="00EF2A6D" w:rsidRPr="00105FFC" w14:paraId="55E7960E"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70CCA215"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7572F32A"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MENTAL HEALTH INPATIENT SERVICES</w:t>
            </w:r>
          </w:p>
        </w:tc>
      </w:tr>
      <w:tr w:rsidR="00EF2A6D" w:rsidRPr="00105FFC" w14:paraId="39F6BB87"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0748468"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01086426"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DRUG MEDI-CAL</w:t>
            </w:r>
          </w:p>
        </w:tc>
      </w:tr>
      <w:tr w:rsidR="00EF2A6D" w:rsidRPr="00105FFC" w14:paraId="33C04C4E"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9850CF3"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104EA298"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MARRIAGE AND FAMILY THERAPIST INIDIVIDUAL</w:t>
            </w:r>
          </w:p>
        </w:tc>
      </w:tr>
      <w:tr w:rsidR="00EF2A6D" w:rsidRPr="00105FFC" w14:paraId="506CDC71"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733C10D1"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625E22E0"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MARRIAGE AND FAMILY THERAPIST GROUP</w:t>
            </w:r>
          </w:p>
        </w:tc>
      </w:tr>
      <w:tr w:rsidR="00EF2A6D" w:rsidRPr="00105FFC" w14:paraId="09223A2B" w14:textId="77777777" w:rsidTr="00EF2A6D">
        <w:trPr>
          <w:trHeight w:val="300"/>
        </w:trPr>
        <w:tc>
          <w:tcPr>
            <w:tcW w:w="8720"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7B51B88F" w14:textId="77777777" w:rsidR="00EF2A6D" w:rsidRPr="00105FFC" w:rsidRDefault="00EF2A6D" w:rsidP="00EF2A6D">
            <w:pPr>
              <w:jc w:val="center"/>
              <w:rPr>
                <w:rFonts w:asciiTheme="minorHAnsi" w:hAnsiTheme="minorHAnsi"/>
                <w:b/>
                <w:bCs/>
                <w:color w:val="000000"/>
                <w:sz w:val="20"/>
                <w:szCs w:val="20"/>
              </w:rPr>
            </w:pPr>
            <w:r w:rsidRPr="00105FFC">
              <w:rPr>
                <w:rFonts w:asciiTheme="minorHAnsi" w:hAnsiTheme="minorHAnsi"/>
                <w:b/>
                <w:bCs/>
                <w:color w:val="000000"/>
                <w:sz w:val="20"/>
                <w:szCs w:val="20"/>
              </w:rPr>
              <w:t>Pre and Post Natal Providers - Physicians, Physicians Groups and Other Non-Physician Providers</w:t>
            </w:r>
          </w:p>
        </w:tc>
      </w:tr>
      <w:tr w:rsidR="00EF2A6D" w:rsidRPr="00105FFC" w14:paraId="4F605BCF" w14:textId="77777777" w:rsidTr="00EF2A6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1E2C9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Physicians and Physician Groups</w:t>
            </w:r>
          </w:p>
        </w:tc>
        <w:tc>
          <w:tcPr>
            <w:tcW w:w="5720" w:type="dxa"/>
            <w:tcBorders>
              <w:top w:val="nil"/>
              <w:left w:val="nil"/>
              <w:bottom w:val="single" w:sz="4" w:space="0" w:color="auto"/>
              <w:right w:val="single" w:sz="4" w:space="0" w:color="auto"/>
            </w:tcBorders>
            <w:shd w:val="clear" w:color="auto" w:fill="auto"/>
            <w:noWrap/>
            <w:vAlign w:val="bottom"/>
            <w:hideMark/>
          </w:tcPr>
          <w:p w14:paraId="7DA21DDB"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Gynecology (D.O. only)</w:t>
            </w:r>
          </w:p>
        </w:tc>
      </w:tr>
      <w:tr w:rsidR="00EF2A6D" w:rsidRPr="00105FFC" w14:paraId="0F7ED94E"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EAF0651"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5B921D67"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Obstetrics (D.O. only), Endodontist (Dentists Only)</w:t>
            </w:r>
          </w:p>
        </w:tc>
      </w:tr>
      <w:tr w:rsidR="00EF2A6D" w:rsidRPr="00105FFC" w14:paraId="525659F3"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063337F"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48BB3E6B"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Obstetrics-Gynecology (M.D. Only) Neonatal</w:t>
            </w:r>
          </w:p>
        </w:tc>
      </w:tr>
      <w:tr w:rsidR="00EF2A6D" w:rsidRPr="00105FFC" w14:paraId="3FF3BF36" w14:textId="77777777" w:rsidTr="00EF2A6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C5994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Other Non-Physician Providers</w:t>
            </w:r>
          </w:p>
        </w:tc>
        <w:tc>
          <w:tcPr>
            <w:tcW w:w="5720" w:type="dxa"/>
            <w:tcBorders>
              <w:top w:val="nil"/>
              <w:left w:val="nil"/>
              <w:bottom w:val="single" w:sz="4" w:space="0" w:color="auto"/>
              <w:right w:val="single" w:sz="4" w:space="0" w:color="auto"/>
            </w:tcBorders>
            <w:shd w:val="clear" w:color="auto" w:fill="auto"/>
            <w:noWrap/>
            <w:vAlign w:val="bottom"/>
            <w:hideMark/>
          </w:tcPr>
          <w:p w14:paraId="1895A550"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CERTIFIED NURSE MIDWIFE</w:t>
            </w:r>
          </w:p>
        </w:tc>
      </w:tr>
      <w:tr w:rsidR="00EF2A6D" w:rsidRPr="00105FFC" w14:paraId="22ED4398"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04FB4998"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374310EE"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BIRTHING CENTER SERVICES</w:t>
            </w:r>
          </w:p>
        </w:tc>
      </w:tr>
      <w:tr w:rsidR="00EF2A6D" w:rsidRPr="00105FFC" w14:paraId="26A92BE4" w14:textId="77777777" w:rsidTr="00EF2A6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0346DC7D" w14:textId="77777777" w:rsidR="00EF2A6D" w:rsidRPr="00105FFC" w:rsidRDefault="00EF2A6D" w:rsidP="00EF2A6D">
            <w:pPr>
              <w:rPr>
                <w:rFonts w:asciiTheme="minorHAnsi" w:hAnsiTheme="minorHAnsi"/>
                <w:color w:val="000000"/>
                <w:sz w:val="20"/>
                <w:szCs w:val="20"/>
              </w:rPr>
            </w:pPr>
          </w:p>
        </w:tc>
        <w:tc>
          <w:tcPr>
            <w:tcW w:w="5720" w:type="dxa"/>
            <w:tcBorders>
              <w:top w:val="nil"/>
              <w:left w:val="nil"/>
              <w:bottom w:val="single" w:sz="4" w:space="0" w:color="auto"/>
              <w:right w:val="single" w:sz="4" w:space="0" w:color="auto"/>
            </w:tcBorders>
            <w:shd w:val="clear" w:color="auto" w:fill="auto"/>
            <w:noWrap/>
            <w:vAlign w:val="bottom"/>
            <w:hideMark/>
          </w:tcPr>
          <w:p w14:paraId="508558B6"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ALTERNATIVE BIRTH CENTERS - SPECIALTY CLINIC</w:t>
            </w:r>
          </w:p>
        </w:tc>
      </w:tr>
      <w:tr w:rsidR="00EF2A6D" w:rsidRPr="00105FFC" w14:paraId="48AFBC73" w14:textId="77777777" w:rsidTr="00EF2A6D">
        <w:trPr>
          <w:trHeight w:val="300"/>
        </w:trPr>
        <w:tc>
          <w:tcPr>
            <w:tcW w:w="8720"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43059847" w14:textId="77777777" w:rsidR="00EF2A6D" w:rsidRPr="00105FFC" w:rsidRDefault="00EF2A6D" w:rsidP="00EF2A6D">
            <w:pPr>
              <w:jc w:val="center"/>
              <w:rPr>
                <w:rFonts w:asciiTheme="minorHAnsi" w:hAnsiTheme="minorHAnsi"/>
                <w:b/>
                <w:bCs/>
                <w:color w:val="000000"/>
                <w:sz w:val="20"/>
                <w:szCs w:val="20"/>
              </w:rPr>
            </w:pPr>
            <w:r w:rsidRPr="00105FFC">
              <w:rPr>
                <w:rFonts w:asciiTheme="minorHAnsi" w:hAnsiTheme="minorHAnsi"/>
                <w:b/>
                <w:bCs/>
                <w:color w:val="000000"/>
                <w:sz w:val="20"/>
                <w:szCs w:val="20"/>
              </w:rPr>
              <w:t>Home Health</w:t>
            </w:r>
          </w:p>
        </w:tc>
      </w:tr>
      <w:tr w:rsidR="00EF2A6D" w:rsidRPr="00105FFC" w14:paraId="0028DA38" w14:textId="77777777" w:rsidTr="00EF2A6D">
        <w:trPr>
          <w:trHeight w:val="300"/>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14:paraId="18DD6DC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Other Non-Physician Providers</w:t>
            </w:r>
          </w:p>
        </w:tc>
        <w:tc>
          <w:tcPr>
            <w:tcW w:w="5720" w:type="dxa"/>
            <w:tcBorders>
              <w:top w:val="nil"/>
              <w:left w:val="nil"/>
              <w:bottom w:val="single" w:sz="4" w:space="0" w:color="auto"/>
              <w:right w:val="single" w:sz="4" w:space="0" w:color="auto"/>
            </w:tcBorders>
            <w:shd w:val="clear" w:color="auto" w:fill="auto"/>
            <w:noWrap/>
            <w:vAlign w:val="bottom"/>
            <w:hideMark/>
          </w:tcPr>
          <w:p w14:paraId="01C86720" w14:textId="77777777" w:rsidR="00EF2A6D" w:rsidRPr="00105FFC" w:rsidRDefault="00EF2A6D" w:rsidP="00EF2A6D">
            <w:pPr>
              <w:rPr>
                <w:rFonts w:asciiTheme="minorHAnsi" w:hAnsiTheme="minorHAnsi"/>
                <w:color w:val="000000"/>
                <w:sz w:val="20"/>
                <w:szCs w:val="20"/>
              </w:rPr>
            </w:pPr>
            <w:r w:rsidRPr="00105FFC">
              <w:rPr>
                <w:rFonts w:asciiTheme="minorHAnsi" w:hAnsiTheme="minorHAnsi"/>
                <w:color w:val="000000"/>
                <w:sz w:val="20"/>
                <w:szCs w:val="20"/>
              </w:rPr>
              <w:t>HOME HEALTH AGENCIES</w:t>
            </w:r>
          </w:p>
        </w:tc>
      </w:tr>
    </w:tbl>
    <w:p w14:paraId="3A48548A" w14:textId="77777777" w:rsidR="00EF2A6D" w:rsidRPr="00105FFC" w:rsidRDefault="00EF2A6D" w:rsidP="00EF2A6D">
      <w:pPr>
        <w:rPr>
          <w:rFonts w:asciiTheme="minorHAnsi" w:eastAsiaTheme="minorHAnsi" w:hAnsiTheme="minorHAnsi"/>
        </w:rPr>
      </w:pPr>
    </w:p>
    <w:p w14:paraId="03DFF378" w14:textId="77777777" w:rsidR="00EF2A6D" w:rsidRPr="00105FFC" w:rsidRDefault="00EF2A6D" w:rsidP="00EF2A6D">
      <w:pPr>
        <w:rPr>
          <w:rFonts w:asciiTheme="minorHAnsi" w:eastAsiaTheme="minorHAnsi" w:hAnsiTheme="minorHAnsi"/>
        </w:rPr>
      </w:pPr>
      <w:r w:rsidRPr="00105FFC">
        <w:rPr>
          <w:rFonts w:asciiTheme="minorHAnsi" w:eastAsiaTheme="minorHAnsi" w:hAnsiTheme="minorHAnsi"/>
        </w:rPr>
        <w:br w:type="page"/>
      </w:r>
    </w:p>
    <w:p w14:paraId="418BF4CC" w14:textId="77777777" w:rsidR="00EF2A6D" w:rsidRPr="00105FFC" w:rsidRDefault="00EF2A6D" w:rsidP="00EF2A6D">
      <w:pPr>
        <w:spacing w:after="120" w:line="276" w:lineRule="auto"/>
        <w:rPr>
          <w:rFonts w:asciiTheme="minorHAnsi" w:hAnsiTheme="minorHAnsi" w:cs="Arial"/>
          <w:b/>
          <w:sz w:val="36"/>
          <w:szCs w:val="36"/>
        </w:rPr>
      </w:pPr>
      <w:r w:rsidRPr="00105FFC">
        <w:rPr>
          <w:rFonts w:asciiTheme="minorHAnsi" w:hAnsiTheme="minorHAnsi"/>
          <w:b/>
          <w:sz w:val="36"/>
          <w:szCs w:val="36"/>
        </w:rPr>
        <w:t xml:space="preserve">Appendix G: </w:t>
      </w:r>
      <w:r w:rsidRPr="00105FFC">
        <w:rPr>
          <w:rFonts w:asciiTheme="minorHAnsi" w:eastAsiaTheme="majorEastAsia" w:hAnsiTheme="minorHAnsi"/>
          <w:b/>
          <w:sz w:val="36"/>
          <w:szCs w:val="36"/>
        </w:rPr>
        <w:t>Modified Call Categories</w:t>
      </w:r>
      <w:r w:rsidRPr="00105FFC">
        <w:rPr>
          <w:rFonts w:asciiTheme="minorHAnsi" w:hAnsiTheme="minorHAnsi" w:cs="Arial"/>
          <w:b/>
          <w:sz w:val="36"/>
          <w:szCs w:val="36"/>
        </w:rPr>
        <w:t xml:space="preserve"> </w:t>
      </w:r>
    </w:p>
    <w:p w14:paraId="313B0469" w14:textId="77777777" w:rsidR="00EF2A6D" w:rsidRPr="00105FFC" w:rsidRDefault="004E3B31" w:rsidP="00EF2A6D">
      <w:pPr>
        <w:spacing w:after="200"/>
        <w:rPr>
          <w:rFonts w:asciiTheme="minorHAnsi" w:eastAsiaTheme="minorHAnsi" w:hAnsiTheme="minorHAnsi" w:cstheme="minorBidi"/>
          <w:bCs/>
          <w:sz w:val="20"/>
          <w:szCs w:val="20"/>
        </w:rPr>
      </w:pPr>
      <w:bookmarkStart w:id="593" w:name="_Toc458783167"/>
      <w:bookmarkStart w:id="594" w:name="_Toc459285212"/>
      <w:r w:rsidRPr="00105FFC">
        <w:rPr>
          <w:rFonts w:asciiTheme="minorHAnsi" w:eastAsiaTheme="minorHAnsi" w:hAnsiTheme="minorHAnsi" w:cstheme="minorBidi"/>
          <w:b/>
          <w:bCs/>
          <w:sz w:val="20"/>
          <w:szCs w:val="20"/>
        </w:rPr>
        <w:t xml:space="preserve">Table </w:t>
      </w:r>
      <w:r w:rsidR="00EF2A6D" w:rsidRPr="00105FFC">
        <w:rPr>
          <w:rFonts w:asciiTheme="minorHAnsi" w:eastAsiaTheme="minorHAnsi" w:hAnsiTheme="minorHAnsi" w:cstheme="minorBidi"/>
          <w:b/>
          <w:bCs/>
          <w:sz w:val="20"/>
          <w:szCs w:val="20"/>
        </w:rPr>
        <w:fldChar w:fldCharType="begin"/>
      </w:r>
      <w:r w:rsidR="00EF2A6D" w:rsidRPr="00105FFC">
        <w:rPr>
          <w:rFonts w:asciiTheme="minorHAnsi" w:eastAsiaTheme="minorHAnsi" w:hAnsiTheme="minorHAnsi" w:cstheme="minorBidi"/>
          <w:b/>
          <w:bCs/>
          <w:sz w:val="20"/>
          <w:szCs w:val="20"/>
        </w:rPr>
        <w:instrText xml:space="preserve"> SEQ Table \* ARABIC </w:instrText>
      </w:r>
      <w:r w:rsidR="00EF2A6D" w:rsidRPr="00105FFC">
        <w:rPr>
          <w:rFonts w:asciiTheme="minorHAnsi" w:eastAsiaTheme="minorHAnsi" w:hAnsiTheme="minorHAnsi" w:cstheme="minorBidi"/>
          <w:b/>
          <w:bCs/>
          <w:sz w:val="20"/>
          <w:szCs w:val="20"/>
        </w:rPr>
        <w:fldChar w:fldCharType="separate"/>
      </w:r>
      <w:r w:rsidR="00B04F0F">
        <w:rPr>
          <w:rFonts w:asciiTheme="minorHAnsi" w:eastAsiaTheme="minorHAnsi" w:hAnsiTheme="minorHAnsi" w:cstheme="minorBidi"/>
          <w:b/>
          <w:bCs/>
          <w:noProof/>
          <w:sz w:val="20"/>
          <w:szCs w:val="20"/>
        </w:rPr>
        <w:t>67</w:t>
      </w:r>
      <w:r w:rsidR="00EF2A6D" w:rsidRPr="00105FFC">
        <w:rPr>
          <w:rFonts w:asciiTheme="minorHAnsi" w:eastAsiaTheme="minorHAnsi" w:hAnsiTheme="minorHAnsi" w:cstheme="minorBidi"/>
          <w:b/>
          <w:bCs/>
          <w:sz w:val="20"/>
          <w:szCs w:val="20"/>
        </w:rPr>
        <w:fldChar w:fldCharType="end"/>
      </w:r>
      <w:r w:rsidR="00EF2A6D" w:rsidRPr="00105FFC">
        <w:rPr>
          <w:rFonts w:asciiTheme="minorHAnsi" w:eastAsiaTheme="minorHAnsi" w:hAnsiTheme="minorHAnsi" w:cstheme="minorBidi"/>
          <w:b/>
          <w:bCs/>
          <w:sz w:val="20"/>
          <w:szCs w:val="20"/>
        </w:rPr>
        <w:t>:</w:t>
      </w:r>
      <w:r w:rsidR="00EF2A6D" w:rsidRPr="00105FFC">
        <w:rPr>
          <w:rFonts w:asciiTheme="minorHAnsi" w:eastAsiaTheme="minorHAnsi" w:hAnsiTheme="minorHAnsi" w:cstheme="minorBidi"/>
          <w:bCs/>
          <w:sz w:val="20"/>
          <w:szCs w:val="20"/>
        </w:rPr>
        <w:t xml:space="preserve"> Modified Call Categories</w:t>
      </w:r>
      <w:r w:rsidR="00661687" w:rsidRPr="00105FFC">
        <w:rPr>
          <w:rFonts w:asciiTheme="minorHAnsi" w:eastAsiaTheme="minorHAnsi" w:hAnsiTheme="minorHAnsi" w:cstheme="minorBidi"/>
          <w:bCs/>
          <w:sz w:val="20"/>
          <w:szCs w:val="20"/>
        </w:rPr>
        <w:t xml:space="preserve"> Used in </w:t>
      </w:r>
      <w:r w:rsidR="00EF2A6D" w:rsidRPr="00105FFC">
        <w:rPr>
          <w:rFonts w:asciiTheme="minorHAnsi" w:eastAsiaTheme="minorHAnsi" w:hAnsiTheme="minorHAnsi" w:cstheme="minorBidi"/>
          <w:bCs/>
          <w:sz w:val="20"/>
          <w:szCs w:val="20"/>
        </w:rPr>
        <w:t>Feedback Measure</w:t>
      </w:r>
      <w:bookmarkEnd w:id="593"/>
      <w:bookmarkEnd w:id="594"/>
    </w:p>
    <w:tbl>
      <w:tblPr>
        <w:tblStyle w:val="TableGrid3"/>
        <w:tblW w:w="0" w:type="auto"/>
        <w:tblLook w:val="04A0" w:firstRow="1" w:lastRow="0" w:firstColumn="1" w:lastColumn="0" w:noHBand="0" w:noVBand="1"/>
      </w:tblPr>
      <w:tblGrid>
        <w:gridCol w:w="4104"/>
        <w:gridCol w:w="5472"/>
      </w:tblGrid>
      <w:tr w:rsidR="00EF2A6D" w:rsidRPr="00105FFC" w14:paraId="7E2B241E" w14:textId="77777777" w:rsidTr="000739EB">
        <w:trPr>
          <w:trHeight w:val="420"/>
          <w:tblHeader/>
        </w:trPr>
        <w:tc>
          <w:tcPr>
            <w:tcW w:w="4104" w:type="dxa"/>
            <w:noWrap/>
            <w:vAlign w:val="center"/>
            <w:hideMark/>
          </w:tcPr>
          <w:p w14:paraId="402502DE"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Call Category</w:t>
            </w:r>
          </w:p>
        </w:tc>
        <w:tc>
          <w:tcPr>
            <w:tcW w:w="5472" w:type="dxa"/>
            <w:noWrap/>
            <w:vAlign w:val="center"/>
            <w:hideMark/>
          </w:tcPr>
          <w:p w14:paraId="66EBC681"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Reason for Call</w:t>
            </w:r>
          </w:p>
        </w:tc>
      </w:tr>
      <w:tr w:rsidR="00EF2A6D" w:rsidRPr="00105FFC" w14:paraId="5A534F0F" w14:textId="77777777" w:rsidTr="00EF2A6D">
        <w:trPr>
          <w:trHeight w:val="315"/>
        </w:trPr>
        <w:tc>
          <w:tcPr>
            <w:tcW w:w="4104" w:type="dxa"/>
            <w:vMerge w:val="restart"/>
            <w:noWrap/>
            <w:vAlign w:val="center"/>
            <w:hideMark/>
          </w:tcPr>
          <w:p w14:paraId="58158A42"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COC - Continuity of Care</w:t>
            </w:r>
          </w:p>
        </w:tc>
        <w:tc>
          <w:tcPr>
            <w:tcW w:w="5472" w:type="dxa"/>
            <w:noWrap/>
            <w:vAlign w:val="center"/>
            <w:hideMark/>
          </w:tcPr>
          <w:p w14:paraId="4D65ED7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COC2 Pregnant</w:t>
            </w:r>
          </w:p>
        </w:tc>
      </w:tr>
      <w:tr w:rsidR="00EF2A6D" w:rsidRPr="00105FFC" w14:paraId="7E863C7B" w14:textId="77777777" w:rsidTr="00EF2A6D">
        <w:trPr>
          <w:trHeight w:val="315"/>
        </w:trPr>
        <w:tc>
          <w:tcPr>
            <w:tcW w:w="4104" w:type="dxa"/>
            <w:vMerge/>
            <w:vAlign w:val="center"/>
            <w:hideMark/>
          </w:tcPr>
          <w:p w14:paraId="490CDD1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D89E79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COC3 PCP/Specialist Not in Same Plan</w:t>
            </w:r>
          </w:p>
        </w:tc>
      </w:tr>
      <w:tr w:rsidR="00EF2A6D" w:rsidRPr="00105FFC" w14:paraId="6201F8A1" w14:textId="77777777" w:rsidTr="00EF2A6D">
        <w:trPr>
          <w:trHeight w:val="315"/>
        </w:trPr>
        <w:tc>
          <w:tcPr>
            <w:tcW w:w="4104" w:type="dxa"/>
            <w:vMerge/>
            <w:vAlign w:val="center"/>
            <w:hideMark/>
          </w:tcPr>
          <w:p w14:paraId="7ECB367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4F54FC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COC5 Other Qualifying Condition</w:t>
            </w:r>
          </w:p>
        </w:tc>
      </w:tr>
      <w:tr w:rsidR="00EF2A6D" w:rsidRPr="00105FFC" w14:paraId="7BC511E1" w14:textId="77777777" w:rsidTr="00EF2A6D">
        <w:trPr>
          <w:trHeight w:val="315"/>
        </w:trPr>
        <w:tc>
          <w:tcPr>
            <w:tcW w:w="4104" w:type="dxa"/>
            <w:vMerge/>
            <w:vAlign w:val="center"/>
            <w:hideMark/>
          </w:tcPr>
          <w:p w14:paraId="00AC1DF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6057E2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COC6 SPD LTC Issue</w:t>
            </w:r>
          </w:p>
        </w:tc>
      </w:tr>
      <w:tr w:rsidR="00EF2A6D" w:rsidRPr="00105FFC" w14:paraId="6136688A" w14:textId="77777777" w:rsidTr="00EF2A6D">
        <w:trPr>
          <w:trHeight w:val="315"/>
        </w:trPr>
        <w:tc>
          <w:tcPr>
            <w:tcW w:w="4104" w:type="dxa"/>
            <w:vMerge/>
            <w:vAlign w:val="center"/>
            <w:hideMark/>
          </w:tcPr>
          <w:p w14:paraId="524BD22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1C943A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EDU1 Mandatory Enrollment Issue/ Wants to become FFS</w:t>
            </w:r>
          </w:p>
        </w:tc>
      </w:tr>
      <w:tr w:rsidR="00EF2A6D" w:rsidRPr="00105FFC" w14:paraId="1A4A4A9B" w14:textId="77777777" w:rsidTr="00EF2A6D">
        <w:trPr>
          <w:trHeight w:val="315"/>
        </w:trPr>
        <w:tc>
          <w:tcPr>
            <w:tcW w:w="4104" w:type="dxa"/>
            <w:vMerge/>
            <w:vAlign w:val="center"/>
            <w:hideMark/>
          </w:tcPr>
          <w:p w14:paraId="7F55596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85404D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EDU8 Duals/CCI Education</w:t>
            </w:r>
          </w:p>
        </w:tc>
      </w:tr>
      <w:tr w:rsidR="00EF2A6D" w:rsidRPr="00105FFC" w14:paraId="1CA4C8BD" w14:textId="77777777" w:rsidTr="00EF2A6D">
        <w:trPr>
          <w:trHeight w:val="315"/>
        </w:trPr>
        <w:tc>
          <w:tcPr>
            <w:tcW w:w="4104" w:type="dxa"/>
            <w:vMerge/>
            <w:vAlign w:val="center"/>
            <w:hideMark/>
          </w:tcPr>
          <w:p w14:paraId="2F1CCD0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EF1C87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ELG4 Medi-Cal Eligibility Terminated</w:t>
            </w:r>
          </w:p>
        </w:tc>
      </w:tr>
      <w:tr w:rsidR="00EF2A6D" w:rsidRPr="00105FFC" w14:paraId="707642B2" w14:textId="77777777" w:rsidTr="00EF2A6D">
        <w:trPr>
          <w:trHeight w:val="315"/>
        </w:trPr>
        <w:tc>
          <w:tcPr>
            <w:tcW w:w="4104" w:type="dxa"/>
            <w:vMerge/>
            <w:vAlign w:val="center"/>
            <w:hideMark/>
          </w:tcPr>
          <w:p w14:paraId="78B5BB0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ED4B02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ELG5 Share of Cost</w:t>
            </w:r>
          </w:p>
        </w:tc>
      </w:tr>
      <w:tr w:rsidR="00EF2A6D" w:rsidRPr="00105FFC" w14:paraId="61D0BD7B" w14:textId="77777777" w:rsidTr="00EF2A6D">
        <w:trPr>
          <w:trHeight w:val="315"/>
        </w:trPr>
        <w:tc>
          <w:tcPr>
            <w:tcW w:w="4104" w:type="dxa"/>
            <w:vMerge/>
            <w:vAlign w:val="center"/>
            <w:hideMark/>
          </w:tcPr>
          <w:p w14:paraId="03E99CF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437F57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HCO16 MER/EDER Status Check</w:t>
            </w:r>
          </w:p>
        </w:tc>
      </w:tr>
      <w:tr w:rsidR="00EF2A6D" w:rsidRPr="00105FFC" w14:paraId="0E00D040" w14:textId="77777777" w:rsidTr="00EF2A6D">
        <w:trPr>
          <w:trHeight w:val="315"/>
        </w:trPr>
        <w:tc>
          <w:tcPr>
            <w:tcW w:w="4104" w:type="dxa"/>
            <w:vMerge/>
            <w:vAlign w:val="center"/>
            <w:hideMark/>
          </w:tcPr>
          <w:p w14:paraId="2001FD1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7561F7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HCO2 Requesting new enrollment into Plan</w:t>
            </w:r>
          </w:p>
        </w:tc>
      </w:tr>
      <w:tr w:rsidR="00EF2A6D" w:rsidRPr="00105FFC" w14:paraId="291F35A7" w14:textId="77777777" w:rsidTr="00EF2A6D">
        <w:trPr>
          <w:trHeight w:val="315"/>
        </w:trPr>
        <w:tc>
          <w:tcPr>
            <w:tcW w:w="4104" w:type="dxa"/>
            <w:vMerge/>
            <w:vAlign w:val="center"/>
            <w:hideMark/>
          </w:tcPr>
          <w:p w14:paraId="5041E27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A98F5E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HCO3 Wants to Change Plans</w:t>
            </w:r>
          </w:p>
        </w:tc>
      </w:tr>
      <w:tr w:rsidR="00EF2A6D" w:rsidRPr="00105FFC" w14:paraId="0C84F691" w14:textId="77777777" w:rsidTr="00EF2A6D">
        <w:trPr>
          <w:trHeight w:val="315"/>
        </w:trPr>
        <w:tc>
          <w:tcPr>
            <w:tcW w:w="4104" w:type="dxa"/>
            <w:vMerge/>
            <w:vAlign w:val="center"/>
            <w:hideMark/>
          </w:tcPr>
          <w:p w14:paraId="2D5A161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40F5D8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HCO4 Wants to Disenroll from Plan to become FFS</w:t>
            </w:r>
          </w:p>
        </w:tc>
      </w:tr>
      <w:tr w:rsidR="00EF2A6D" w:rsidRPr="00105FFC" w14:paraId="44532278" w14:textId="77777777" w:rsidTr="00EF2A6D">
        <w:trPr>
          <w:trHeight w:val="315"/>
        </w:trPr>
        <w:tc>
          <w:tcPr>
            <w:tcW w:w="4104" w:type="dxa"/>
            <w:vMerge/>
            <w:vAlign w:val="center"/>
            <w:hideMark/>
          </w:tcPr>
          <w:p w14:paraId="63F3D46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C27F79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HCO6 MER/EDER Denial</w:t>
            </w:r>
          </w:p>
        </w:tc>
      </w:tr>
      <w:tr w:rsidR="00EF2A6D" w:rsidRPr="00105FFC" w14:paraId="356F58D2" w14:textId="77777777" w:rsidTr="00EF2A6D">
        <w:trPr>
          <w:trHeight w:val="315"/>
        </w:trPr>
        <w:tc>
          <w:tcPr>
            <w:tcW w:w="4104" w:type="dxa"/>
            <w:vMerge/>
            <w:vAlign w:val="center"/>
            <w:hideMark/>
          </w:tcPr>
          <w:p w14:paraId="445E26A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AFE362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HCO8 Long Term Care Issue (DER Request)</w:t>
            </w:r>
          </w:p>
        </w:tc>
      </w:tr>
      <w:tr w:rsidR="00EF2A6D" w:rsidRPr="00105FFC" w14:paraId="2918CEB7" w14:textId="77777777" w:rsidTr="00EF2A6D">
        <w:trPr>
          <w:trHeight w:val="315"/>
        </w:trPr>
        <w:tc>
          <w:tcPr>
            <w:tcW w:w="4104" w:type="dxa"/>
            <w:vMerge/>
            <w:vAlign w:val="center"/>
            <w:hideMark/>
          </w:tcPr>
          <w:p w14:paraId="0BAF390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C2C432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HCP7 Transportation</w:t>
            </w:r>
          </w:p>
        </w:tc>
      </w:tr>
      <w:tr w:rsidR="00EF2A6D" w:rsidRPr="00105FFC" w14:paraId="316E3AE3" w14:textId="77777777" w:rsidTr="00EF2A6D">
        <w:trPr>
          <w:trHeight w:val="315"/>
        </w:trPr>
        <w:tc>
          <w:tcPr>
            <w:tcW w:w="4104" w:type="dxa"/>
            <w:vMerge/>
            <w:vAlign w:val="center"/>
            <w:hideMark/>
          </w:tcPr>
          <w:p w14:paraId="37BF080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6A34A8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MISC3 Other (Please specify in notes)</w:t>
            </w:r>
          </w:p>
        </w:tc>
      </w:tr>
      <w:tr w:rsidR="00EF2A6D" w:rsidRPr="00105FFC" w14:paraId="3F909146" w14:textId="77777777" w:rsidTr="00EF2A6D">
        <w:trPr>
          <w:trHeight w:val="315"/>
        </w:trPr>
        <w:tc>
          <w:tcPr>
            <w:tcW w:w="4104" w:type="dxa"/>
            <w:vMerge/>
            <w:vAlign w:val="center"/>
            <w:hideMark/>
          </w:tcPr>
          <w:p w14:paraId="6CD5F24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6BB6EA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MISC4 Voice Mail Call - No Answer</w:t>
            </w:r>
          </w:p>
        </w:tc>
      </w:tr>
      <w:tr w:rsidR="00EF2A6D" w:rsidRPr="00105FFC" w14:paraId="394B80C9" w14:textId="77777777" w:rsidTr="00EF2A6D">
        <w:trPr>
          <w:trHeight w:val="315"/>
        </w:trPr>
        <w:tc>
          <w:tcPr>
            <w:tcW w:w="4104" w:type="dxa"/>
            <w:vMerge/>
            <w:vAlign w:val="center"/>
            <w:hideMark/>
          </w:tcPr>
          <w:p w14:paraId="2822026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BC2BFF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MISC5 Voice Mail Call – Issue Resolved</w:t>
            </w:r>
          </w:p>
        </w:tc>
      </w:tr>
      <w:tr w:rsidR="00EF2A6D" w:rsidRPr="00105FFC" w14:paraId="59E60C39" w14:textId="77777777" w:rsidTr="00EF2A6D">
        <w:trPr>
          <w:trHeight w:val="315"/>
        </w:trPr>
        <w:tc>
          <w:tcPr>
            <w:tcW w:w="4104" w:type="dxa"/>
            <w:vMerge/>
            <w:vAlign w:val="center"/>
            <w:hideMark/>
          </w:tcPr>
          <w:p w14:paraId="209863E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13C85C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PRV2 Billing Discrepancy</w:t>
            </w:r>
          </w:p>
        </w:tc>
      </w:tr>
      <w:tr w:rsidR="00EF2A6D" w:rsidRPr="00105FFC" w14:paraId="54F43ADF" w14:textId="77777777" w:rsidTr="00EF2A6D">
        <w:trPr>
          <w:trHeight w:val="315"/>
        </w:trPr>
        <w:tc>
          <w:tcPr>
            <w:tcW w:w="4104" w:type="dxa"/>
            <w:vMerge/>
            <w:vAlign w:val="center"/>
            <w:hideMark/>
          </w:tcPr>
          <w:p w14:paraId="696FBF1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F03EEF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QOC1 Refusal of Care</w:t>
            </w:r>
          </w:p>
        </w:tc>
      </w:tr>
      <w:tr w:rsidR="00EF2A6D" w:rsidRPr="00105FFC" w14:paraId="7355E32C" w14:textId="77777777" w:rsidTr="00EF2A6D">
        <w:trPr>
          <w:trHeight w:val="315"/>
        </w:trPr>
        <w:tc>
          <w:tcPr>
            <w:tcW w:w="4104" w:type="dxa"/>
            <w:vMerge/>
            <w:vAlign w:val="center"/>
            <w:hideMark/>
          </w:tcPr>
          <w:p w14:paraId="38836AA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49E98B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QOC2 Refusal of Medications</w:t>
            </w:r>
          </w:p>
        </w:tc>
      </w:tr>
      <w:tr w:rsidR="00EF2A6D" w:rsidRPr="00105FFC" w14:paraId="2E5C7420" w14:textId="77777777" w:rsidTr="00EF2A6D">
        <w:trPr>
          <w:trHeight w:val="315"/>
        </w:trPr>
        <w:tc>
          <w:tcPr>
            <w:tcW w:w="4104" w:type="dxa"/>
            <w:vMerge/>
            <w:vAlign w:val="center"/>
            <w:hideMark/>
          </w:tcPr>
          <w:p w14:paraId="40F8F36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99E061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QOC3 Denial of Medical Supplies</w:t>
            </w:r>
          </w:p>
        </w:tc>
      </w:tr>
      <w:tr w:rsidR="00EF2A6D" w:rsidRPr="00105FFC" w14:paraId="01834E28" w14:textId="77777777" w:rsidTr="00EF2A6D">
        <w:trPr>
          <w:trHeight w:val="315"/>
        </w:trPr>
        <w:tc>
          <w:tcPr>
            <w:tcW w:w="4104" w:type="dxa"/>
            <w:vMerge/>
            <w:vAlign w:val="center"/>
            <w:hideMark/>
          </w:tcPr>
          <w:p w14:paraId="2BDFCC5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3ADE6F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QOC6 Prior Authorization Denial/Delay</w:t>
            </w:r>
          </w:p>
        </w:tc>
      </w:tr>
      <w:tr w:rsidR="00EF2A6D" w:rsidRPr="00105FFC" w14:paraId="388CD61F" w14:textId="77777777" w:rsidTr="00EF2A6D">
        <w:trPr>
          <w:trHeight w:val="315"/>
        </w:trPr>
        <w:tc>
          <w:tcPr>
            <w:tcW w:w="4104" w:type="dxa"/>
            <w:vMerge/>
            <w:vAlign w:val="center"/>
            <w:hideMark/>
          </w:tcPr>
          <w:p w14:paraId="255A0AA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A56A1E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QOC8 Communication/ Behavior/ Attitude of Staff</w:t>
            </w:r>
          </w:p>
        </w:tc>
      </w:tr>
      <w:tr w:rsidR="00EF2A6D" w:rsidRPr="00105FFC" w14:paraId="233183A5" w14:textId="77777777" w:rsidTr="00EF2A6D">
        <w:trPr>
          <w:trHeight w:val="315"/>
        </w:trPr>
        <w:tc>
          <w:tcPr>
            <w:tcW w:w="4104" w:type="dxa"/>
            <w:vMerge w:val="restart"/>
            <w:noWrap/>
            <w:vAlign w:val="center"/>
            <w:hideMark/>
          </w:tcPr>
          <w:p w14:paraId="0DFF26E3"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EDU - Education &amp; Outreach</w:t>
            </w:r>
          </w:p>
        </w:tc>
        <w:tc>
          <w:tcPr>
            <w:tcW w:w="5472" w:type="dxa"/>
            <w:noWrap/>
            <w:vAlign w:val="center"/>
            <w:hideMark/>
          </w:tcPr>
          <w:p w14:paraId="1083968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COC1 Provider Not a Plan Partner</w:t>
            </w:r>
          </w:p>
        </w:tc>
      </w:tr>
      <w:tr w:rsidR="00EF2A6D" w:rsidRPr="00105FFC" w14:paraId="0E128C01" w14:textId="77777777" w:rsidTr="00EF2A6D">
        <w:trPr>
          <w:trHeight w:val="315"/>
        </w:trPr>
        <w:tc>
          <w:tcPr>
            <w:tcW w:w="4104" w:type="dxa"/>
            <w:vMerge/>
            <w:vAlign w:val="center"/>
            <w:hideMark/>
          </w:tcPr>
          <w:p w14:paraId="3D940DE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3E75E1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COC2 Pregnant</w:t>
            </w:r>
          </w:p>
        </w:tc>
      </w:tr>
      <w:tr w:rsidR="00EF2A6D" w:rsidRPr="00105FFC" w14:paraId="2917D155" w14:textId="77777777" w:rsidTr="00EF2A6D">
        <w:trPr>
          <w:trHeight w:val="315"/>
        </w:trPr>
        <w:tc>
          <w:tcPr>
            <w:tcW w:w="4104" w:type="dxa"/>
            <w:vMerge/>
            <w:vAlign w:val="center"/>
            <w:hideMark/>
          </w:tcPr>
          <w:p w14:paraId="7891B37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89DCEE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COC6 SPD LTC Issue</w:t>
            </w:r>
          </w:p>
        </w:tc>
      </w:tr>
      <w:tr w:rsidR="00EF2A6D" w:rsidRPr="00105FFC" w14:paraId="26BD7473" w14:textId="77777777" w:rsidTr="00EF2A6D">
        <w:trPr>
          <w:trHeight w:val="315"/>
        </w:trPr>
        <w:tc>
          <w:tcPr>
            <w:tcW w:w="4104" w:type="dxa"/>
            <w:vMerge/>
            <w:vAlign w:val="center"/>
            <w:hideMark/>
          </w:tcPr>
          <w:p w14:paraId="11C67A0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6452C3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 - Education &amp; Outreach</w:t>
            </w:r>
          </w:p>
        </w:tc>
      </w:tr>
      <w:tr w:rsidR="00EF2A6D" w:rsidRPr="00105FFC" w14:paraId="5E674F6A" w14:textId="77777777" w:rsidTr="00EF2A6D">
        <w:trPr>
          <w:trHeight w:val="315"/>
        </w:trPr>
        <w:tc>
          <w:tcPr>
            <w:tcW w:w="4104" w:type="dxa"/>
            <w:vMerge/>
            <w:vAlign w:val="center"/>
            <w:hideMark/>
          </w:tcPr>
          <w:p w14:paraId="4D29240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E58595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EDU1 Mandatory Enrollment Issue/ Wants to become FFS</w:t>
            </w:r>
          </w:p>
        </w:tc>
      </w:tr>
      <w:tr w:rsidR="00EF2A6D" w:rsidRPr="00105FFC" w14:paraId="672F0F39" w14:textId="77777777" w:rsidTr="00EF2A6D">
        <w:trPr>
          <w:trHeight w:val="315"/>
        </w:trPr>
        <w:tc>
          <w:tcPr>
            <w:tcW w:w="4104" w:type="dxa"/>
            <w:vMerge/>
            <w:vAlign w:val="center"/>
            <w:hideMark/>
          </w:tcPr>
          <w:p w14:paraId="3C5E914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2F8A06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EDU2 Mandatory Enrollment Issue/ Enrolled into COHS</w:t>
            </w:r>
          </w:p>
        </w:tc>
      </w:tr>
      <w:tr w:rsidR="00EF2A6D" w:rsidRPr="00105FFC" w14:paraId="7F00CB03" w14:textId="77777777" w:rsidTr="00EF2A6D">
        <w:trPr>
          <w:trHeight w:val="315"/>
        </w:trPr>
        <w:tc>
          <w:tcPr>
            <w:tcW w:w="4104" w:type="dxa"/>
            <w:vMerge/>
            <w:vAlign w:val="center"/>
            <w:hideMark/>
          </w:tcPr>
          <w:p w14:paraId="1367DC3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2771F8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EDU2 Mandatory Enrollment Issue/ Enrolled into COHS Plan</w:t>
            </w:r>
          </w:p>
        </w:tc>
      </w:tr>
      <w:tr w:rsidR="00EF2A6D" w:rsidRPr="00105FFC" w14:paraId="2CBB458E" w14:textId="77777777" w:rsidTr="00EF2A6D">
        <w:trPr>
          <w:trHeight w:val="315"/>
        </w:trPr>
        <w:tc>
          <w:tcPr>
            <w:tcW w:w="4104" w:type="dxa"/>
            <w:vMerge/>
            <w:vAlign w:val="center"/>
            <w:hideMark/>
          </w:tcPr>
          <w:p w14:paraId="5C793DE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248C50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EDU3 Notice of Action</w:t>
            </w:r>
          </w:p>
        </w:tc>
      </w:tr>
      <w:tr w:rsidR="00EF2A6D" w:rsidRPr="00105FFC" w14:paraId="17A4C9AD" w14:textId="77777777" w:rsidTr="00EF2A6D">
        <w:trPr>
          <w:trHeight w:val="315"/>
        </w:trPr>
        <w:tc>
          <w:tcPr>
            <w:tcW w:w="4104" w:type="dxa"/>
            <w:vMerge/>
            <w:vAlign w:val="center"/>
            <w:hideMark/>
          </w:tcPr>
          <w:p w14:paraId="2768324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35D918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EDU4 SPD Education</w:t>
            </w:r>
          </w:p>
        </w:tc>
      </w:tr>
      <w:tr w:rsidR="00EF2A6D" w:rsidRPr="00105FFC" w14:paraId="40242A1A" w14:textId="77777777" w:rsidTr="00EF2A6D">
        <w:trPr>
          <w:trHeight w:val="315"/>
        </w:trPr>
        <w:tc>
          <w:tcPr>
            <w:tcW w:w="4104" w:type="dxa"/>
            <w:vMerge/>
            <w:vAlign w:val="center"/>
            <w:hideMark/>
          </w:tcPr>
          <w:p w14:paraId="27D9BF5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78DA5F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EDU5 ADHC Education</w:t>
            </w:r>
          </w:p>
        </w:tc>
      </w:tr>
      <w:tr w:rsidR="00EF2A6D" w:rsidRPr="00105FFC" w14:paraId="2B49A762" w14:textId="77777777" w:rsidTr="00EF2A6D">
        <w:trPr>
          <w:trHeight w:val="315"/>
        </w:trPr>
        <w:tc>
          <w:tcPr>
            <w:tcW w:w="4104" w:type="dxa"/>
            <w:vMerge/>
            <w:vAlign w:val="center"/>
            <w:hideMark/>
          </w:tcPr>
          <w:p w14:paraId="4670049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26C998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EDU6 CBAS Education</w:t>
            </w:r>
          </w:p>
        </w:tc>
      </w:tr>
      <w:tr w:rsidR="00EF2A6D" w:rsidRPr="00105FFC" w14:paraId="2E304179" w14:textId="77777777" w:rsidTr="00EF2A6D">
        <w:trPr>
          <w:trHeight w:val="315"/>
        </w:trPr>
        <w:tc>
          <w:tcPr>
            <w:tcW w:w="4104" w:type="dxa"/>
            <w:vMerge/>
            <w:vAlign w:val="center"/>
            <w:hideMark/>
          </w:tcPr>
          <w:p w14:paraId="43A712F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B8EBE8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EDU7 Healthy Families Education</w:t>
            </w:r>
          </w:p>
        </w:tc>
      </w:tr>
      <w:tr w:rsidR="00EF2A6D" w:rsidRPr="00105FFC" w14:paraId="11767E39" w14:textId="77777777" w:rsidTr="00EF2A6D">
        <w:trPr>
          <w:trHeight w:val="315"/>
        </w:trPr>
        <w:tc>
          <w:tcPr>
            <w:tcW w:w="4104" w:type="dxa"/>
            <w:vMerge/>
            <w:vAlign w:val="center"/>
            <w:hideMark/>
          </w:tcPr>
          <w:p w14:paraId="0C4C7F5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DBD47C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EDU8 Duals/CCI Education</w:t>
            </w:r>
          </w:p>
        </w:tc>
      </w:tr>
      <w:tr w:rsidR="00EF2A6D" w:rsidRPr="00105FFC" w14:paraId="6D98C790" w14:textId="77777777" w:rsidTr="00EF2A6D">
        <w:trPr>
          <w:trHeight w:val="315"/>
        </w:trPr>
        <w:tc>
          <w:tcPr>
            <w:tcW w:w="4104" w:type="dxa"/>
            <w:vMerge/>
            <w:vAlign w:val="center"/>
            <w:hideMark/>
          </w:tcPr>
          <w:p w14:paraId="09D512B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E3BF7A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ELG1 Inaccurate Aid Code</w:t>
            </w:r>
          </w:p>
        </w:tc>
      </w:tr>
      <w:tr w:rsidR="00EF2A6D" w:rsidRPr="00105FFC" w14:paraId="0B19CC1C" w14:textId="77777777" w:rsidTr="00EF2A6D">
        <w:trPr>
          <w:trHeight w:val="315"/>
        </w:trPr>
        <w:tc>
          <w:tcPr>
            <w:tcW w:w="4104" w:type="dxa"/>
            <w:vMerge/>
            <w:vAlign w:val="center"/>
            <w:hideMark/>
          </w:tcPr>
          <w:p w14:paraId="192CCFD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72ED7C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 xml:space="preserve">ELG2 </w:t>
            </w:r>
            <w:r w:rsidR="00116CB2" w:rsidRPr="00105FFC">
              <w:rPr>
                <w:rFonts w:asciiTheme="minorHAnsi" w:hAnsiTheme="minorHAnsi"/>
                <w:color w:val="000000"/>
                <w:sz w:val="20"/>
                <w:szCs w:val="20"/>
              </w:rPr>
              <w:t>Inaccurate</w:t>
            </w:r>
            <w:r w:rsidRPr="00105FFC">
              <w:rPr>
                <w:rFonts w:asciiTheme="minorHAnsi" w:hAnsiTheme="minorHAnsi"/>
                <w:color w:val="000000"/>
                <w:sz w:val="20"/>
                <w:szCs w:val="20"/>
              </w:rPr>
              <w:t xml:space="preserve"> County Code</w:t>
            </w:r>
          </w:p>
        </w:tc>
      </w:tr>
      <w:tr w:rsidR="00EF2A6D" w:rsidRPr="00105FFC" w14:paraId="0188E181" w14:textId="77777777" w:rsidTr="00EF2A6D">
        <w:trPr>
          <w:trHeight w:val="315"/>
        </w:trPr>
        <w:tc>
          <w:tcPr>
            <w:tcW w:w="4104" w:type="dxa"/>
            <w:vMerge/>
            <w:vAlign w:val="center"/>
            <w:hideMark/>
          </w:tcPr>
          <w:p w14:paraId="77B8129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BADB1B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ELG3 Address Correction/ Beneficiary Moved</w:t>
            </w:r>
          </w:p>
        </w:tc>
      </w:tr>
      <w:tr w:rsidR="00EF2A6D" w:rsidRPr="00105FFC" w14:paraId="714CE9F8" w14:textId="77777777" w:rsidTr="00EF2A6D">
        <w:trPr>
          <w:trHeight w:val="315"/>
        </w:trPr>
        <w:tc>
          <w:tcPr>
            <w:tcW w:w="4104" w:type="dxa"/>
            <w:vMerge/>
            <w:vAlign w:val="center"/>
            <w:hideMark/>
          </w:tcPr>
          <w:p w14:paraId="7B3FC1B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7F8727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ELG4 Medi-Cal Eligibility Terminated</w:t>
            </w:r>
          </w:p>
        </w:tc>
      </w:tr>
      <w:tr w:rsidR="00EF2A6D" w:rsidRPr="00105FFC" w14:paraId="6D34FE01" w14:textId="77777777" w:rsidTr="00EF2A6D">
        <w:trPr>
          <w:trHeight w:val="315"/>
        </w:trPr>
        <w:tc>
          <w:tcPr>
            <w:tcW w:w="4104" w:type="dxa"/>
            <w:vMerge/>
            <w:vAlign w:val="center"/>
            <w:hideMark/>
          </w:tcPr>
          <w:p w14:paraId="2EB8B0A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E5DBD5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ELG5 Share of Cost</w:t>
            </w:r>
          </w:p>
        </w:tc>
      </w:tr>
      <w:tr w:rsidR="00EF2A6D" w:rsidRPr="00105FFC" w14:paraId="46C82C05" w14:textId="77777777" w:rsidTr="00EF2A6D">
        <w:trPr>
          <w:trHeight w:val="315"/>
        </w:trPr>
        <w:tc>
          <w:tcPr>
            <w:tcW w:w="4104" w:type="dxa"/>
            <w:vMerge/>
            <w:vAlign w:val="center"/>
            <w:hideMark/>
          </w:tcPr>
          <w:p w14:paraId="2501591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FC36A0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ELG6 Foster Care/Adoption Category</w:t>
            </w:r>
          </w:p>
        </w:tc>
      </w:tr>
      <w:tr w:rsidR="00EF2A6D" w:rsidRPr="00105FFC" w14:paraId="45BAD6F0" w14:textId="77777777" w:rsidTr="00EF2A6D">
        <w:trPr>
          <w:trHeight w:val="315"/>
        </w:trPr>
        <w:tc>
          <w:tcPr>
            <w:tcW w:w="4104" w:type="dxa"/>
            <w:vMerge/>
            <w:vAlign w:val="center"/>
            <w:hideMark/>
          </w:tcPr>
          <w:p w14:paraId="084D979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3BDDC5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ELG7 Restricted Aid Code</w:t>
            </w:r>
          </w:p>
        </w:tc>
      </w:tr>
      <w:tr w:rsidR="00EF2A6D" w:rsidRPr="00105FFC" w14:paraId="41A9AD1B" w14:textId="77777777" w:rsidTr="00EF2A6D">
        <w:trPr>
          <w:trHeight w:val="315"/>
        </w:trPr>
        <w:tc>
          <w:tcPr>
            <w:tcW w:w="4104" w:type="dxa"/>
            <w:vMerge/>
            <w:vAlign w:val="center"/>
            <w:hideMark/>
          </w:tcPr>
          <w:p w14:paraId="2BD48D2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437F47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 Hold on Plan</w:t>
            </w:r>
          </w:p>
        </w:tc>
      </w:tr>
      <w:tr w:rsidR="00EF2A6D" w:rsidRPr="00105FFC" w14:paraId="75F2F9D2" w14:textId="77777777" w:rsidTr="00EF2A6D">
        <w:trPr>
          <w:trHeight w:val="315"/>
        </w:trPr>
        <w:tc>
          <w:tcPr>
            <w:tcW w:w="4104" w:type="dxa"/>
            <w:vMerge/>
            <w:vAlign w:val="center"/>
            <w:hideMark/>
          </w:tcPr>
          <w:p w14:paraId="2562A9A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513DC3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HCO15 SPD MER/EDER Denial</w:t>
            </w:r>
          </w:p>
        </w:tc>
      </w:tr>
      <w:tr w:rsidR="00EF2A6D" w:rsidRPr="00105FFC" w14:paraId="08C32EE2" w14:textId="77777777" w:rsidTr="00EF2A6D">
        <w:trPr>
          <w:trHeight w:val="315"/>
        </w:trPr>
        <w:tc>
          <w:tcPr>
            <w:tcW w:w="4104" w:type="dxa"/>
            <w:vMerge/>
            <w:vAlign w:val="center"/>
            <w:hideMark/>
          </w:tcPr>
          <w:p w14:paraId="0566EC1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87B2EE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HCO16 MER/EDER Status Check</w:t>
            </w:r>
          </w:p>
        </w:tc>
      </w:tr>
      <w:tr w:rsidR="00EF2A6D" w:rsidRPr="00105FFC" w14:paraId="7E1B636D" w14:textId="77777777" w:rsidTr="00EF2A6D">
        <w:trPr>
          <w:trHeight w:val="315"/>
        </w:trPr>
        <w:tc>
          <w:tcPr>
            <w:tcW w:w="4104" w:type="dxa"/>
            <w:vMerge/>
            <w:vAlign w:val="center"/>
            <w:hideMark/>
          </w:tcPr>
          <w:p w14:paraId="42EA5B3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3B9E88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HCO2 Requesting new enrollment into Plan</w:t>
            </w:r>
          </w:p>
        </w:tc>
      </w:tr>
      <w:tr w:rsidR="00EF2A6D" w:rsidRPr="00105FFC" w14:paraId="30172253" w14:textId="77777777" w:rsidTr="00EF2A6D">
        <w:trPr>
          <w:trHeight w:val="315"/>
        </w:trPr>
        <w:tc>
          <w:tcPr>
            <w:tcW w:w="4104" w:type="dxa"/>
            <w:vMerge/>
            <w:vAlign w:val="center"/>
            <w:hideMark/>
          </w:tcPr>
          <w:p w14:paraId="7BC2569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981B55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HCO4 Wants to Disenroll from Plan to become FFS</w:t>
            </w:r>
          </w:p>
        </w:tc>
      </w:tr>
      <w:tr w:rsidR="00EF2A6D" w:rsidRPr="00105FFC" w14:paraId="7DDBD679" w14:textId="77777777" w:rsidTr="00EF2A6D">
        <w:trPr>
          <w:trHeight w:val="315"/>
        </w:trPr>
        <w:tc>
          <w:tcPr>
            <w:tcW w:w="4104" w:type="dxa"/>
            <w:vMerge/>
            <w:vAlign w:val="center"/>
            <w:hideMark/>
          </w:tcPr>
          <w:p w14:paraId="028CA1D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828BCB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HCO9 Foster Care / Adoption (DER Request)</w:t>
            </w:r>
          </w:p>
        </w:tc>
      </w:tr>
      <w:tr w:rsidR="00EF2A6D" w:rsidRPr="00105FFC" w14:paraId="0183771F" w14:textId="77777777" w:rsidTr="00EF2A6D">
        <w:trPr>
          <w:trHeight w:val="315"/>
        </w:trPr>
        <w:tc>
          <w:tcPr>
            <w:tcW w:w="4104" w:type="dxa"/>
            <w:vMerge/>
            <w:vAlign w:val="center"/>
            <w:hideMark/>
          </w:tcPr>
          <w:p w14:paraId="75BFE0A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D1B75C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HCP1 Not Assigned Requested PCP/IPA</w:t>
            </w:r>
          </w:p>
        </w:tc>
      </w:tr>
      <w:tr w:rsidR="00EF2A6D" w:rsidRPr="00105FFC" w14:paraId="18D475C0" w14:textId="77777777" w:rsidTr="00EF2A6D">
        <w:trPr>
          <w:trHeight w:val="315"/>
        </w:trPr>
        <w:tc>
          <w:tcPr>
            <w:tcW w:w="4104" w:type="dxa"/>
            <w:vMerge/>
            <w:vAlign w:val="center"/>
            <w:hideMark/>
          </w:tcPr>
          <w:p w14:paraId="2B7D897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A0FBD0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HCP12 Mental Health Access Issues</w:t>
            </w:r>
          </w:p>
        </w:tc>
      </w:tr>
      <w:tr w:rsidR="00EF2A6D" w:rsidRPr="00105FFC" w14:paraId="3C1ACFEC" w14:textId="77777777" w:rsidTr="00EF2A6D">
        <w:trPr>
          <w:trHeight w:val="315"/>
        </w:trPr>
        <w:tc>
          <w:tcPr>
            <w:tcW w:w="4104" w:type="dxa"/>
            <w:vMerge/>
            <w:vAlign w:val="center"/>
            <w:hideMark/>
          </w:tcPr>
          <w:p w14:paraId="29B616A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99033A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HCP2 Wants to Change Provider</w:t>
            </w:r>
          </w:p>
        </w:tc>
      </w:tr>
      <w:tr w:rsidR="00EF2A6D" w:rsidRPr="00105FFC" w14:paraId="76BE98B6" w14:textId="77777777" w:rsidTr="00EF2A6D">
        <w:trPr>
          <w:trHeight w:val="315"/>
        </w:trPr>
        <w:tc>
          <w:tcPr>
            <w:tcW w:w="4104" w:type="dxa"/>
            <w:vMerge/>
            <w:vAlign w:val="center"/>
            <w:hideMark/>
          </w:tcPr>
          <w:p w14:paraId="6BA753B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D43A28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HCP5 Health Card Not Issued</w:t>
            </w:r>
          </w:p>
        </w:tc>
      </w:tr>
      <w:tr w:rsidR="00EF2A6D" w:rsidRPr="00105FFC" w14:paraId="7DFE2CD4" w14:textId="77777777" w:rsidTr="00EF2A6D">
        <w:trPr>
          <w:trHeight w:val="315"/>
        </w:trPr>
        <w:tc>
          <w:tcPr>
            <w:tcW w:w="4104" w:type="dxa"/>
            <w:vMerge/>
            <w:vAlign w:val="center"/>
            <w:hideMark/>
          </w:tcPr>
          <w:p w14:paraId="08F57A8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C69480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HCP6 Communications/Behavior/Attitude of Staff</w:t>
            </w:r>
          </w:p>
        </w:tc>
      </w:tr>
      <w:tr w:rsidR="00EF2A6D" w:rsidRPr="00105FFC" w14:paraId="32C5AA90" w14:textId="77777777" w:rsidTr="00EF2A6D">
        <w:trPr>
          <w:trHeight w:val="315"/>
        </w:trPr>
        <w:tc>
          <w:tcPr>
            <w:tcW w:w="4104" w:type="dxa"/>
            <w:vMerge/>
            <w:vAlign w:val="center"/>
            <w:hideMark/>
          </w:tcPr>
          <w:p w14:paraId="1B0AC8D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7C885E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HCP7 Transportation</w:t>
            </w:r>
          </w:p>
        </w:tc>
      </w:tr>
      <w:tr w:rsidR="00EF2A6D" w:rsidRPr="00105FFC" w14:paraId="37A575AD" w14:textId="77777777" w:rsidTr="00EF2A6D">
        <w:trPr>
          <w:trHeight w:val="315"/>
        </w:trPr>
        <w:tc>
          <w:tcPr>
            <w:tcW w:w="4104" w:type="dxa"/>
            <w:vMerge/>
            <w:vAlign w:val="center"/>
            <w:hideMark/>
          </w:tcPr>
          <w:p w14:paraId="642D204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23BB54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MISC2 Beneficiary Identification Card (BIC) Order</w:t>
            </w:r>
          </w:p>
        </w:tc>
      </w:tr>
      <w:tr w:rsidR="00EF2A6D" w:rsidRPr="00105FFC" w14:paraId="7760C4F1" w14:textId="77777777" w:rsidTr="00EF2A6D">
        <w:trPr>
          <w:trHeight w:val="315"/>
        </w:trPr>
        <w:tc>
          <w:tcPr>
            <w:tcW w:w="4104" w:type="dxa"/>
            <w:vMerge/>
            <w:vAlign w:val="center"/>
            <w:hideMark/>
          </w:tcPr>
          <w:p w14:paraId="61A0396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AC5F54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MISC3 Other (Please specify in notes)</w:t>
            </w:r>
          </w:p>
        </w:tc>
      </w:tr>
      <w:tr w:rsidR="00EF2A6D" w:rsidRPr="00105FFC" w14:paraId="58BA87AE" w14:textId="77777777" w:rsidTr="00EF2A6D">
        <w:trPr>
          <w:trHeight w:val="315"/>
        </w:trPr>
        <w:tc>
          <w:tcPr>
            <w:tcW w:w="4104" w:type="dxa"/>
            <w:vMerge/>
            <w:vAlign w:val="center"/>
            <w:hideMark/>
          </w:tcPr>
          <w:p w14:paraId="56704B4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D05F5F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MISC4 Voice Mail Call - No Answer</w:t>
            </w:r>
          </w:p>
        </w:tc>
      </w:tr>
      <w:tr w:rsidR="00EF2A6D" w:rsidRPr="00105FFC" w14:paraId="25D5BE19" w14:textId="77777777" w:rsidTr="00EF2A6D">
        <w:trPr>
          <w:trHeight w:val="315"/>
        </w:trPr>
        <w:tc>
          <w:tcPr>
            <w:tcW w:w="4104" w:type="dxa"/>
            <w:vMerge/>
            <w:vAlign w:val="center"/>
            <w:hideMark/>
          </w:tcPr>
          <w:p w14:paraId="06F414D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CCFAAB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MISC5 Voice Mail Call – Issue Resolved</w:t>
            </w:r>
          </w:p>
        </w:tc>
      </w:tr>
      <w:tr w:rsidR="00EF2A6D" w:rsidRPr="00105FFC" w14:paraId="769C811C" w14:textId="77777777" w:rsidTr="00EF2A6D">
        <w:trPr>
          <w:trHeight w:val="315"/>
        </w:trPr>
        <w:tc>
          <w:tcPr>
            <w:tcW w:w="4104" w:type="dxa"/>
            <w:vMerge/>
            <w:vAlign w:val="center"/>
            <w:hideMark/>
          </w:tcPr>
          <w:p w14:paraId="13EA89B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7B21A0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OHC1 Conflicting information about OHC Status</w:t>
            </w:r>
          </w:p>
        </w:tc>
      </w:tr>
      <w:tr w:rsidR="00EF2A6D" w:rsidRPr="00105FFC" w14:paraId="01A54EEA" w14:textId="77777777" w:rsidTr="00EF2A6D">
        <w:trPr>
          <w:trHeight w:val="315"/>
        </w:trPr>
        <w:tc>
          <w:tcPr>
            <w:tcW w:w="4104" w:type="dxa"/>
            <w:vMerge/>
            <w:vAlign w:val="center"/>
            <w:hideMark/>
          </w:tcPr>
          <w:p w14:paraId="6D120CD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882EC0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PRV1 Provider Not Being Paid</w:t>
            </w:r>
          </w:p>
        </w:tc>
      </w:tr>
      <w:tr w:rsidR="00EF2A6D" w:rsidRPr="00105FFC" w14:paraId="59F70118" w14:textId="77777777" w:rsidTr="00EF2A6D">
        <w:trPr>
          <w:trHeight w:val="315"/>
        </w:trPr>
        <w:tc>
          <w:tcPr>
            <w:tcW w:w="4104" w:type="dxa"/>
            <w:vMerge/>
            <w:vAlign w:val="center"/>
            <w:hideMark/>
          </w:tcPr>
          <w:p w14:paraId="3DD12B5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C789BA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PRV2 Billing Discrepancy</w:t>
            </w:r>
          </w:p>
        </w:tc>
      </w:tr>
      <w:tr w:rsidR="00EF2A6D" w:rsidRPr="00105FFC" w14:paraId="3E2946D9" w14:textId="77777777" w:rsidTr="00EF2A6D">
        <w:trPr>
          <w:trHeight w:val="315"/>
        </w:trPr>
        <w:tc>
          <w:tcPr>
            <w:tcW w:w="4104" w:type="dxa"/>
            <w:vMerge/>
            <w:vAlign w:val="center"/>
            <w:hideMark/>
          </w:tcPr>
          <w:p w14:paraId="73F1E9D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2A5653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PRV3 Beneficiary Being Billed</w:t>
            </w:r>
          </w:p>
        </w:tc>
      </w:tr>
      <w:tr w:rsidR="00EF2A6D" w:rsidRPr="00105FFC" w14:paraId="725A2CC1" w14:textId="77777777" w:rsidTr="00EF2A6D">
        <w:trPr>
          <w:trHeight w:val="315"/>
        </w:trPr>
        <w:tc>
          <w:tcPr>
            <w:tcW w:w="4104" w:type="dxa"/>
            <w:vMerge/>
            <w:vAlign w:val="center"/>
            <w:hideMark/>
          </w:tcPr>
          <w:p w14:paraId="508FD86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96EFFD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QOC1 Refusal of Care</w:t>
            </w:r>
          </w:p>
        </w:tc>
      </w:tr>
      <w:tr w:rsidR="00EF2A6D" w:rsidRPr="00105FFC" w14:paraId="3C6CA86C" w14:textId="77777777" w:rsidTr="00EF2A6D">
        <w:trPr>
          <w:trHeight w:val="315"/>
        </w:trPr>
        <w:tc>
          <w:tcPr>
            <w:tcW w:w="4104" w:type="dxa"/>
            <w:vMerge/>
            <w:vAlign w:val="center"/>
            <w:hideMark/>
          </w:tcPr>
          <w:p w14:paraId="0873CAC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D37B02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QOC2 Refusal of Medications</w:t>
            </w:r>
          </w:p>
        </w:tc>
      </w:tr>
      <w:tr w:rsidR="00EF2A6D" w:rsidRPr="00105FFC" w14:paraId="60916239" w14:textId="77777777" w:rsidTr="00EF2A6D">
        <w:trPr>
          <w:trHeight w:val="315"/>
        </w:trPr>
        <w:tc>
          <w:tcPr>
            <w:tcW w:w="4104" w:type="dxa"/>
            <w:vMerge/>
            <w:vAlign w:val="center"/>
            <w:hideMark/>
          </w:tcPr>
          <w:p w14:paraId="2F86072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3CE68A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QOC3 Denial of Medical Supplies</w:t>
            </w:r>
          </w:p>
        </w:tc>
      </w:tr>
      <w:tr w:rsidR="00EF2A6D" w:rsidRPr="00105FFC" w14:paraId="6A3337F1" w14:textId="77777777" w:rsidTr="00EF2A6D">
        <w:trPr>
          <w:trHeight w:val="315"/>
        </w:trPr>
        <w:tc>
          <w:tcPr>
            <w:tcW w:w="4104" w:type="dxa"/>
            <w:vMerge/>
            <w:vAlign w:val="center"/>
            <w:hideMark/>
          </w:tcPr>
          <w:p w14:paraId="44720E3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697D78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QOC4 Denial of Durable Medical Equipment (DME)</w:t>
            </w:r>
          </w:p>
        </w:tc>
      </w:tr>
      <w:tr w:rsidR="00EF2A6D" w:rsidRPr="00105FFC" w14:paraId="1C780C10" w14:textId="77777777" w:rsidTr="00EF2A6D">
        <w:trPr>
          <w:trHeight w:val="315"/>
        </w:trPr>
        <w:tc>
          <w:tcPr>
            <w:tcW w:w="4104" w:type="dxa"/>
            <w:vMerge/>
            <w:vAlign w:val="center"/>
            <w:hideMark/>
          </w:tcPr>
          <w:p w14:paraId="49F60EB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F9F471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QOC5 Delay/ Denial of Referrals or Appointments</w:t>
            </w:r>
          </w:p>
        </w:tc>
      </w:tr>
      <w:tr w:rsidR="00EF2A6D" w:rsidRPr="00105FFC" w14:paraId="6D4C001B" w14:textId="77777777" w:rsidTr="00EF2A6D">
        <w:trPr>
          <w:trHeight w:val="315"/>
        </w:trPr>
        <w:tc>
          <w:tcPr>
            <w:tcW w:w="4104" w:type="dxa"/>
            <w:vMerge/>
            <w:vAlign w:val="center"/>
            <w:hideMark/>
          </w:tcPr>
          <w:p w14:paraId="4473844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EA64FB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QOC6 Prior Authorization Denial/Delay</w:t>
            </w:r>
          </w:p>
        </w:tc>
      </w:tr>
      <w:tr w:rsidR="00EF2A6D" w:rsidRPr="00105FFC" w14:paraId="189227CE" w14:textId="77777777" w:rsidTr="00EF2A6D">
        <w:trPr>
          <w:trHeight w:val="315"/>
        </w:trPr>
        <w:tc>
          <w:tcPr>
            <w:tcW w:w="4104" w:type="dxa"/>
            <w:vMerge/>
            <w:vAlign w:val="center"/>
            <w:hideMark/>
          </w:tcPr>
          <w:p w14:paraId="17ACFE9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2B017E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QOC7 Treatment/Diagnosis/Inappropriate Care</w:t>
            </w:r>
          </w:p>
        </w:tc>
      </w:tr>
      <w:tr w:rsidR="00EF2A6D" w:rsidRPr="00105FFC" w14:paraId="2AEB7F88" w14:textId="77777777" w:rsidTr="00EF2A6D">
        <w:trPr>
          <w:trHeight w:val="315"/>
        </w:trPr>
        <w:tc>
          <w:tcPr>
            <w:tcW w:w="4104" w:type="dxa"/>
            <w:vMerge w:val="restart"/>
            <w:noWrap/>
            <w:vAlign w:val="center"/>
            <w:hideMark/>
          </w:tcPr>
          <w:p w14:paraId="3A0DBB5D"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ELG - Eligibility</w:t>
            </w:r>
          </w:p>
        </w:tc>
        <w:tc>
          <w:tcPr>
            <w:tcW w:w="5472" w:type="dxa"/>
            <w:noWrap/>
            <w:vAlign w:val="center"/>
            <w:hideMark/>
          </w:tcPr>
          <w:p w14:paraId="3BD9BB1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COC2 Pregnant</w:t>
            </w:r>
          </w:p>
        </w:tc>
      </w:tr>
      <w:tr w:rsidR="00EF2A6D" w:rsidRPr="00105FFC" w14:paraId="55182C80" w14:textId="77777777" w:rsidTr="00EF2A6D">
        <w:trPr>
          <w:trHeight w:val="315"/>
        </w:trPr>
        <w:tc>
          <w:tcPr>
            <w:tcW w:w="4104" w:type="dxa"/>
            <w:vMerge/>
            <w:vAlign w:val="center"/>
            <w:hideMark/>
          </w:tcPr>
          <w:p w14:paraId="278848E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2612D6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COC6 SPD LTC Issue</w:t>
            </w:r>
          </w:p>
        </w:tc>
      </w:tr>
      <w:tr w:rsidR="00EF2A6D" w:rsidRPr="00105FFC" w14:paraId="0FCAFCFF" w14:textId="77777777" w:rsidTr="00EF2A6D">
        <w:trPr>
          <w:trHeight w:val="315"/>
        </w:trPr>
        <w:tc>
          <w:tcPr>
            <w:tcW w:w="4104" w:type="dxa"/>
            <w:vMerge/>
            <w:vAlign w:val="center"/>
            <w:hideMark/>
          </w:tcPr>
          <w:p w14:paraId="1B70010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2E4D4F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EDU1 Mandatory Enrollment Issue/ Wants to become FFS</w:t>
            </w:r>
          </w:p>
        </w:tc>
      </w:tr>
      <w:tr w:rsidR="00EF2A6D" w:rsidRPr="00105FFC" w14:paraId="1FCE5DBE" w14:textId="77777777" w:rsidTr="00EF2A6D">
        <w:trPr>
          <w:trHeight w:val="315"/>
        </w:trPr>
        <w:tc>
          <w:tcPr>
            <w:tcW w:w="4104" w:type="dxa"/>
            <w:vMerge/>
            <w:vAlign w:val="center"/>
            <w:hideMark/>
          </w:tcPr>
          <w:p w14:paraId="7958806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341D67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EDU3 Notice of Action</w:t>
            </w:r>
          </w:p>
        </w:tc>
      </w:tr>
      <w:tr w:rsidR="00EF2A6D" w:rsidRPr="00105FFC" w14:paraId="11BAB83E" w14:textId="77777777" w:rsidTr="00EF2A6D">
        <w:trPr>
          <w:trHeight w:val="315"/>
        </w:trPr>
        <w:tc>
          <w:tcPr>
            <w:tcW w:w="4104" w:type="dxa"/>
            <w:vMerge/>
            <w:vAlign w:val="center"/>
            <w:hideMark/>
          </w:tcPr>
          <w:p w14:paraId="4AEEFDD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D8C12D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EDU4 SPD Education</w:t>
            </w:r>
          </w:p>
        </w:tc>
      </w:tr>
      <w:tr w:rsidR="00EF2A6D" w:rsidRPr="00105FFC" w14:paraId="7A363F1E" w14:textId="77777777" w:rsidTr="00EF2A6D">
        <w:trPr>
          <w:trHeight w:val="315"/>
        </w:trPr>
        <w:tc>
          <w:tcPr>
            <w:tcW w:w="4104" w:type="dxa"/>
            <w:vMerge/>
            <w:vAlign w:val="center"/>
            <w:hideMark/>
          </w:tcPr>
          <w:p w14:paraId="433ACD9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1EE9E2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EDU8 Duals/CCI Education</w:t>
            </w:r>
          </w:p>
        </w:tc>
      </w:tr>
      <w:tr w:rsidR="00EF2A6D" w:rsidRPr="00105FFC" w14:paraId="173ECD7C" w14:textId="77777777" w:rsidTr="00EF2A6D">
        <w:trPr>
          <w:trHeight w:val="315"/>
        </w:trPr>
        <w:tc>
          <w:tcPr>
            <w:tcW w:w="4104" w:type="dxa"/>
            <w:vMerge/>
            <w:vAlign w:val="center"/>
            <w:hideMark/>
          </w:tcPr>
          <w:p w14:paraId="0E2052E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918CB6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 - Eligibility</w:t>
            </w:r>
          </w:p>
        </w:tc>
      </w:tr>
      <w:tr w:rsidR="00EF2A6D" w:rsidRPr="00105FFC" w14:paraId="17F6D112" w14:textId="77777777" w:rsidTr="00EF2A6D">
        <w:trPr>
          <w:trHeight w:val="315"/>
        </w:trPr>
        <w:tc>
          <w:tcPr>
            <w:tcW w:w="4104" w:type="dxa"/>
            <w:vMerge/>
            <w:vAlign w:val="center"/>
            <w:hideMark/>
          </w:tcPr>
          <w:p w14:paraId="5F5DDCF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EF2140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ELG1 Inaccurate Aid Code</w:t>
            </w:r>
          </w:p>
        </w:tc>
      </w:tr>
      <w:tr w:rsidR="00EF2A6D" w:rsidRPr="00105FFC" w14:paraId="128E2DE5" w14:textId="77777777" w:rsidTr="00EF2A6D">
        <w:trPr>
          <w:trHeight w:val="315"/>
        </w:trPr>
        <w:tc>
          <w:tcPr>
            <w:tcW w:w="4104" w:type="dxa"/>
            <w:vMerge/>
            <w:vAlign w:val="center"/>
            <w:hideMark/>
          </w:tcPr>
          <w:p w14:paraId="72BF5D6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270202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 xml:space="preserve">ELG2 </w:t>
            </w:r>
            <w:r w:rsidR="00116CB2" w:rsidRPr="00105FFC">
              <w:rPr>
                <w:rFonts w:asciiTheme="minorHAnsi" w:hAnsiTheme="minorHAnsi"/>
                <w:color w:val="000000"/>
                <w:sz w:val="20"/>
                <w:szCs w:val="20"/>
              </w:rPr>
              <w:t>Inaccurate</w:t>
            </w:r>
            <w:r w:rsidRPr="00105FFC">
              <w:rPr>
                <w:rFonts w:asciiTheme="minorHAnsi" w:hAnsiTheme="minorHAnsi"/>
                <w:color w:val="000000"/>
                <w:sz w:val="20"/>
                <w:szCs w:val="20"/>
              </w:rPr>
              <w:t xml:space="preserve"> County Code</w:t>
            </w:r>
          </w:p>
        </w:tc>
      </w:tr>
      <w:tr w:rsidR="00EF2A6D" w:rsidRPr="00105FFC" w14:paraId="5CFD63FB" w14:textId="77777777" w:rsidTr="00EF2A6D">
        <w:trPr>
          <w:trHeight w:val="315"/>
        </w:trPr>
        <w:tc>
          <w:tcPr>
            <w:tcW w:w="4104" w:type="dxa"/>
            <w:vMerge/>
            <w:vAlign w:val="center"/>
            <w:hideMark/>
          </w:tcPr>
          <w:p w14:paraId="738366B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3090B2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ELG3 Address Correction/ Beneficiary Moved</w:t>
            </w:r>
          </w:p>
        </w:tc>
      </w:tr>
      <w:tr w:rsidR="00EF2A6D" w:rsidRPr="00105FFC" w14:paraId="179F3046" w14:textId="77777777" w:rsidTr="00EF2A6D">
        <w:trPr>
          <w:trHeight w:val="315"/>
        </w:trPr>
        <w:tc>
          <w:tcPr>
            <w:tcW w:w="4104" w:type="dxa"/>
            <w:vMerge/>
            <w:vAlign w:val="center"/>
            <w:hideMark/>
          </w:tcPr>
          <w:p w14:paraId="7FF1705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C6FC9D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ELG4 Medi-Cal Eligibility Terminated</w:t>
            </w:r>
          </w:p>
        </w:tc>
      </w:tr>
      <w:tr w:rsidR="00EF2A6D" w:rsidRPr="00105FFC" w14:paraId="20B40CC1" w14:textId="77777777" w:rsidTr="00EF2A6D">
        <w:trPr>
          <w:trHeight w:val="315"/>
        </w:trPr>
        <w:tc>
          <w:tcPr>
            <w:tcW w:w="4104" w:type="dxa"/>
            <w:vMerge/>
            <w:vAlign w:val="center"/>
            <w:hideMark/>
          </w:tcPr>
          <w:p w14:paraId="510BA7F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736E9C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ELG5 Share of Cost</w:t>
            </w:r>
          </w:p>
        </w:tc>
      </w:tr>
      <w:tr w:rsidR="00EF2A6D" w:rsidRPr="00105FFC" w14:paraId="4A86DCFE" w14:textId="77777777" w:rsidTr="00EF2A6D">
        <w:trPr>
          <w:trHeight w:val="315"/>
        </w:trPr>
        <w:tc>
          <w:tcPr>
            <w:tcW w:w="4104" w:type="dxa"/>
            <w:vMerge/>
            <w:vAlign w:val="center"/>
            <w:hideMark/>
          </w:tcPr>
          <w:p w14:paraId="365A133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89F18C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ELG6 Foster Care/Adoption Category</w:t>
            </w:r>
          </w:p>
        </w:tc>
      </w:tr>
      <w:tr w:rsidR="00EF2A6D" w:rsidRPr="00105FFC" w14:paraId="30E31754" w14:textId="77777777" w:rsidTr="00EF2A6D">
        <w:trPr>
          <w:trHeight w:val="315"/>
        </w:trPr>
        <w:tc>
          <w:tcPr>
            <w:tcW w:w="4104" w:type="dxa"/>
            <w:vMerge/>
            <w:vAlign w:val="center"/>
            <w:hideMark/>
          </w:tcPr>
          <w:p w14:paraId="32D8CD6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24D773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ELG7 Restricted Aid Code</w:t>
            </w:r>
          </w:p>
        </w:tc>
      </w:tr>
      <w:tr w:rsidR="00EF2A6D" w:rsidRPr="00105FFC" w14:paraId="43B728B5" w14:textId="77777777" w:rsidTr="00EF2A6D">
        <w:trPr>
          <w:trHeight w:val="315"/>
        </w:trPr>
        <w:tc>
          <w:tcPr>
            <w:tcW w:w="4104" w:type="dxa"/>
            <w:vMerge/>
            <w:vAlign w:val="center"/>
            <w:hideMark/>
          </w:tcPr>
          <w:p w14:paraId="1302BAA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ABF309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 Hold on Plan</w:t>
            </w:r>
          </w:p>
        </w:tc>
      </w:tr>
      <w:tr w:rsidR="00EF2A6D" w:rsidRPr="00105FFC" w14:paraId="460EC41D" w14:textId="77777777" w:rsidTr="00EF2A6D">
        <w:trPr>
          <w:trHeight w:val="315"/>
        </w:trPr>
        <w:tc>
          <w:tcPr>
            <w:tcW w:w="4104" w:type="dxa"/>
            <w:vMerge/>
            <w:vAlign w:val="center"/>
            <w:hideMark/>
          </w:tcPr>
          <w:p w14:paraId="64A16F2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03255B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HCO10 Dental HP Enrollment</w:t>
            </w:r>
          </w:p>
        </w:tc>
      </w:tr>
      <w:tr w:rsidR="00EF2A6D" w:rsidRPr="00105FFC" w14:paraId="3D1843BD" w14:textId="77777777" w:rsidTr="00EF2A6D">
        <w:trPr>
          <w:trHeight w:val="315"/>
        </w:trPr>
        <w:tc>
          <w:tcPr>
            <w:tcW w:w="4104" w:type="dxa"/>
            <w:vMerge/>
            <w:vAlign w:val="center"/>
            <w:hideMark/>
          </w:tcPr>
          <w:p w14:paraId="3F8671B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3C44F0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HCO11 Dental HP Disenrollment</w:t>
            </w:r>
          </w:p>
        </w:tc>
      </w:tr>
      <w:tr w:rsidR="00EF2A6D" w:rsidRPr="00105FFC" w14:paraId="0988B2C1" w14:textId="77777777" w:rsidTr="00EF2A6D">
        <w:trPr>
          <w:trHeight w:val="315"/>
        </w:trPr>
        <w:tc>
          <w:tcPr>
            <w:tcW w:w="4104" w:type="dxa"/>
            <w:vMerge/>
            <w:vAlign w:val="center"/>
            <w:hideMark/>
          </w:tcPr>
          <w:p w14:paraId="66EB8A1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51D8BC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HCO15 SPD MER/EDER Denial</w:t>
            </w:r>
          </w:p>
        </w:tc>
      </w:tr>
      <w:tr w:rsidR="00EF2A6D" w:rsidRPr="00105FFC" w14:paraId="4C641C29" w14:textId="77777777" w:rsidTr="00EF2A6D">
        <w:trPr>
          <w:trHeight w:val="315"/>
        </w:trPr>
        <w:tc>
          <w:tcPr>
            <w:tcW w:w="4104" w:type="dxa"/>
            <w:vMerge/>
            <w:vAlign w:val="center"/>
            <w:hideMark/>
          </w:tcPr>
          <w:p w14:paraId="5C3E5F0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FD0128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HCO16 MER/EDER Status Check</w:t>
            </w:r>
          </w:p>
        </w:tc>
      </w:tr>
      <w:tr w:rsidR="00EF2A6D" w:rsidRPr="00105FFC" w14:paraId="3EF1B90A" w14:textId="77777777" w:rsidTr="00EF2A6D">
        <w:trPr>
          <w:trHeight w:val="315"/>
        </w:trPr>
        <w:tc>
          <w:tcPr>
            <w:tcW w:w="4104" w:type="dxa"/>
            <w:vMerge/>
            <w:vAlign w:val="center"/>
            <w:hideMark/>
          </w:tcPr>
          <w:p w14:paraId="37993D8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CDABF8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HCO2 Requesting new enrollment into Plan</w:t>
            </w:r>
          </w:p>
        </w:tc>
      </w:tr>
      <w:tr w:rsidR="00EF2A6D" w:rsidRPr="00105FFC" w14:paraId="15962E92" w14:textId="77777777" w:rsidTr="00EF2A6D">
        <w:trPr>
          <w:trHeight w:val="315"/>
        </w:trPr>
        <w:tc>
          <w:tcPr>
            <w:tcW w:w="4104" w:type="dxa"/>
            <w:vMerge/>
            <w:vAlign w:val="center"/>
            <w:hideMark/>
          </w:tcPr>
          <w:p w14:paraId="5A54942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9C4FFC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HCO3 Wants to Change Plans</w:t>
            </w:r>
          </w:p>
        </w:tc>
      </w:tr>
      <w:tr w:rsidR="00EF2A6D" w:rsidRPr="00105FFC" w14:paraId="1224FDCF" w14:textId="77777777" w:rsidTr="00EF2A6D">
        <w:trPr>
          <w:trHeight w:val="315"/>
        </w:trPr>
        <w:tc>
          <w:tcPr>
            <w:tcW w:w="4104" w:type="dxa"/>
            <w:vMerge/>
            <w:vAlign w:val="center"/>
            <w:hideMark/>
          </w:tcPr>
          <w:p w14:paraId="3D855B7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0121E6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HCO4 Wants to Disenroll from Plan to become FFS</w:t>
            </w:r>
          </w:p>
        </w:tc>
      </w:tr>
      <w:tr w:rsidR="00EF2A6D" w:rsidRPr="00105FFC" w14:paraId="4879F210" w14:textId="77777777" w:rsidTr="00EF2A6D">
        <w:trPr>
          <w:trHeight w:val="315"/>
        </w:trPr>
        <w:tc>
          <w:tcPr>
            <w:tcW w:w="4104" w:type="dxa"/>
            <w:vMerge/>
            <w:vAlign w:val="center"/>
            <w:hideMark/>
          </w:tcPr>
          <w:p w14:paraId="30299E0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79F61D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HCO5 Disenrollment to Medi-Medi</w:t>
            </w:r>
          </w:p>
        </w:tc>
      </w:tr>
      <w:tr w:rsidR="00EF2A6D" w:rsidRPr="00105FFC" w14:paraId="7BA4DFBF" w14:textId="77777777" w:rsidTr="00EF2A6D">
        <w:trPr>
          <w:trHeight w:val="315"/>
        </w:trPr>
        <w:tc>
          <w:tcPr>
            <w:tcW w:w="4104" w:type="dxa"/>
            <w:vMerge/>
            <w:vAlign w:val="center"/>
            <w:hideMark/>
          </w:tcPr>
          <w:p w14:paraId="0948320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1B4AED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HCO6 MER/EDER Denial</w:t>
            </w:r>
          </w:p>
        </w:tc>
      </w:tr>
      <w:tr w:rsidR="00EF2A6D" w:rsidRPr="00105FFC" w14:paraId="57006E35" w14:textId="77777777" w:rsidTr="00EF2A6D">
        <w:trPr>
          <w:trHeight w:val="315"/>
        </w:trPr>
        <w:tc>
          <w:tcPr>
            <w:tcW w:w="4104" w:type="dxa"/>
            <w:vMerge/>
            <w:vAlign w:val="center"/>
            <w:hideMark/>
          </w:tcPr>
          <w:p w14:paraId="7F289A9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3BEBA5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HCO8 Long Term Care Issue (DER Request)</w:t>
            </w:r>
          </w:p>
        </w:tc>
      </w:tr>
      <w:tr w:rsidR="00EF2A6D" w:rsidRPr="00105FFC" w14:paraId="0791B804" w14:textId="77777777" w:rsidTr="00EF2A6D">
        <w:trPr>
          <w:trHeight w:val="315"/>
        </w:trPr>
        <w:tc>
          <w:tcPr>
            <w:tcW w:w="4104" w:type="dxa"/>
            <w:vMerge/>
            <w:vAlign w:val="center"/>
            <w:hideMark/>
          </w:tcPr>
          <w:p w14:paraId="4690BAB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958326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HCO9 Foster Care / Adoption (DER Request)</w:t>
            </w:r>
          </w:p>
        </w:tc>
      </w:tr>
      <w:tr w:rsidR="00EF2A6D" w:rsidRPr="00105FFC" w14:paraId="4B882153" w14:textId="77777777" w:rsidTr="00EF2A6D">
        <w:trPr>
          <w:trHeight w:val="315"/>
        </w:trPr>
        <w:tc>
          <w:tcPr>
            <w:tcW w:w="4104" w:type="dxa"/>
            <w:vMerge/>
            <w:vAlign w:val="center"/>
            <w:hideMark/>
          </w:tcPr>
          <w:p w14:paraId="7C4D1FD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5CB18E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HCP1 Not Assigned Requested PCP/IPA</w:t>
            </w:r>
          </w:p>
        </w:tc>
      </w:tr>
      <w:tr w:rsidR="00EF2A6D" w:rsidRPr="00105FFC" w14:paraId="6B18C81B" w14:textId="77777777" w:rsidTr="00EF2A6D">
        <w:trPr>
          <w:trHeight w:val="315"/>
        </w:trPr>
        <w:tc>
          <w:tcPr>
            <w:tcW w:w="4104" w:type="dxa"/>
            <w:vMerge/>
            <w:vAlign w:val="center"/>
            <w:hideMark/>
          </w:tcPr>
          <w:p w14:paraId="4073563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3BED5B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HCP5 Health Card Not Issued</w:t>
            </w:r>
          </w:p>
        </w:tc>
      </w:tr>
      <w:tr w:rsidR="00EF2A6D" w:rsidRPr="00105FFC" w14:paraId="57F52408" w14:textId="77777777" w:rsidTr="00EF2A6D">
        <w:trPr>
          <w:trHeight w:val="315"/>
        </w:trPr>
        <w:tc>
          <w:tcPr>
            <w:tcW w:w="4104" w:type="dxa"/>
            <w:vMerge/>
            <w:vAlign w:val="center"/>
            <w:hideMark/>
          </w:tcPr>
          <w:p w14:paraId="30C1A7B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04C3E0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MISC1 Systems Conflict</w:t>
            </w:r>
          </w:p>
        </w:tc>
      </w:tr>
      <w:tr w:rsidR="00EF2A6D" w:rsidRPr="00105FFC" w14:paraId="0309CA80" w14:textId="77777777" w:rsidTr="00EF2A6D">
        <w:trPr>
          <w:trHeight w:val="315"/>
        </w:trPr>
        <w:tc>
          <w:tcPr>
            <w:tcW w:w="4104" w:type="dxa"/>
            <w:vMerge/>
            <w:vAlign w:val="center"/>
            <w:hideMark/>
          </w:tcPr>
          <w:p w14:paraId="7274204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C07D1D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MISC2 Beneficiary Identification Card (BIC) Order</w:t>
            </w:r>
          </w:p>
        </w:tc>
      </w:tr>
      <w:tr w:rsidR="00EF2A6D" w:rsidRPr="00105FFC" w14:paraId="179D7949" w14:textId="77777777" w:rsidTr="00EF2A6D">
        <w:trPr>
          <w:trHeight w:val="315"/>
        </w:trPr>
        <w:tc>
          <w:tcPr>
            <w:tcW w:w="4104" w:type="dxa"/>
            <w:vMerge/>
            <w:vAlign w:val="center"/>
            <w:hideMark/>
          </w:tcPr>
          <w:p w14:paraId="29AA363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1EDB74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MISC3 Other (Please specify in notes)</w:t>
            </w:r>
          </w:p>
        </w:tc>
      </w:tr>
      <w:tr w:rsidR="00EF2A6D" w:rsidRPr="00105FFC" w14:paraId="164B0B37" w14:textId="77777777" w:rsidTr="00EF2A6D">
        <w:trPr>
          <w:trHeight w:val="315"/>
        </w:trPr>
        <w:tc>
          <w:tcPr>
            <w:tcW w:w="4104" w:type="dxa"/>
            <w:vMerge/>
            <w:vAlign w:val="center"/>
            <w:hideMark/>
          </w:tcPr>
          <w:p w14:paraId="0F42B27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CC5AB5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MISC4 Voice Mail Call - No Answer</w:t>
            </w:r>
          </w:p>
        </w:tc>
      </w:tr>
      <w:tr w:rsidR="00EF2A6D" w:rsidRPr="00105FFC" w14:paraId="3D63FF8D" w14:textId="77777777" w:rsidTr="00EF2A6D">
        <w:trPr>
          <w:trHeight w:val="315"/>
        </w:trPr>
        <w:tc>
          <w:tcPr>
            <w:tcW w:w="4104" w:type="dxa"/>
            <w:vMerge/>
            <w:vAlign w:val="center"/>
            <w:hideMark/>
          </w:tcPr>
          <w:p w14:paraId="57F9F1F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AC4079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MISC5 Voice Mail Call – Issue Resolved</w:t>
            </w:r>
          </w:p>
        </w:tc>
      </w:tr>
      <w:tr w:rsidR="00EF2A6D" w:rsidRPr="00105FFC" w14:paraId="28D8B774" w14:textId="77777777" w:rsidTr="00EF2A6D">
        <w:trPr>
          <w:trHeight w:val="315"/>
        </w:trPr>
        <w:tc>
          <w:tcPr>
            <w:tcW w:w="4104" w:type="dxa"/>
            <w:vMerge/>
            <w:vAlign w:val="center"/>
            <w:hideMark/>
          </w:tcPr>
          <w:p w14:paraId="404F99F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8D1849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MISC6 HF BiC Card Erroneous Mailing</w:t>
            </w:r>
          </w:p>
        </w:tc>
      </w:tr>
      <w:tr w:rsidR="00EF2A6D" w:rsidRPr="00105FFC" w14:paraId="500CA9F6" w14:textId="77777777" w:rsidTr="00EF2A6D">
        <w:trPr>
          <w:trHeight w:val="315"/>
        </w:trPr>
        <w:tc>
          <w:tcPr>
            <w:tcW w:w="4104" w:type="dxa"/>
            <w:vMerge/>
            <w:vAlign w:val="center"/>
            <w:hideMark/>
          </w:tcPr>
          <w:p w14:paraId="1D0296C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75E847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OHC1 Conflicting information about OHC Status</w:t>
            </w:r>
          </w:p>
        </w:tc>
      </w:tr>
      <w:tr w:rsidR="00EF2A6D" w:rsidRPr="00105FFC" w14:paraId="35154D9B" w14:textId="77777777" w:rsidTr="00EF2A6D">
        <w:trPr>
          <w:trHeight w:val="315"/>
        </w:trPr>
        <w:tc>
          <w:tcPr>
            <w:tcW w:w="4104" w:type="dxa"/>
            <w:vMerge/>
            <w:vAlign w:val="center"/>
            <w:hideMark/>
          </w:tcPr>
          <w:p w14:paraId="10E12F5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9E0EDF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PRV2 Billing Discrepancy</w:t>
            </w:r>
          </w:p>
        </w:tc>
      </w:tr>
      <w:tr w:rsidR="00EF2A6D" w:rsidRPr="00105FFC" w14:paraId="0D5CA338" w14:textId="77777777" w:rsidTr="00EF2A6D">
        <w:trPr>
          <w:trHeight w:val="315"/>
        </w:trPr>
        <w:tc>
          <w:tcPr>
            <w:tcW w:w="4104" w:type="dxa"/>
            <w:vMerge/>
            <w:vAlign w:val="center"/>
            <w:hideMark/>
          </w:tcPr>
          <w:p w14:paraId="0D4F145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DCC301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PRV3 Beneficiary Being Billed</w:t>
            </w:r>
          </w:p>
        </w:tc>
      </w:tr>
      <w:tr w:rsidR="00EF2A6D" w:rsidRPr="00105FFC" w14:paraId="79602033" w14:textId="77777777" w:rsidTr="00EF2A6D">
        <w:trPr>
          <w:trHeight w:val="315"/>
        </w:trPr>
        <w:tc>
          <w:tcPr>
            <w:tcW w:w="4104" w:type="dxa"/>
            <w:vMerge/>
            <w:vAlign w:val="center"/>
            <w:hideMark/>
          </w:tcPr>
          <w:p w14:paraId="35EE40C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039182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QOC2 Refusal of Medications</w:t>
            </w:r>
          </w:p>
        </w:tc>
      </w:tr>
      <w:tr w:rsidR="00EF2A6D" w:rsidRPr="00105FFC" w14:paraId="4EE925DC" w14:textId="77777777" w:rsidTr="00EF2A6D">
        <w:trPr>
          <w:trHeight w:val="315"/>
        </w:trPr>
        <w:tc>
          <w:tcPr>
            <w:tcW w:w="4104" w:type="dxa"/>
            <w:vMerge/>
            <w:vAlign w:val="center"/>
            <w:hideMark/>
          </w:tcPr>
          <w:p w14:paraId="77C03FC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55BD43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QOC5 Delay/ Denial of Referrals or Appointments</w:t>
            </w:r>
          </w:p>
        </w:tc>
      </w:tr>
      <w:tr w:rsidR="00EF2A6D" w:rsidRPr="00105FFC" w14:paraId="7E7ED1DE" w14:textId="77777777" w:rsidTr="00EF2A6D">
        <w:trPr>
          <w:trHeight w:val="315"/>
        </w:trPr>
        <w:tc>
          <w:tcPr>
            <w:tcW w:w="4104" w:type="dxa"/>
            <w:vMerge/>
            <w:vAlign w:val="center"/>
            <w:hideMark/>
          </w:tcPr>
          <w:p w14:paraId="615E47A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8EEDC1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QOC6 Prior Authorization Denial/Delay</w:t>
            </w:r>
          </w:p>
        </w:tc>
      </w:tr>
      <w:tr w:rsidR="00EF2A6D" w:rsidRPr="00105FFC" w14:paraId="5CB7A81A" w14:textId="77777777" w:rsidTr="00EF2A6D">
        <w:trPr>
          <w:trHeight w:val="315"/>
        </w:trPr>
        <w:tc>
          <w:tcPr>
            <w:tcW w:w="4104" w:type="dxa"/>
            <w:vMerge w:val="restart"/>
            <w:noWrap/>
            <w:vAlign w:val="center"/>
            <w:hideMark/>
          </w:tcPr>
          <w:p w14:paraId="62463EBD"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HCO - Enrollment/Disenrollment</w:t>
            </w:r>
          </w:p>
        </w:tc>
        <w:tc>
          <w:tcPr>
            <w:tcW w:w="5472" w:type="dxa"/>
            <w:noWrap/>
            <w:vAlign w:val="center"/>
            <w:hideMark/>
          </w:tcPr>
          <w:p w14:paraId="3BE1B3B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COC1 Provider Not a Plan Partner</w:t>
            </w:r>
          </w:p>
        </w:tc>
      </w:tr>
      <w:tr w:rsidR="00EF2A6D" w:rsidRPr="00105FFC" w14:paraId="4C75FF1A" w14:textId="77777777" w:rsidTr="00EF2A6D">
        <w:trPr>
          <w:trHeight w:val="315"/>
        </w:trPr>
        <w:tc>
          <w:tcPr>
            <w:tcW w:w="4104" w:type="dxa"/>
            <w:vMerge/>
            <w:vAlign w:val="center"/>
            <w:hideMark/>
          </w:tcPr>
          <w:p w14:paraId="0CB8D1A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94EBB5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COC2 Pregnant</w:t>
            </w:r>
          </w:p>
        </w:tc>
      </w:tr>
      <w:tr w:rsidR="00EF2A6D" w:rsidRPr="00105FFC" w14:paraId="5A8420AD" w14:textId="77777777" w:rsidTr="00EF2A6D">
        <w:trPr>
          <w:trHeight w:val="315"/>
        </w:trPr>
        <w:tc>
          <w:tcPr>
            <w:tcW w:w="4104" w:type="dxa"/>
            <w:vMerge/>
            <w:vAlign w:val="center"/>
            <w:hideMark/>
          </w:tcPr>
          <w:p w14:paraId="65C8640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3B1793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COC6 SPD LTC Issue</w:t>
            </w:r>
          </w:p>
        </w:tc>
      </w:tr>
      <w:tr w:rsidR="00EF2A6D" w:rsidRPr="00105FFC" w14:paraId="17DA9170" w14:textId="77777777" w:rsidTr="00EF2A6D">
        <w:trPr>
          <w:trHeight w:val="315"/>
        </w:trPr>
        <w:tc>
          <w:tcPr>
            <w:tcW w:w="4104" w:type="dxa"/>
            <w:vMerge/>
            <w:vAlign w:val="center"/>
            <w:hideMark/>
          </w:tcPr>
          <w:p w14:paraId="19E663B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68B44C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EDU1 Mandatory Enrollment Issue/ Wants to become FFS</w:t>
            </w:r>
          </w:p>
        </w:tc>
      </w:tr>
      <w:tr w:rsidR="00EF2A6D" w:rsidRPr="00105FFC" w14:paraId="36B7D1AF" w14:textId="77777777" w:rsidTr="00EF2A6D">
        <w:trPr>
          <w:trHeight w:val="315"/>
        </w:trPr>
        <w:tc>
          <w:tcPr>
            <w:tcW w:w="4104" w:type="dxa"/>
            <w:vMerge/>
            <w:vAlign w:val="center"/>
            <w:hideMark/>
          </w:tcPr>
          <w:p w14:paraId="370A34E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D9D4DA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EDU2 Mandatory Enrollment Issue/ Enrolled into COHS</w:t>
            </w:r>
          </w:p>
        </w:tc>
      </w:tr>
      <w:tr w:rsidR="00EF2A6D" w:rsidRPr="00105FFC" w14:paraId="5341F133" w14:textId="77777777" w:rsidTr="00EF2A6D">
        <w:trPr>
          <w:trHeight w:val="315"/>
        </w:trPr>
        <w:tc>
          <w:tcPr>
            <w:tcW w:w="4104" w:type="dxa"/>
            <w:vMerge/>
            <w:vAlign w:val="center"/>
            <w:hideMark/>
          </w:tcPr>
          <w:p w14:paraId="44F4094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113E4E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EDU2 Mandatory Enrollment Issue/ Enrolled into COHS Plan</w:t>
            </w:r>
          </w:p>
        </w:tc>
      </w:tr>
      <w:tr w:rsidR="00EF2A6D" w:rsidRPr="00105FFC" w14:paraId="74BD0618" w14:textId="77777777" w:rsidTr="00EF2A6D">
        <w:trPr>
          <w:trHeight w:val="315"/>
        </w:trPr>
        <w:tc>
          <w:tcPr>
            <w:tcW w:w="4104" w:type="dxa"/>
            <w:vMerge/>
            <w:vAlign w:val="center"/>
            <w:hideMark/>
          </w:tcPr>
          <w:p w14:paraId="23CF059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81690C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EDU3 Notice of Action</w:t>
            </w:r>
          </w:p>
        </w:tc>
      </w:tr>
      <w:tr w:rsidR="00EF2A6D" w:rsidRPr="00105FFC" w14:paraId="6187431A" w14:textId="77777777" w:rsidTr="00EF2A6D">
        <w:trPr>
          <w:trHeight w:val="315"/>
        </w:trPr>
        <w:tc>
          <w:tcPr>
            <w:tcW w:w="4104" w:type="dxa"/>
            <w:vMerge/>
            <w:vAlign w:val="center"/>
            <w:hideMark/>
          </w:tcPr>
          <w:p w14:paraId="129FC4D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64EA11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EDU4 SPD Education</w:t>
            </w:r>
          </w:p>
        </w:tc>
      </w:tr>
      <w:tr w:rsidR="00EF2A6D" w:rsidRPr="00105FFC" w14:paraId="2D35F37B" w14:textId="77777777" w:rsidTr="00EF2A6D">
        <w:trPr>
          <w:trHeight w:val="315"/>
        </w:trPr>
        <w:tc>
          <w:tcPr>
            <w:tcW w:w="4104" w:type="dxa"/>
            <w:vMerge/>
            <w:vAlign w:val="center"/>
            <w:hideMark/>
          </w:tcPr>
          <w:p w14:paraId="1D26226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B036B3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EDU6 CBAS Education</w:t>
            </w:r>
          </w:p>
        </w:tc>
      </w:tr>
      <w:tr w:rsidR="00EF2A6D" w:rsidRPr="00105FFC" w14:paraId="5150896E" w14:textId="77777777" w:rsidTr="00EF2A6D">
        <w:trPr>
          <w:trHeight w:val="315"/>
        </w:trPr>
        <w:tc>
          <w:tcPr>
            <w:tcW w:w="4104" w:type="dxa"/>
            <w:vMerge/>
            <w:vAlign w:val="center"/>
            <w:hideMark/>
          </w:tcPr>
          <w:p w14:paraId="09CA73E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6CC291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EDU7 Healthy Families Education</w:t>
            </w:r>
          </w:p>
        </w:tc>
      </w:tr>
      <w:tr w:rsidR="00EF2A6D" w:rsidRPr="00105FFC" w14:paraId="66F6CB95" w14:textId="77777777" w:rsidTr="00EF2A6D">
        <w:trPr>
          <w:trHeight w:val="315"/>
        </w:trPr>
        <w:tc>
          <w:tcPr>
            <w:tcW w:w="4104" w:type="dxa"/>
            <w:vMerge/>
            <w:vAlign w:val="center"/>
            <w:hideMark/>
          </w:tcPr>
          <w:p w14:paraId="19B51E6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45BF5F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EDU8 Duals/CCI Education</w:t>
            </w:r>
          </w:p>
        </w:tc>
      </w:tr>
      <w:tr w:rsidR="00EF2A6D" w:rsidRPr="00105FFC" w14:paraId="0136DC4E" w14:textId="77777777" w:rsidTr="00EF2A6D">
        <w:trPr>
          <w:trHeight w:val="315"/>
        </w:trPr>
        <w:tc>
          <w:tcPr>
            <w:tcW w:w="4104" w:type="dxa"/>
            <w:vMerge/>
            <w:vAlign w:val="center"/>
            <w:hideMark/>
          </w:tcPr>
          <w:p w14:paraId="24ECF35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1400CC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ELG1 Inaccurate Aid Code</w:t>
            </w:r>
          </w:p>
        </w:tc>
      </w:tr>
      <w:tr w:rsidR="00EF2A6D" w:rsidRPr="00105FFC" w14:paraId="1D3DB926" w14:textId="77777777" w:rsidTr="00EF2A6D">
        <w:trPr>
          <w:trHeight w:val="315"/>
        </w:trPr>
        <w:tc>
          <w:tcPr>
            <w:tcW w:w="4104" w:type="dxa"/>
            <w:vMerge/>
            <w:vAlign w:val="center"/>
            <w:hideMark/>
          </w:tcPr>
          <w:p w14:paraId="30AE3DA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7810F8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 xml:space="preserve">ELG2 </w:t>
            </w:r>
            <w:r w:rsidR="00116CB2" w:rsidRPr="00105FFC">
              <w:rPr>
                <w:rFonts w:asciiTheme="minorHAnsi" w:hAnsiTheme="minorHAnsi"/>
                <w:color w:val="000000"/>
                <w:sz w:val="20"/>
                <w:szCs w:val="20"/>
              </w:rPr>
              <w:t>Inaccurate</w:t>
            </w:r>
            <w:r w:rsidRPr="00105FFC">
              <w:rPr>
                <w:rFonts w:asciiTheme="minorHAnsi" w:hAnsiTheme="minorHAnsi"/>
                <w:color w:val="000000"/>
                <w:sz w:val="20"/>
                <w:szCs w:val="20"/>
              </w:rPr>
              <w:t xml:space="preserve"> County Code</w:t>
            </w:r>
          </w:p>
        </w:tc>
      </w:tr>
      <w:tr w:rsidR="00EF2A6D" w:rsidRPr="00105FFC" w14:paraId="4A4F705F" w14:textId="77777777" w:rsidTr="00EF2A6D">
        <w:trPr>
          <w:trHeight w:val="315"/>
        </w:trPr>
        <w:tc>
          <w:tcPr>
            <w:tcW w:w="4104" w:type="dxa"/>
            <w:vMerge/>
            <w:vAlign w:val="center"/>
            <w:hideMark/>
          </w:tcPr>
          <w:p w14:paraId="63F4B5B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DED0E6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ELG3 Address Correction/ Beneficiary Moved</w:t>
            </w:r>
          </w:p>
        </w:tc>
      </w:tr>
      <w:tr w:rsidR="00EF2A6D" w:rsidRPr="00105FFC" w14:paraId="15189AFA" w14:textId="77777777" w:rsidTr="00EF2A6D">
        <w:trPr>
          <w:trHeight w:val="315"/>
        </w:trPr>
        <w:tc>
          <w:tcPr>
            <w:tcW w:w="4104" w:type="dxa"/>
            <w:vMerge/>
            <w:vAlign w:val="center"/>
            <w:hideMark/>
          </w:tcPr>
          <w:p w14:paraId="6496C14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680C52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ELG4 Medi-Cal Eligibility Terminated</w:t>
            </w:r>
          </w:p>
        </w:tc>
      </w:tr>
      <w:tr w:rsidR="00EF2A6D" w:rsidRPr="00105FFC" w14:paraId="269DE8C4" w14:textId="77777777" w:rsidTr="00EF2A6D">
        <w:trPr>
          <w:trHeight w:val="315"/>
        </w:trPr>
        <w:tc>
          <w:tcPr>
            <w:tcW w:w="4104" w:type="dxa"/>
            <w:vMerge/>
            <w:vAlign w:val="center"/>
            <w:hideMark/>
          </w:tcPr>
          <w:p w14:paraId="6BFE1D9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EC13F1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ELG5 Share of Cost</w:t>
            </w:r>
          </w:p>
        </w:tc>
      </w:tr>
      <w:tr w:rsidR="00EF2A6D" w:rsidRPr="00105FFC" w14:paraId="4E22B8FA" w14:textId="77777777" w:rsidTr="00EF2A6D">
        <w:trPr>
          <w:trHeight w:val="315"/>
        </w:trPr>
        <w:tc>
          <w:tcPr>
            <w:tcW w:w="4104" w:type="dxa"/>
            <w:vMerge/>
            <w:vAlign w:val="center"/>
            <w:hideMark/>
          </w:tcPr>
          <w:p w14:paraId="12F75C6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6A0B3E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ELG6 Foster Care/Adoption Category</w:t>
            </w:r>
          </w:p>
        </w:tc>
      </w:tr>
      <w:tr w:rsidR="00EF2A6D" w:rsidRPr="00105FFC" w14:paraId="6466B2F0" w14:textId="77777777" w:rsidTr="00EF2A6D">
        <w:trPr>
          <w:trHeight w:val="315"/>
        </w:trPr>
        <w:tc>
          <w:tcPr>
            <w:tcW w:w="4104" w:type="dxa"/>
            <w:vMerge/>
            <w:vAlign w:val="center"/>
            <w:hideMark/>
          </w:tcPr>
          <w:p w14:paraId="251F25A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6F4B23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ELG7 Restricted Aid Code</w:t>
            </w:r>
          </w:p>
        </w:tc>
      </w:tr>
      <w:tr w:rsidR="00EF2A6D" w:rsidRPr="00105FFC" w14:paraId="58F44134" w14:textId="77777777" w:rsidTr="00EF2A6D">
        <w:trPr>
          <w:trHeight w:val="315"/>
        </w:trPr>
        <w:tc>
          <w:tcPr>
            <w:tcW w:w="4104" w:type="dxa"/>
            <w:vMerge/>
            <w:vAlign w:val="center"/>
            <w:hideMark/>
          </w:tcPr>
          <w:p w14:paraId="52EB86C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09ED8E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ELG8 Carved Out Zip Code</w:t>
            </w:r>
          </w:p>
        </w:tc>
      </w:tr>
      <w:tr w:rsidR="00EF2A6D" w:rsidRPr="00105FFC" w14:paraId="5C2F06CB" w14:textId="77777777" w:rsidTr="00EF2A6D">
        <w:trPr>
          <w:trHeight w:val="315"/>
        </w:trPr>
        <w:tc>
          <w:tcPr>
            <w:tcW w:w="4104" w:type="dxa"/>
            <w:vMerge/>
            <w:vAlign w:val="center"/>
            <w:hideMark/>
          </w:tcPr>
          <w:p w14:paraId="2D764A9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E17A55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 - Enrollment/Disenrollment</w:t>
            </w:r>
          </w:p>
        </w:tc>
      </w:tr>
      <w:tr w:rsidR="00EF2A6D" w:rsidRPr="00105FFC" w14:paraId="5358FA16" w14:textId="77777777" w:rsidTr="00EF2A6D">
        <w:trPr>
          <w:trHeight w:val="315"/>
        </w:trPr>
        <w:tc>
          <w:tcPr>
            <w:tcW w:w="4104" w:type="dxa"/>
            <w:vMerge/>
            <w:vAlign w:val="center"/>
            <w:hideMark/>
          </w:tcPr>
          <w:p w14:paraId="1324942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D557AE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 Hold on Plan</w:t>
            </w:r>
          </w:p>
        </w:tc>
      </w:tr>
      <w:tr w:rsidR="00EF2A6D" w:rsidRPr="00105FFC" w14:paraId="06B4CF2D" w14:textId="77777777" w:rsidTr="00EF2A6D">
        <w:trPr>
          <w:trHeight w:val="315"/>
        </w:trPr>
        <w:tc>
          <w:tcPr>
            <w:tcW w:w="4104" w:type="dxa"/>
            <w:vMerge/>
            <w:vAlign w:val="center"/>
            <w:hideMark/>
          </w:tcPr>
          <w:p w14:paraId="177EF5B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CA5FBA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HCO10 Dental HP Enrollment</w:t>
            </w:r>
          </w:p>
        </w:tc>
      </w:tr>
      <w:tr w:rsidR="00EF2A6D" w:rsidRPr="00105FFC" w14:paraId="66C4E9B4" w14:textId="77777777" w:rsidTr="00EF2A6D">
        <w:trPr>
          <w:trHeight w:val="315"/>
        </w:trPr>
        <w:tc>
          <w:tcPr>
            <w:tcW w:w="4104" w:type="dxa"/>
            <w:vMerge/>
            <w:vAlign w:val="center"/>
            <w:hideMark/>
          </w:tcPr>
          <w:p w14:paraId="617CB52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83EA82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HCO11 Dental HP Disenrollment</w:t>
            </w:r>
          </w:p>
        </w:tc>
      </w:tr>
      <w:tr w:rsidR="00EF2A6D" w:rsidRPr="00105FFC" w14:paraId="684A79F2" w14:textId="77777777" w:rsidTr="00EF2A6D">
        <w:trPr>
          <w:trHeight w:val="315"/>
        </w:trPr>
        <w:tc>
          <w:tcPr>
            <w:tcW w:w="4104" w:type="dxa"/>
            <w:vMerge/>
            <w:vAlign w:val="center"/>
            <w:hideMark/>
          </w:tcPr>
          <w:p w14:paraId="2B4697E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E3F2A6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 xml:space="preserve">HCO12 Member Defaulted into a Plan without </w:t>
            </w:r>
            <w:r w:rsidR="00116CB2" w:rsidRPr="00105FFC">
              <w:rPr>
                <w:rFonts w:asciiTheme="minorHAnsi" w:hAnsiTheme="minorHAnsi"/>
                <w:color w:val="000000"/>
                <w:sz w:val="20"/>
                <w:szCs w:val="20"/>
              </w:rPr>
              <w:t>knowledge</w:t>
            </w:r>
          </w:p>
        </w:tc>
      </w:tr>
      <w:tr w:rsidR="00EF2A6D" w:rsidRPr="00105FFC" w14:paraId="01F7250E" w14:textId="77777777" w:rsidTr="00EF2A6D">
        <w:trPr>
          <w:trHeight w:val="315"/>
        </w:trPr>
        <w:tc>
          <w:tcPr>
            <w:tcW w:w="4104" w:type="dxa"/>
            <w:vMerge/>
            <w:vAlign w:val="center"/>
            <w:hideMark/>
          </w:tcPr>
          <w:p w14:paraId="0C35328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FE010F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HCO13 Member's Plan changed without knowledge</w:t>
            </w:r>
          </w:p>
        </w:tc>
      </w:tr>
      <w:tr w:rsidR="00EF2A6D" w:rsidRPr="00105FFC" w14:paraId="3C175EE6" w14:textId="77777777" w:rsidTr="00EF2A6D">
        <w:trPr>
          <w:trHeight w:val="315"/>
        </w:trPr>
        <w:tc>
          <w:tcPr>
            <w:tcW w:w="4104" w:type="dxa"/>
            <w:vMerge/>
            <w:vAlign w:val="center"/>
            <w:hideMark/>
          </w:tcPr>
          <w:p w14:paraId="0155376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D3BD99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HCO15 SPD MER/EDER Denial</w:t>
            </w:r>
          </w:p>
        </w:tc>
      </w:tr>
      <w:tr w:rsidR="00EF2A6D" w:rsidRPr="00105FFC" w14:paraId="79273119" w14:textId="77777777" w:rsidTr="00EF2A6D">
        <w:trPr>
          <w:trHeight w:val="315"/>
        </w:trPr>
        <w:tc>
          <w:tcPr>
            <w:tcW w:w="4104" w:type="dxa"/>
            <w:vMerge/>
            <w:vAlign w:val="center"/>
            <w:hideMark/>
          </w:tcPr>
          <w:p w14:paraId="67A07D9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2FFC4A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HCO16 MER/EDER Status Check</w:t>
            </w:r>
          </w:p>
        </w:tc>
      </w:tr>
      <w:tr w:rsidR="00EF2A6D" w:rsidRPr="00105FFC" w14:paraId="69693AB0" w14:textId="77777777" w:rsidTr="00EF2A6D">
        <w:trPr>
          <w:trHeight w:val="315"/>
        </w:trPr>
        <w:tc>
          <w:tcPr>
            <w:tcW w:w="4104" w:type="dxa"/>
            <w:vMerge/>
            <w:vAlign w:val="center"/>
            <w:hideMark/>
          </w:tcPr>
          <w:p w14:paraId="6F93796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7A53ED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HCO2 Requesting new enrollment into Plan</w:t>
            </w:r>
          </w:p>
        </w:tc>
      </w:tr>
      <w:tr w:rsidR="00EF2A6D" w:rsidRPr="00105FFC" w14:paraId="2BDBBBBD" w14:textId="77777777" w:rsidTr="00EF2A6D">
        <w:trPr>
          <w:trHeight w:val="315"/>
        </w:trPr>
        <w:tc>
          <w:tcPr>
            <w:tcW w:w="4104" w:type="dxa"/>
            <w:vMerge/>
            <w:vAlign w:val="center"/>
            <w:hideMark/>
          </w:tcPr>
          <w:p w14:paraId="04FD57B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619EE6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HCO3 Wants to Change Plans</w:t>
            </w:r>
          </w:p>
        </w:tc>
      </w:tr>
      <w:tr w:rsidR="00EF2A6D" w:rsidRPr="00105FFC" w14:paraId="7F46CE5B" w14:textId="77777777" w:rsidTr="00EF2A6D">
        <w:trPr>
          <w:trHeight w:val="315"/>
        </w:trPr>
        <w:tc>
          <w:tcPr>
            <w:tcW w:w="4104" w:type="dxa"/>
            <w:vMerge/>
            <w:vAlign w:val="center"/>
            <w:hideMark/>
          </w:tcPr>
          <w:p w14:paraId="27BDFEB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EE200D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HCO4 Wants to Disenroll from Plan to become FFS</w:t>
            </w:r>
          </w:p>
        </w:tc>
      </w:tr>
      <w:tr w:rsidR="00EF2A6D" w:rsidRPr="00105FFC" w14:paraId="5C290E6E" w14:textId="77777777" w:rsidTr="00EF2A6D">
        <w:trPr>
          <w:trHeight w:val="315"/>
        </w:trPr>
        <w:tc>
          <w:tcPr>
            <w:tcW w:w="4104" w:type="dxa"/>
            <w:vMerge/>
            <w:vAlign w:val="center"/>
            <w:hideMark/>
          </w:tcPr>
          <w:p w14:paraId="5A67773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E56348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HCO5 Disenrollment to Medi-Medi</w:t>
            </w:r>
          </w:p>
        </w:tc>
      </w:tr>
      <w:tr w:rsidR="00EF2A6D" w:rsidRPr="00105FFC" w14:paraId="57F55D8F" w14:textId="77777777" w:rsidTr="00EF2A6D">
        <w:trPr>
          <w:trHeight w:val="315"/>
        </w:trPr>
        <w:tc>
          <w:tcPr>
            <w:tcW w:w="4104" w:type="dxa"/>
            <w:vMerge/>
            <w:vAlign w:val="center"/>
            <w:hideMark/>
          </w:tcPr>
          <w:p w14:paraId="2E1B7C6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F818C6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HCO6 MER/EDER Denial</w:t>
            </w:r>
          </w:p>
        </w:tc>
      </w:tr>
      <w:tr w:rsidR="00EF2A6D" w:rsidRPr="00105FFC" w14:paraId="3933BD10" w14:textId="77777777" w:rsidTr="00EF2A6D">
        <w:trPr>
          <w:trHeight w:val="315"/>
        </w:trPr>
        <w:tc>
          <w:tcPr>
            <w:tcW w:w="4104" w:type="dxa"/>
            <w:vMerge/>
            <w:vAlign w:val="center"/>
            <w:hideMark/>
          </w:tcPr>
          <w:p w14:paraId="7B130BB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4B46FD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HCO7 Special Program Issue (DER Request)</w:t>
            </w:r>
          </w:p>
        </w:tc>
      </w:tr>
      <w:tr w:rsidR="00EF2A6D" w:rsidRPr="00105FFC" w14:paraId="4D11B2C8" w14:textId="77777777" w:rsidTr="00EF2A6D">
        <w:trPr>
          <w:trHeight w:val="315"/>
        </w:trPr>
        <w:tc>
          <w:tcPr>
            <w:tcW w:w="4104" w:type="dxa"/>
            <w:vMerge/>
            <w:vAlign w:val="center"/>
            <w:hideMark/>
          </w:tcPr>
          <w:p w14:paraId="10E8D18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EB9E84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HCO8 Long Term Care Issue (DER Request)</w:t>
            </w:r>
          </w:p>
        </w:tc>
      </w:tr>
      <w:tr w:rsidR="00EF2A6D" w:rsidRPr="00105FFC" w14:paraId="34E93985" w14:textId="77777777" w:rsidTr="00EF2A6D">
        <w:trPr>
          <w:trHeight w:val="315"/>
        </w:trPr>
        <w:tc>
          <w:tcPr>
            <w:tcW w:w="4104" w:type="dxa"/>
            <w:vMerge/>
            <w:vAlign w:val="center"/>
            <w:hideMark/>
          </w:tcPr>
          <w:p w14:paraId="3B04703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4517B0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HCO9 Foster Care / Adoption (DER Request)</w:t>
            </w:r>
          </w:p>
        </w:tc>
      </w:tr>
      <w:tr w:rsidR="00EF2A6D" w:rsidRPr="00105FFC" w14:paraId="47BF9DFF" w14:textId="77777777" w:rsidTr="00EF2A6D">
        <w:trPr>
          <w:trHeight w:val="315"/>
        </w:trPr>
        <w:tc>
          <w:tcPr>
            <w:tcW w:w="4104" w:type="dxa"/>
            <w:vMerge/>
            <w:vAlign w:val="center"/>
            <w:hideMark/>
          </w:tcPr>
          <w:p w14:paraId="725080D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56B12D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HCP1 Not Assigned Requested PCP/IPA</w:t>
            </w:r>
          </w:p>
        </w:tc>
      </w:tr>
      <w:tr w:rsidR="00EF2A6D" w:rsidRPr="00105FFC" w14:paraId="65D851A7" w14:textId="77777777" w:rsidTr="00EF2A6D">
        <w:trPr>
          <w:trHeight w:val="315"/>
        </w:trPr>
        <w:tc>
          <w:tcPr>
            <w:tcW w:w="4104" w:type="dxa"/>
            <w:vMerge/>
            <w:vAlign w:val="center"/>
            <w:hideMark/>
          </w:tcPr>
          <w:p w14:paraId="1D1D273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275375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HCP12 Mental Health Access Issues</w:t>
            </w:r>
          </w:p>
        </w:tc>
      </w:tr>
      <w:tr w:rsidR="00EF2A6D" w:rsidRPr="00105FFC" w14:paraId="3F7A6F20" w14:textId="77777777" w:rsidTr="00EF2A6D">
        <w:trPr>
          <w:trHeight w:val="315"/>
        </w:trPr>
        <w:tc>
          <w:tcPr>
            <w:tcW w:w="4104" w:type="dxa"/>
            <w:vMerge/>
            <w:vAlign w:val="center"/>
            <w:hideMark/>
          </w:tcPr>
          <w:p w14:paraId="36C1601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3903CD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HCP2 Wants to Change Provider</w:t>
            </w:r>
          </w:p>
        </w:tc>
      </w:tr>
      <w:tr w:rsidR="00EF2A6D" w:rsidRPr="00105FFC" w14:paraId="498B456F" w14:textId="77777777" w:rsidTr="00EF2A6D">
        <w:trPr>
          <w:trHeight w:val="315"/>
        </w:trPr>
        <w:tc>
          <w:tcPr>
            <w:tcW w:w="4104" w:type="dxa"/>
            <w:vMerge/>
            <w:vAlign w:val="center"/>
            <w:hideMark/>
          </w:tcPr>
          <w:p w14:paraId="5705FDD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BE8B59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HCP5 Health Card Not Issued</w:t>
            </w:r>
          </w:p>
        </w:tc>
      </w:tr>
      <w:tr w:rsidR="00EF2A6D" w:rsidRPr="00105FFC" w14:paraId="44FF3083" w14:textId="77777777" w:rsidTr="00EF2A6D">
        <w:trPr>
          <w:trHeight w:val="315"/>
        </w:trPr>
        <w:tc>
          <w:tcPr>
            <w:tcW w:w="4104" w:type="dxa"/>
            <w:vMerge/>
            <w:vAlign w:val="center"/>
            <w:hideMark/>
          </w:tcPr>
          <w:p w14:paraId="7EF39C8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2C89B6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HCP6 Communications/Behavior/Attitude of Staff</w:t>
            </w:r>
          </w:p>
        </w:tc>
      </w:tr>
      <w:tr w:rsidR="00EF2A6D" w:rsidRPr="00105FFC" w14:paraId="5A3C60E9" w14:textId="77777777" w:rsidTr="00EF2A6D">
        <w:trPr>
          <w:trHeight w:val="315"/>
        </w:trPr>
        <w:tc>
          <w:tcPr>
            <w:tcW w:w="4104" w:type="dxa"/>
            <w:vMerge/>
            <w:vAlign w:val="center"/>
            <w:hideMark/>
          </w:tcPr>
          <w:p w14:paraId="0CF4E6D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A49548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MISC1 Systems Conflict</w:t>
            </w:r>
          </w:p>
        </w:tc>
      </w:tr>
      <w:tr w:rsidR="00EF2A6D" w:rsidRPr="00105FFC" w14:paraId="6B64C08C" w14:textId="77777777" w:rsidTr="00EF2A6D">
        <w:trPr>
          <w:trHeight w:val="315"/>
        </w:trPr>
        <w:tc>
          <w:tcPr>
            <w:tcW w:w="4104" w:type="dxa"/>
            <w:vMerge/>
            <w:vAlign w:val="center"/>
            <w:hideMark/>
          </w:tcPr>
          <w:p w14:paraId="595EA86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F6E73F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MISC2 Beneficiary Identification Card (BIC) Order</w:t>
            </w:r>
          </w:p>
        </w:tc>
      </w:tr>
      <w:tr w:rsidR="00EF2A6D" w:rsidRPr="00105FFC" w14:paraId="17D2E2F0" w14:textId="77777777" w:rsidTr="00EF2A6D">
        <w:trPr>
          <w:trHeight w:val="315"/>
        </w:trPr>
        <w:tc>
          <w:tcPr>
            <w:tcW w:w="4104" w:type="dxa"/>
            <w:vMerge/>
            <w:vAlign w:val="center"/>
            <w:hideMark/>
          </w:tcPr>
          <w:p w14:paraId="133B9C9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0F23B1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MISC3 Other (Please specify in notes)</w:t>
            </w:r>
          </w:p>
        </w:tc>
      </w:tr>
      <w:tr w:rsidR="00EF2A6D" w:rsidRPr="00105FFC" w14:paraId="7FE057AC" w14:textId="77777777" w:rsidTr="00EF2A6D">
        <w:trPr>
          <w:trHeight w:val="315"/>
        </w:trPr>
        <w:tc>
          <w:tcPr>
            <w:tcW w:w="4104" w:type="dxa"/>
            <w:vMerge/>
            <w:vAlign w:val="center"/>
            <w:hideMark/>
          </w:tcPr>
          <w:p w14:paraId="1058E08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CAACF5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MISC4 Voice Mail Call - No Answer</w:t>
            </w:r>
          </w:p>
        </w:tc>
      </w:tr>
      <w:tr w:rsidR="00EF2A6D" w:rsidRPr="00105FFC" w14:paraId="3A1C1796" w14:textId="77777777" w:rsidTr="00EF2A6D">
        <w:trPr>
          <w:trHeight w:val="315"/>
        </w:trPr>
        <w:tc>
          <w:tcPr>
            <w:tcW w:w="4104" w:type="dxa"/>
            <w:vMerge/>
            <w:vAlign w:val="center"/>
            <w:hideMark/>
          </w:tcPr>
          <w:p w14:paraId="5C906E5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BE638C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MISC5 Voice Mail Call – Issue Resolved</w:t>
            </w:r>
          </w:p>
        </w:tc>
      </w:tr>
      <w:tr w:rsidR="00EF2A6D" w:rsidRPr="00105FFC" w14:paraId="77E5D021" w14:textId="77777777" w:rsidTr="00EF2A6D">
        <w:trPr>
          <w:trHeight w:val="315"/>
        </w:trPr>
        <w:tc>
          <w:tcPr>
            <w:tcW w:w="4104" w:type="dxa"/>
            <w:vMerge/>
            <w:vAlign w:val="center"/>
            <w:hideMark/>
          </w:tcPr>
          <w:p w14:paraId="62C1964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7B00CB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OHC1 Conflicting information about OHC Status</w:t>
            </w:r>
          </w:p>
        </w:tc>
      </w:tr>
      <w:tr w:rsidR="00EF2A6D" w:rsidRPr="00105FFC" w14:paraId="52CE27AF" w14:textId="77777777" w:rsidTr="00EF2A6D">
        <w:trPr>
          <w:trHeight w:val="315"/>
        </w:trPr>
        <w:tc>
          <w:tcPr>
            <w:tcW w:w="4104" w:type="dxa"/>
            <w:vMerge/>
            <w:vAlign w:val="center"/>
            <w:hideMark/>
          </w:tcPr>
          <w:p w14:paraId="466E6C8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546A90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OHC2 Healthy Families</w:t>
            </w:r>
          </w:p>
        </w:tc>
      </w:tr>
      <w:tr w:rsidR="00EF2A6D" w:rsidRPr="00105FFC" w14:paraId="79649F24" w14:textId="77777777" w:rsidTr="00EF2A6D">
        <w:trPr>
          <w:trHeight w:val="315"/>
        </w:trPr>
        <w:tc>
          <w:tcPr>
            <w:tcW w:w="4104" w:type="dxa"/>
            <w:vMerge/>
            <w:vAlign w:val="center"/>
            <w:hideMark/>
          </w:tcPr>
          <w:p w14:paraId="49D557B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893CE7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PRV2 Billing Discrepancy</w:t>
            </w:r>
          </w:p>
        </w:tc>
      </w:tr>
      <w:tr w:rsidR="00EF2A6D" w:rsidRPr="00105FFC" w14:paraId="3EB2AB42" w14:textId="77777777" w:rsidTr="00EF2A6D">
        <w:trPr>
          <w:trHeight w:val="315"/>
        </w:trPr>
        <w:tc>
          <w:tcPr>
            <w:tcW w:w="4104" w:type="dxa"/>
            <w:vMerge/>
            <w:vAlign w:val="center"/>
            <w:hideMark/>
          </w:tcPr>
          <w:p w14:paraId="243A283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625441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PRV3 Beneficiary Being Billed</w:t>
            </w:r>
          </w:p>
        </w:tc>
      </w:tr>
      <w:tr w:rsidR="00EF2A6D" w:rsidRPr="00105FFC" w14:paraId="0A938B7F" w14:textId="77777777" w:rsidTr="00EF2A6D">
        <w:trPr>
          <w:trHeight w:val="315"/>
        </w:trPr>
        <w:tc>
          <w:tcPr>
            <w:tcW w:w="4104" w:type="dxa"/>
            <w:vMerge/>
            <w:vAlign w:val="center"/>
            <w:hideMark/>
          </w:tcPr>
          <w:p w14:paraId="6760C89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6FBF28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QOC1 Refusal of Care</w:t>
            </w:r>
          </w:p>
        </w:tc>
      </w:tr>
      <w:tr w:rsidR="00EF2A6D" w:rsidRPr="00105FFC" w14:paraId="7F654DC0" w14:textId="77777777" w:rsidTr="00EF2A6D">
        <w:trPr>
          <w:trHeight w:val="315"/>
        </w:trPr>
        <w:tc>
          <w:tcPr>
            <w:tcW w:w="4104" w:type="dxa"/>
            <w:vMerge/>
            <w:vAlign w:val="center"/>
            <w:hideMark/>
          </w:tcPr>
          <w:p w14:paraId="595B3CE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C3D86B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QOC10 CBAS Evaluation Access Issue</w:t>
            </w:r>
          </w:p>
        </w:tc>
      </w:tr>
      <w:tr w:rsidR="00EF2A6D" w:rsidRPr="00105FFC" w14:paraId="0DF77E67" w14:textId="77777777" w:rsidTr="00EF2A6D">
        <w:trPr>
          <w:trHeight w:val="315"/>
        </w:trPr>
        <w:tc>
          <w:tcPr>
            <w:tcW w:w="4104" w:type="dxa"/>
            <w:vMerge/>
            <w:vAlign w:val="center"/>
            <w:hideMark/>
          </w:tcPr>
          <w:p w14:paraId="6C64BEF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FFE686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QOC2 Refusal of Medications</w:t>
            </w:r>
          </w:p>
        </w:tc>
      </w:tr>
      <w:tr w:rsidR="00EF2A6D" w:rsidRPr="00105FFC" w14:paraId="68E77E5B" w14:textId="77777777" w:rsidTr="00EF2A6D">
        <w:trPr>
          <w:trHeight w:val="315"/>
        </w:trPr>
        <w:tc>
          <w:tcPr>
            <w:tcW w:w="4104" w:type="dxa"/>
            <w:vMerge/>
            <w:vAlign w:val="center"/>
            <w:hideMark/>
          </w:tcPr>
          <w:p w14:paraId="6AB8E03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17DF9D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QOC3 Denial of Medical Supplies</w:t>
            </w:r>
          </w:p>
        </w:tc>
      </w:tr>
      <w:tr w:rsidR="00EF2A6D" w:rsidRPr="00105FFC" w14:paraId="17E36BDD" w14:textId="77777777" w:rsidTr="00EF2A6D">
        <w:trPr>
          <w:trHeight w:val="315"/>
        </w:trPr>
        <w:tc>
          <w:tcPr>
            <w:tcW w:w="4104" w:type="dxa"/>
            <w:vMerge/>
            <w:vAlign w:val="center"/>
            <w:hideMark/>
          </w:tcPr>
          <w:p w14:paraId="13E7588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D3CFDD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QOC6 Prior Authorization Denial/Delay</w:t>
            </w:r>
          </w:p>
        </w:tc>
      </w:tr>
      <w:tr w:rsidR="00EF2A6D" w:rsidRPr="00105FFC" w14:paraId="395B53E5" w14:textId="77777777" w:rsidTr="00EF2A6D">
        <w:trPr>
          <w:trHeight w:val="315"/>
        </w:trPr>
        <w:tc>
          <w:tcPr>
            <w:tcW w:w="4104" w:type="dxa"/>
            <w:vMerge w:val="restart"/>
            <w:noWrap/>
            <w:vAlign w:val="center"/>
            <w:hideMark/>
          </w:tcPr>
          <w:p w14:paraId="0AADC4B2"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HCP - Health Care Plan Issues</w:t>
            </w:r>
          </w:p>
        </w:tc>
        <w:tc>
          <w:tcPr>
            <w:tcW w:w="5472" w:type="dxa"/>
            <w:noWrap/>
            <w:vAlign w:val="center"/>
            <w:hideMark/>
          </w:tcPr>
          <w:p w14:paraId="475F981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COC6 SPD LTC Issue</w:t>
            </w:r>
          </w:p>
        </w:tc>
      </w:tr>
      <w:tr w:rsidR="00EF2A6D" w:rsidRPr="00105FFC" w14:paraId="2FC352B9" w14:textId="77777777" w:rsidTr="00EF2A6D">
        <w:trPr>
          <w:trHeight w:val="315"/>
        </w:trPr>
        <w:tc>
          <w:tcPr>
            <w:tcW w:w="4104" w:type="dxa"/>
            <w:vMerge/>
            <w:vAlign w:val="center"/>
            <w:hideMark/>
          </w:tcPr>
          <w:p w14:paraId="7FAE5D5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F3FDB0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EDU4 SPD Education</w:t>
            </w:r>
          </w:p>
        </w:tc>
      </w:tr>
      <w:tr w:rsidR="00EF2A6D" w:rsidRPr="00105FFC" w14:paraId="17098D90" w14:textId="77777777" w:rsidTr="00EF2A6D">
        <w:trPr>
          <w:trHeight w:val="315"/>
        </w:trPr>
        <w:tc>
          <w:tcPr>
            <w:tcW w:w="4104" w:type="dxa"/>
            <w:vMerge/>
            <w:vAlign w:val="center"/>
            <w:hideMark/>
          </w:tcPr>
          <w:p w14:paraId="7349443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CCBF1D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EDU6 CBAS Education</w:t>
            </w:r>
          </w:p>
        </w:tc>
      </w:tr>
      <w:tr w:rsidR="00EF2A6D" w:rsidRPr="00105FFC" w14:paraId="29D7B749" w14:textId="77777777" w:rsidTr="00EF2A6D">
        <w:trPr>
          <w:trHeight w:val="315"/>
        </w:trPr>
        <w:tc>
          <w:tcPr>
            <w:tcW w:w="4104" w:type="dxa"/>
            <w:vMerge/>
            <w:vAlign w:val="center"/>
            <w:hideMark/>
          </w:tcPr>
          <w:p w14:paraId="6488999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7790C3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 xml:space="preserve">ELG2 </w:t>
            </w:r>
            <w:r w:rsidR="00116CB2" w:rsidRPr="00105FFC">
              <w:rPr>
                <w:rFonts w:asciiTheme="minorHAnsi" w:hAnsiTheme="minorHAnsi"/>
                <w:color w:val="000000"/>
                <w:sz w:val="20"/>
                <w:szCs w:val="20"/>
              </w:rPr>
              <w:t>Inaccurate</w:t>
            </w:r>
            <w:r w:rsidRPr="00105FFC">
              <w:rPr>
                <w:rFonts w:asciiTheme="minorHAnsi" w:hAnsiTheme="minorHAnsi"/>
                <w:color w:val="000000"/>
                <w:sz w:val="20"/>
                <w:szCs w:val="20"/>
              </w:rPr>
              <w:t xml:space="preserve"> County Code</w:t>
            </w:r>
          </w:p>
        </w:tc>
      </w:tr>
      <w:tr w:rsidR="00EF2A6D" w:rsidRPr="00105FFC" w14:paraId="1DD40A0C" w14:textId="77777777" w:rsidTr="00EF2A6D">
        <w:trPr>
          <w:trHeight w:val="315"/>
        </w:trPr>
        <w:tc>
          <w:tcPr>
            <w:tcW w:w="4104" w:type="dxa"/>
            <w:vMerge/>
            <w:vAlign w:val="center"/>
            <w:hideMark/>
          </w:tcPr>
          <w:p w14:paraId="539F42A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FCD30C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ELG3 Address Correction/ Beneficiary Moved</w:t>
            </w:r>
          </w:p>
        </w:tc>
      </w:tr>
      <w:tr w:rsidR="00EF2A6D" w:rsidRPr="00105FFC" w14:paraId="10E5528C" w14:textId="77777777" w:rsidTr="00EF2A6D">
        <w:trPr>
          <w:trHeight w:val="315"/>
        </w:trPr>
        <w:tc>
          <w:tcPr>
            <w:tcW w:w="4104" w:type="dxa"/>
            <w:vMerge/>
            <w:vAlign w:val="center"/>
            <w:hideMark/>
          </w:tcPr>
          <w:p w14:paraId="6A922F1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525A98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ELG4 Medi-Cal Eligibility Terminated</w:t>
            </w:r>
          </w:p>
        </w:tc>
      </w:tr>
      <w:tr w:rsidR="00EF2A6D" w:rsidRPr="00105FFC" w14:paraId="3BA6B290" w14:textId="77777777" w:rsidTr="00EF2A6D">
        <w:trPr>
          <w:trHeight w:val="315"/>
        </w:trPr>
        <w:tc>
          <w:tcPr>
            <w:tcW w:w="4104" w:type="dxa"/>
            <w:vMerge/>
            <w:vAlign w:val="center"/>
            <w:hideMark/>
          </w:tcPr>
          <w:p w14:paraId="489C88A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833F0B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ELG5 Share of Cost</w:t>
            </w:r>
          </w:p>
        </w:tc>
      </w:tr>
      <w:tr w:rsidR="00EF2A6D" w:rsidRPr="00105FFC" w14:paraId="461F7E3A" w14:textId="77777777" w:rsidTr="00EF2A6D">
        <w:trPr>
          <w:trHeight w:val="315"/>
        </w:trPr>
        <w:tc>
          <w:tcPr>
            <w:tcW w:w="4104" w:type="dxa"/>
            <w:vMerge/>
            <w:vAlign w:val="center"/>
            <w:hideMark/>
          </w:tcPr>
          <w:p w14:paraId="051D117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7348D5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ELG7 Restricted Aid Code</w:t>
            </w:r>
          </w:p>
        </w:tc>
      </w:tr>
      <w:tr w:rsidR="00EF2A6D" w:rsidRPr="00105FFC" w14:paraId="1CFCB270" w14:textId="77777777" w:rsidTr="00EF2A6D">
        <w:trPr>
          <w:trHeight w:val="315"/>
        </w:trPr>
        <w:tc>
          <w:tcPr>
            <w:tcW w:w="4104" w:type="dxa"/>
            <w:vMerge/>
            <w:vAlign w:val="center"/>
            <w:hideMark/>
          </w:tcPr>
          <w:p w14:paraId="413A4A5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441D7B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 Hold on Plan</w:t>
            </w:r>
          </w:p>
        </w:tc>
      </w:tr>
      <w:tr w:rsidR="00EF2A6D" w:rsidRPr="00105FFC" w14:paraId="464162D6" w14:textId="77777777" w:rsidTr="00EF2A6D">
        <w:trPr>
          <w:trHeight w:val="315"/>
        </w:trPr>
        <w:tc>
          <w:tcPr>
            <w:tcW w:w="4104" w:type="dxa"/>
            <w:vMerge/>
            <w:vAlign w:val="center"/>
            <w:hideMark/>
          </w:tcPr>
          <w:p w14:paraId="2556466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9D6F35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HCO15 SPD MER/EDER Denial</w:t>
            </w:r>
          </w:p>
        </w:tc>
      </w:tr>
      <w:tr w:rsidR="00EF2A6D" w:rsidRPr="00105FFC" w14:paraId="56BAED8C" w14:textId="77777777" w:rsidTr="00EF2A6D">
        <w:trPr>
          <w:trHeight w:val="315"/>
        </w:trPr>
        <w:tc>
          <w:tcPr>
            <w:tcW w:w="4104" w:type="dxa"/>
            <w:vMerge/>
            <w:vAlign w:val="center"/>
            <w:hideMark/>
          </w:tcPr>
          <w:p w14:paraId="557981A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170FD8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HCO16 MER/EDER Status Check</w:t>
            </w:r>
          </w:p>
        </w:tc>
      </w:tr>
      <w:tr w:rsidR="00EF2A6D" w:rsidRPr="00105FFC" w14:paraId="287674D0" w14:textId="77777777" w:rsidTr="00EF2A6D">
        <w:trPr>
          <w:trHeight w:val="315"/>
        </w:trPr>
        <w:tc>
          <w:tcPr>
            <w:tcW w:w="4104" w:type="dxa"/>
            <w:vMerge/>
            <w:vAlign w:val="center"/>
            <w:hideMark/>
          </w:tcPr>
          <w:p w14:paraId="5C37F4F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9BD912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HCO2 Requesting new enrollment into Plan</w:t>
            </w:r>
          </w:p>
        </w:tc>
      </w:tr>
      <w:tr w:rsidR="00EF2A6D" w:rsidRPr="00105FFC" w14:paraId="411BD1A5" w14:textId="77777777" w:rsidTr="00EF2A6D">
        <w:trPr>
          <w:trHeight w:val="315"/>
        </w:trPr>
        <w:tc>
          <w:tcPr>
            <w:tcW w:w="4104" w:type="dxa"/>
            <w:vMerge/>
            <w:vAlign w:val="center"/>
            <w:hideMark/>
          </w:tcPr>
          <w:p w14:paraId="636C1BC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571FDA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HCO3 Wants to Change Plans</w:t>
            </w:r>
          </w:p>
        </w:tc>
      </w:tr>
      <w:tr w:rsidR="00EF2A6D" w:rsidRPr="00105FFC" w14:paraId="29345C64" w14:textId="77777777" w:rsidTr="00EF2A6D">
        <w:trPr>
          <w:trHeight w:val="315"/>
        </w:trPr>
        <w:tc>
          <w:tcPr>
            <w:tcW w:w="4104" w:type="dxa"/>
            <w:vMerge/>
            <w:vAlign w:val="center"/>
            <w:hideMark/>
          </w:tcPr>
          <w:p w14:paraId="63467DB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2516FA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HCO4 Wants to Disenroll from Plan to become FFS</w:t>
            </w:r>
          </w:p>
        </w:tc>
      </w:tr>
      <w:tr w:rsidR="00EF2A6D" w:rsidRPr="00105FFC" w14:paraId="43C356FF" w14:textId="77777777" w:rsidTr="00EF2A6D">
        <w:trPr>
          <w:trHeight w:val="315"/>
        </w:trPr>
        <w:tc>
          <w:tcPr>
            <w:tcW w:w="4104" w:type="dxa"/>
            <w:vMerge/>
            <w:vAlign w:val="center"/>
            <w:hideMark/>
          </w:tcPr>
          <w:p w14:paraId="58C9273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7F16BD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HCO6 MER/EDER Denial</w:t>
            </w:r>
          </w:p>
        </w:tc>
      </w:tr>
      <w:tr w:rsidR="00EF2A6D" w:rsidRPr="00105FFC" w14:paraId="70B1B47E" w14:textId="77777777" w:rsidTr="00EF2A6D">
        <w:trPr>
          <w:trHeight w:val="315"/>
        </w:trPr>
        <w:tc>
          <w:tcPr>
            <w:tcW w:w="4104" w:type="dxa"/>
            <w:vMerge/>
            <w:vAlign w:val="center"/>
            <w:hideMark/>
          </w:tcPr>
          <w:p w14:paraId="37ED557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6F3C3F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HCO8 Long Term Care Issue (DER Request)</w:t>
            </w:r>
          </w:p>
        </w:tc>
      </w:tr>
      <w:tr w:rsidR="00EF2A6D" w:rsidRPr="00105FFC" w14:paraId="07C46233" w14:textId="77777777" w:rsidTr="00EF2A6D">
        <w:trPr>
          <w:trHeight w:val="315"/>
        </w:trPr>
        <w:tc>
          <w:tcPr>
            <w:tcW w:w="4104" w:type="dxa"/>
            <w:vMerge/>
            <w:vAlign w:val="center"/>
            <w:hideMark/>
          </w:tcPr>
          <w:p w14:paraId="6C6636D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852B3B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 - Health Care Plan Issues</w:t>
            </w:r>
          </w:p>
        </w:tc>
      </w:tr>
      <w:tr w:rsidR="00EF2A6D" w:rsidRPr="00105FFC" w14:paraId="4696B1EC" w14:textId="77777777" w:rsidTr="00EF2A6D">
        <w:trPr>
          <w:trHeight w:val="315"/>
        </w:trPr>
        <w:tc>
          <w:tcPr>
            <w:tcW w:w="4104" w:type="dxa"/>
            <w:vMerge/>
            <w:vAlign w:val="center"/>
            <w:hideMark/>
          </w:tcPr>
          <w:p w14:paraId="13F7EA4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8E3CF5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HCP1 Not Assigned Requested PCP/IPA</w:t>
            </w:r>
          </w:p>
        </w:tc>
      </w:tr>
      <w:tr w:rsidR="00EF2A6D" w:rsidRPr="00105FFC" w14:paraId="0C28D092" w14:textId="77777777" w:rsidTr="00EF2A6D">
        <w:trPr>
          <w:trHeight w:val="315"/>
        </w:trPr>
        <w:tc>
          <w:tcPr>
            <w:tcW w:w="4104" w:type="dxa"/>
            <w:vMerge/>
            <w:vAlign w:val="center"/>
            <w:hideMark/>
          </w:tcPr>
          <w:p w14:paraId="1E3478B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E08A18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HCP12 Mental Health Access Issues</w:t>
            </w:r>
          </w:p>
        </w:tc>
      </w:tr>
      <w:tr w:rsidR="00EF2A6D" w:rsidRPr="00105FFC" w14:paraId="252359E1" w14:textId="77777777" w:rsidTr="00EF2A6D">
        <w:trPr>
          <w:trHeight w:val="315"/>
        </w:trPr>
        <w:tc>
          <w:tcPr>
            <w:tcW w:w="4104" w:type="dxa"/>
            <w:vMerge/>
            <w:vAlign w:val="center"/>
            <w:hideMark/>
          </w:tcPr>
          <w:p w14:paraId="14D62A7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726C36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HCP2 Wants to Change Provider</w:t>
            </w:r>
          </w:p>
        </w:tc>
      </w:tr>
      <w:tr w:rsidR="00EF2A6D" w:rsidRPr="00105FFC" w14:paraId="17B358D2" w14:textId="77777777" w:rsidTr="00EF2A6D">
        <w:trPr>
          <w:trHeight w:val="315"/>
        </w:trPr>
        <w:tc>
          <w:tcPr>
            <w:tcW w:w="4104" w:type="dxa"/>
            <w:vMerge/>
            <w:vAlign w:val="center"/>
            <w:hideMark/>
          </w:tcPr>
          <w:p w14:paraId="583BD23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9FBB09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HCP3 Assigned PCP Outside 10Mi/30Min Radius</w:t>
            </w:r>
          </w:p>
        </w:tc>
      </w:tr>
      <w:tr w:rsidR="00EF2A6D" w:rsidRPr="00105FFC" w14:paraId="6A160577" w14:textId="77777777" w:rsidTr="00EF2A6D">
        <w:trPr>
          <w:trHeight w:val="315"/>
        </w:trPr>
        <w:tc>
          <w:tcPr>
            <w:tcW w:w="4104" w:type="dxa"/>
            <w:vMerge/>
            <w:vAlign w:val="center"/>
            <w:hideMark/>
          </w:tcPr>
          <w:p w14:paraId="5663255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49C452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HCP5 Health Card Not Issued</w:t>
            </w:r>
          </w:p>
        </w:tc>
      </w:tr>
      <w:tr w:rsidR="00EF2A6D" w:rsidRPr="00105FFC" w14:paraId="29037E7F" w14:textId="77777777" w:rsidTr="00EF2A6D">
        <w:trPr>
          <w:trHeight w:val="315"/>
        </w:trPr>
        <w:tc>
          <w:tcPr>
            <w:tcW w:w="4104" w:type="dxa"/>
            <w:vMerge/>
            <w:vAlign w:val="center"/>
            <w:hideMark/>
          </w:tcPr>
          <w:p w14:paraId="69DCA2A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05A087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HCP6 Communications/Behavior/Attitude of Staff</w:t>
            </w:r>
          </w:p>
        </w:tc>
      </w:tr>
      <w:tr w:rsidR="00EF2A6D" w:rsidRPr="00105FFC" w14:paraId="13547C73" w14:textId="77777777" w:rsidTr="00EF2A6D">
        <w:trPr>
          <w:trHeight w:val="315"/>
        </w:trPr>
        <w:tc>
          <w:tcPr>
            <w:tcW w:w="4104" w:type="dxa"/>
            <w:vMerge/>
            <w:vAlign w:val="center"/>
            <w:hideMark/>
          </w:tcPr>
          <w:p w14:paraId="061889A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664C7D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HCP7 Transportation</w:t>
            </w:r>
          </w:p>
        </w:tc>
      </w:tr>
      <w:tr w:rsidR="00EF2A6D" w:rsidRPr="00105FFC" w14:paraId="39AF3658" w14:textId="77777777" w:rsidTr="00EF2A6D">
        <w:trPr>
          <w:trHeight w:val="315"/>
        </w:trPr>
        <w:tc>
          <w:tcPr>
            <w:tcW w:w="4104" w:type="dxa"/>
            <w:vMerge/>
            <w:vAlign w:val="center"/>
            <w:hideMark/>
          </w:tcPr>
          <w:p w14:paraId="2B36F15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5D64F5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MISC2 Beneficiary Identification Card (BIC) Order</w:t>
            </w:r>
          </w:p>
        </w:tc>
      </w:tr>
      <w:tr w:rsidR="00EF2A6D" w:rsidRPr="00105FFC" w14:paraId="2080366C" w14:textId="77777777" w:rsidTr="00EF2A6D">
        <w:trPr>
          <w:trHeight w:val="315"/>
        </w:trPr>
        <w:tc>
          <w:tcPr>
            <w:tcW w:w="4104" w:type="dxa"/>
            <w:vMerge/>
            <w:vAlign w:val="center"/>
            <w:hideMark/>
          </w:tcPr>
          <w:p w14:paraId="11C4912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D0268E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MISC3 Other (Please specify in notes)</w:t>
            </w:r>
          </w:p>
        </w:tc>
      </w:tr>
      <w:tr w:rsidR="00EF2A6D" w:rsidRPr="00105FFC" w14:paraId="70B665F8" w14:textId="77777777" w:rsidTr="00EF2A6D">
        <w:trPr>
          <w:trHeight w:val="315"/>
        </w:trPr>
        <w:tc>
          <w:tcPr>
            <w:tcW w:w="4104" w:type="dxa"/>
            <w:vMerge/>
            <w:vAlign w:val="center"/>
            <w:hideMark/>
          </w:tcPr>
          <w:p w14:paraId="71B49D6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907864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MISC4 Voice Mail Call - No Answer</w:t>
            </w:r>
          </w:p>
        </w:tc>
      </w:tr>
      <w:tr w:rsidR="00EF2A6D" w:rsidRPr="00105FFC" w14:paraId="35FB2EDE" w14:textId="77777777" w:rsidTr="00EF2A6D">
        <w:trPr>
          <w:trHeight w:val="315"/>
        </w:trPr>
        <w:tc>
          <w:tcPr>
            <w:tcW w:w="4104" w:type="dxa"/>
            <w:vMerge/>
            <w:vAlign w:val="center"/>
            <w:hideMark/>
          </w:tcPr>
          <w:p w14:paraId="2072CCB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F233D7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MISC5 Voice Mail Call – Issue Resolved</w:t>
            </w:r>
          </w:p>
        </w:tc>
      </w:tr>
      <w:tr w:rsidR="00EF2A6D" w:rsidRPr="00105FFC" w14:paraId="510CA764" w14:textId="77777777" w:rsidTr="00EF2A6D">
        <w:trPr>
          <w:trHeight w:val="315"/>
        </w:trPr>
        <w:tc>
          <w:tcPr>
            <w:tcW w:w="4104" w:type="dxa"/>
            <w:vMerge/>
            <w:vAlign w:val="center"/>
            <w:hideMark/>
          </w:tcPr>
          <w:p w14:paraId="0041CCB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7569E8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OHC1 Conflicting information about OHC Status</w:t>
            </w:r>
          </w:p>
        </w:tc>
      </w:tr>
      <w:tr w:rsidR="00EF2A6D" w:rsidRPr="00105FFC" w14:paraId="55DA1F5B" w14:textId="77777777" w:rsidTr="00EF2A6D">
        <w:trPr>
          <w:trHeight w:val="315"/>
        </w:trPr>
        <w:tc>
          <w:tcPr>
            <w:tcW w:w="4104" w:type="dxa"/>
            <w:vMerge/>
            <w:vAlign w:val="center"/>
            <w:hideMark/>
          </w:tcPr>
          <w:p w14:paraId="6D7E836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9845C6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PRV1 Provider Not Being Paid</w:t>
            </w:r>
          </w:p>
        </w:tc>
      </w:tr>
      <w:tr w:rsidR="00EF2A6D" w:rsidRPr="00105FFC" w14:paraId="548AF501" w14:textId="77777777" w:rsidTr="00EF2A6D">
        <w:trPr>
          <w:trHeight w:val="315"/>
        </w:trPr>
        <w:tc>
          <w:tcPr>
            <w:tcW w:w="4104" w:type="dxa"/>
            <w:vMerge/>
            <w:vAlign w:val="center"/>
            <w:hideMark/>
          </w:tcPr>
          <w:p w14:paraId="2BF1BF8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44D4CD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PRV2 Billing Discrepancy</w:t>
            </w:r>
          </w:p>
        </w:tc>
      </w:tr>
      <w:tr w:rsidR="00EF2A6D" w:rsidRPr="00105FFC" w14:paraId="7F6C368C" w14:textId="77777777" w:rsidTr="00EF2A6D">
        <w:trPr>
          <w:trHeight w:val="315"/>
        </w:trPr>
        <w:tc>
          <w:tcPr>
            <w:tcW w:w="4104" w:type="dxa"/>
            <w:vMerge/>
            <w:vAlign w:val="center"/>
            <w:hideMark/>
          </w:tcPr>
          <w:p w14:paraId="71E61A1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3834EA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QOC1 Refusal of Care</w:t>
            </w:r>
          </w:p>
        </w:tc>
      </w:tr>
      <w:tr w:rsidR="00EF2A6D" w:rsidRPr="00105FFC" w14:paraId="28C2674F" w14:textId="77777777" w:rsidTr="00EF2A6D">
        <w:trPr>
          <w:trHeight w:val="315"/>
        </w:trPr>
        <w:tc>
          <w:tcPr>
            <w:tcW w:w="4104" w:type="dxa"/>
            <w:vMerge/>
            <w:vAlign w:val="center"/>
            <w:hideMark/>
          </w:tcPr>
          <w:p w14:paraId="7575A4A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D3B589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QOC2 Refusal of Medications</w:t>
            </w:r>
          </w:p>
        </w:tc>
      </w:tr>
      <w:tr w:rsidR="00EF2A6D" w:rsidRPr="00105FFC" w14:paraId="76FAEA41" w14:textId="77777777" w:rsidTr="00EF2A6D">
        <w:trPr>
          <w:trHeight w:val="315"/>
        </w:trPr>
        <w:tc>
          <w:tcPr>
            <w:tcW w:w="4104" w:type="dxa"/>
            <w:vMerge/>
            <w:vAlign w:val="center"/>
            <w:hideMark/>
          </w:tcPr>
          <w:p w14:paraId="4501FBF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82D253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QOC3 Denial of Medical Supplies</w:t>
            </w:r>
          </w:p>
        </w:tc>
      </w:tr>
      <w:tr w:rsidR="00EF2A6D" w:rsidRPr="00105FFC" w14:paraId="7E2BA405" w14:textId="77777777" w:rsidTr="00EF2A6D">
        <w:trPr>
          <w:trHeight w:val="315"/>
        </w:trPr>
        <w:tc>
          <w:tcPr>
            <w:tcW w:w="4104" w:type="dxa"/>
            <w:vMerge/>
            <w:vAlign w:val="center"/>
            <w:hideMark/>
          </w:tcPr>
          <w:p w14:paraId="12F9AFE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FDF221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QOC5 Delay/ Denial of Referrals or Appointments</w:t>
            </w:r>
          </w:p>
        </w:tc>
      </w:tr>
      <w:tr w:rsidR="00EF2A6D" w:rsidRPr="00105FFC" w14:paraId="5A7254A4" w14:textId="77777777" w:rsidTr="00EF2A6D">
        <w:trPr>
          <w:trHeight w:val="315"/>
        </w:trPr>
        <w:tc>
          <w:tcPr>
            <w:tcW w:w="4104" w:type="dxa"/>
            <w:vMerge/>
            <w:vAlign w:val="center"/>
            <w:hideMark/>
          </w:tcPr>
          <w:p w14:paraId="6B40419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B20F56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QOC6 Prior Authorization Denial/Delay</w:t>
            </w:r>
          </w:p>
        </w:tc>
      </w:tr>
      <w:tr w:rsidR="00EF2A6D" w:rsidRPr="00105FFC" w14:paraId="3DAC464C" w14:textId="77777777" w:rsidTr="00EF2A6D">
        <w:trPr>
          <w:trHeight w:val="315"/>
        </w:trPr>
        <w:tc>
          <w:tcPr>
            <w:tcW w:w="4104" w:type="dxa"/>
            <w:vMerge/>
            <w:vAlign w:val="center"/>
            <w:hideMark/>
          </w:tcPr>
          <w:p w14:paraId="6F25FF9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FCAAF1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QOC7 Treatment/Diagnosis/Inappropriate Care</w:t>
            </w:r>
          </w:p>
        </w:tc>
      </w:tr>
      <w:tr w:rsidR="00EF2A6D" w:rsidRPr="00105FFC" w14:paraId="594CBE95" w14:textId="77777777" w:rsidTr="00EF2A6D">
        <w:trPr>
          <w:trHeight w:val="315"/>
        </w:trPr>
        <w:tc>
          <w:tcPr>
            <w:tcW w:w="4104" w:type="dxa"/>
            <w:vMerge w:val="restart"/>
            <w:noWrap/>
            <w:vAlign w:val="center"/>
            <w:hideMark/>
          </w:tcPr>
          <w:p w14:paraId="1511A0E3"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HFT - Healthy Families Transition</w:t>
            </w:r>
          </w:p>
        </w:tc>
        <w:tc>
          <w:tcPr>
            <w:tcW w:w="5472" w:type="dxa"/>
            <w:noWrap/>
            <w:vAlign w:val="center"/>
            <w:hideMark/>
          </w:tcPr>
          <w:p w14:paraId="6055DEA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ELG4 Medi-Cal Eligibility Terminated</w:t>
            </w:r>
          </w:p>
        </w:tc>
      </w:tr>
      <w:tr w:rsidR="00EF2A6D" w:rsidRPr="00105FFC" w14:paraId="337748D0" w14:textId="77777777" w:rsidTr="00EF2A6D">
        <w:trPr>
          <w:trHeight w:val="315"/>
        </w:trPr>
        <w:tc>
          <w:tcPr>
            <w:tcW w:w="4104" w:type="dxa"/>
            <w:vMerge/>
            <w:vAlign w:val="center"/>
            <w:hideMark/>
          </w:tcPr>
          <w:p w14:paraId="7038404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905ED8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HCO2 Requesting new enrollment into Plan</w:t>
            </w:r>
          </w:p>
        </w:tc>
      </w:tr>
      <w:tr w:rsidR="00EF2A6D" w:rsidRPr="00105FFC" w14:paraId="3A39AEAA" w14:textId="77777777" w:rsidTr="00EF2A6D">
        <w:trPr>
          <w:trHeight w:val="315"/>
        </w:trPr>
        <w:tc>
          <w:tcPr>
            <w:tcW w:w="4104" w:type="dxa"/>
            <w:vMerge/>
            <w:vAlign w:val="center"/>
            <w:hideMark/>
          </w:tcPr>
          <w:p w14:paraId="0231207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1B6507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MISC3 Other (Please specify in notes)</w:t>
            </w:r>
          </w:p>
        </w:tc>
      </w:tr>
      <w:tr w:rsidR="00EF2A6D" w:rsidRPr="00105FFC" w14:paraId="569266FA" w14:textId="77777777" w:rsidTr="00EF2A6D">
        <w:trPr>
          <w:trHeight w:val="315"/>
        </w:trPr>
        <w:tc>
          <w:tcPr>
            <w:tcW w:w="4104" w:type="dxa"/>
            <w:vMerge/>
            <w:vAlign w:val="center"/>
            <w:hideMark/>
          </w:tcPr>
          <w:p w14:paraId="51EE7A8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4DFBE4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MISC4 Voice Mail Call - No Answer</w:t>
            </w:r>
          </w:p>
        </w:tc>
      </w:tr>
      <w:tr w:rsidR="00EF2A6D" w:rsidRPr="00105FFC" w14:paraId="6AF12B74" w14:textId="77777777" w:rsidTr="00EF2A6D">
        <w:trPr>
          <w:trHeight w:val="315"/>
        </w:trPr>
        <w:tc>
          <w:tcPr>
            <w:tcW w:w="4104" w:type="dxa"/>
            <w:vMerge/>
            <w:vAlign w:val="center"/>
            <w:hideMark/>
          </w:tcPr>
          <w:p w14:paraId="49857AD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0C61A7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MISC5 Voice Mail Call – Issue Resolved</w:t>
            </w:r>
          </w:p>
        </w:tc>
      </w:tr>
      <w:tr w:rsidR="00EF2A6D" w:rsidRPr="00105FFC" w14:paraId="7568F848" w14:textId="77777777" w:rsidTr="00EF2A6D">
        <w:trPr>
          <w:trHeight w:val="315"/>
        </w:trPr>
        <w:tc>
          <w:tcPr>
            <w:tcW w:w="4104" w:type="dxa"/>
            <w:vMerge/>
            <w:vAlign w:val="center"/>
            <w:hideMark/>
          </w:tcPr>
          <w:p w14:paraId="411CE92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D28E86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OHC1 Conflicting information about OHC Status</w:t>
            </w:r>
          </w:p>
        </w:tc>
      </w:tr>
      <w:tr w:rsidR="00EF2A6D" w:rsidRPr="00105FFC" w14:paraId="5AFF4890" w14:textId="77777777" w:rsidTr="00EF2A6D">
        <w:trPr>
          <w:trHeight w:val="315"/>
        </w:trPr>
        <w:tc>
          <w:tcPr>
            <w:tcW w:w="4104" w:type="dxa"/>
            <w:vMerge/>
            <w:vAlign w:val="center"/>
            <w:hideMark/>
          </w:tcPr>
          <w:p w14:paraId="5709D0D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E9D136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OHC2 Healthy Families</w:t>
            </w:r>
          </w:p>
        </w:tc>
      </w:tr>
      <w:tr w:rsidR="00EF2A6D" w:rsidRPr="00105FFC" w14:paraId="436DC370" w14:textId="77777777" w:rsidTr="00EF2A6D">
        <w:trPr>
          <w:trHeight w:val="315"/>
        </w:trPr>
        <w:tc>
          <w:tcPr>
            <w:tcW w:w="4104" w:type="dxa"/>
            <w:vMerge/>
            <w:vAlign w:val="center"/>
            <w:hideMark/>
          </w:tcPr>
          <w:p w14:paraId="0E8FA1D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74093A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PRV2 Billing Discrepancy</w:t>
            </w:r>
          </w:p>
        </w:tc>
      </w:tr>
      <w:tr w:rsidR="00EF2A6D" w:rsidRPr="00105FFC" w14:paraId="5E616083" w14:textId="77777777" w:rsidTr="00EF2A6D">
        <w:trPr>
          <w:trHeight w:val="315"/>
        </w:trPr>
        <w:tc>
          <w:tcPr>
            <w:tcW w:w="4104" w:type="dxa"/>
            <w:vMerge w:val="restart"/>
            <w:noWrap/>
            <w:vAlign w:val="center"/>
            <w:hideMark/>
          </w:tcPr>
          <w:p w14:paraId="64EF81FE"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MISC - Miscellaneous Issues</w:t>
            </w:r>
          </w:p>
        </w:tc>
        <w:tc>
          <w:tcPr>
            <w:tcW w:w="5472" w:type="dxa"/>
            <w:noWrap/>
            <w:vAlign w:val="center"/>
            <w:hideMark/>
          </w:tcPr>
          <w:p w14:paraId="535AD31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COC2 Pregnant</w:t>
            </w:r>
          </w:p>
        </w:tc>
      </w:tr>
      <w:tr w:rsidR="00EF2A6D" w:rsidRPr="00105FFC" w14:paraId="0234236B" w14:textId="77777777" w:rsidTr="00EF2A6D">
        <w:trPr>
          <w:trHeight w:val="315"/>
        </w:trPr>
        <w:tc>
          <w:tcPr>
            <w:tcW w:w="4104" w:type="dxa"/>
            <w:vMerge/>
            <w:vAlign w:val="center"/>
            <w:hideMark/>
          </w:tcPr>
          <w:p w14:paraId="58C07A2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B1AE79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COC5 Other Qualifying Condition</w:t>
            </w:r>
          </w:p>
        </w:tc>
      </w:tr>
      <w:tr w:rsidR="00EF2A6D" w:rsidRPr="00105FFC" w14:paraId="3F670A60" w14:textId="77777777" w:rsidTr="00EF2A6D">
        <w:trPr>
          <w:trHeight w:val="315"/>
        </w:trPr>
        <w:tc>
          <w:tcPr>
            <w:tcW w:w="4104" w:type="dxa"/>
            <w:vMerge/>
            <w:vAlign w:val="center"/>
            <w:hideMark/>
          </w:tcPr>
          <w:p w14:paraId="253F67F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C8402A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EDU1 Mandatory Enrollment Issue/ Wants to become FFS</w:t>
            </w:r>
          </w:p>
        </w:tc>
      </w:tr>
      <w:tr w:rsidR="00EF2A6D" w:rsidRPr="00105FFC" w14:paraId="69198F04" w14:textId="77777777" w:rsidTr="00EF2A6D">
        <w:trPr>
          <w:trHeight w:val="315"/>
        </w:trPr>
        <w:tc>
          <w:tcPr>
            <w:tcW w:w="4104" w:type="dxa"/>
            <w:vMerge/>
            <w:vAlign w:val="center"/>
            <w:hideMark/>
          </w:tcPr>
          <w:p w14:paraId="6F05DDD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F1B65B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EDU3 Notice of Action</w:t>
            </w:r>
          </w:p>
        </w:tc>
      </w:tr>
      <w:tr w:rsidR="00EF2A6D" w:rsidRPr="00105FFC" w14:paraId="6E8905F3" w14:textId="77777777" w:rsidTr="00EF2A6D">
        <w:trPr>
          <w:trHeight w:val="315"/>
        </w:trPr>
        <w:tc>
          <w:tcPr>
            <w:tcW w:w="4104" w:type="dxa"/>
            <w:vMerge/>
            <w:vAlign w:val="center"/>
            <w:hideMark/>
          </w:tcPr>
          <w:p w14:paraId="14908A7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81D7E7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EDU4 SPD Education</w:t>
            </w:r>
          </w:p>
        </w:tc>
      </w:tr>
      <w:tr w:rsidR="00EF2A6D" w:rsidRPr="00105FFC" w14:paraId="1D16D81F" w14:textId="77777777" w:rsidTr="00EF2A6D">
        <w:trPr>
          <w:trHeight w:val="315"/>
        </w:trPr>
        <w:tc>
          <w:tcPr>
            <w:tcW w:w="4104" w:type="dxa"/>
            <w:vMerge/>
            <w:vAlign w:val="center"/>
            <w:hideMark/>
          </w:tcPr>
          <w:p w14:paraId="19B6250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BB6563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EDU6 CBAS Education</w:t>
            </w:r>
          </w:p>
        </w:tc>
      </w:tr>
      <w:tr w:rsidR="00EF2A6D" w:rsidRPr="00105FFC" w14:paraId="32B09D18" w14:textId="77777777" w:rsidTr="00EF2A6D">
        <w:trPr>
          <w:trHeight w:val="315"/>
        </w:trPr>
        <w:tc>
          <w:tcPr>
            <w:tcW w:w="4104" w:type="dxa"/>
            <w:vMerge/>
            <w:vAlign w:val="center"/>
            <w:hideMark/>
          </w:tcPr>
          <w:p w14:paraId="106DEA3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3BF085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EDU8 Duals/CCI Education</w:t>
            </w:r>
          </w:p>
        </w:tc>
      </w:tr>
      <w:tr w:rsidR="00EF2A6D" w:rsidRPr="00105FFC" w14:paraId="3D97DC2B" w14:textId="77777777" w:rsidTr="00EF2A6D">
        <w:trPr>
          <w:trHeight w:val="315"/>
        </w:trPr>
        <w:tc>
          <w:tcPr>
            <w:tcW w:w="4104" w:type="dxa"/>
            <w:vMerge/>
            <w:vAlign w:val="center"/>
            <w:hideMark/>
          </w:tcPr>
          <w:p w14:paraId="3C877C3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4B5CD7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ELG1 Inaccurate Aid Code</w:t>
            </w:r>
          </w:p>
        </w:tc>
      </w:tr>
      <w:tr w:rsidR="00EF2A6D" w:rsidRPr="00105FFC" w14:paraId="3B50B68D" w14:textId="77777777" w:rsidTr="00EF2A6D">
        <w:trPr>
          <w:trHeight w:val="315"/>
        </w:trPr>
        <w:tc>
          <w:tcPr>
            <w:tcW w:w="4104" w:type="dxa"/>
            <w:vMerge/>
            <w:vAlign w:val="center"/>
            <w:hideMark/>
          </w:tcPr>
          <w:p w14:paraId="05E62F3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AAE49C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 xml:space="preserve">ELG2 </w:t>
            </w:r>
            <w:r w:rsidR="00116CB2" w:rsidRPr="00105FFC">
              <w:rPr>
                <w:rFonts w:asciiTheme="minorHAnsi" w:hAnsiTheme="minorHAnsi"/>
                <w:color w:val="000000"/>
                <w:sz w:val="20"/>
                <w:szCs w:val="20"/>
              </w:rPr>
              <w:t>Inaccurate</w:t>
            </w:r>
            <w:r w:rsidRPr="00105FFC">
              <w:rPr>
                <w:rFonts w:asciiTheme="minorHAnsi" w:hAnsiTheme="minorHAnsi"/>
                <w:color w:val="000000"/>
                <w:sz w:val="20"/>
                <w:szCs w:val="20"/>
              </w:rPr>
              <w:t xml:space="preserve"> County Code</w:t>
            </w:r>
          </w:p>
        </w:tc>
      </w:tr>
      <w:tr w:rsidR="00EF2A6D" w:rsidRPr="00105FFC" w14:paraId="707B3589" w14:textId="77777777" w:rsidTr="00EF2A6D">
        <w:trPr>
          <w:trHeight w:val="315"/>
        </w:trPr>
        <w:tc>
          <w:tcPr>
            <w:tcW w:w="4104" w:type="dxa"/>
            <w:vMerge/>
            <w:vAlign w:val="center"/>
            <w:hideMark/>
          </w:tcPr>
          <w:p w14:paraId="22780A9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23B857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ELG3 Address Correction/ Beneficiary Moved</w:t>
            </w:r>
          </w:p>
        </w:tc>
      </w:tr>
      <w:tr w:rsidR="00EF2A6D" w:rsidRPr="00105FFC" w14:paraId="7CBD57BE" w14:textId="77777777" w:rsidTr="00EF2A6D">
        <w:trPr>
          <w:trHeight w:val="315"/>
        </w:trPr>
        <w:tc>
          <w:tcPr>
            <w:tcW w:w="4104" w:type="dxa"/>
            <w:vMerge/>
            <w:vAlign w:val="center"/>
            <w:hideMark/>
          </w:tcPr>
          <w:p w14:paraId="41C1C1C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133D69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ELG4 Medi-Cal Eligibility Terminated</w:t>
            </w:r>
          </w:p>
        </w:tc>
      </w:tr>
      <w:tr w:rsidR="00EF2A6D" w:rsidRPr="00105FFC" w14:paraId="3FE27FBF" w14:textId="77777777" w:rsidTr="00EF2A6D">
        <w:trPr>
          <w:trHeight w:val="315"/>
        </w:trPr>
        <w:tc>
          <w:tcPr>
            <w:tcW w:w="4104" w:type="dxa"/>
            <w:vMerge/>
            <w:vAlign w:val="center"/>
            <w:hideMark/>
          </w:tcPr>
          <w:p w14:paraId="06DC06E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2011DD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ELG5 Share of Cost</w:t>
            </w:r>
          </w:p>
        </w:tc>
      </w:tr>
      <w:tr w:rsidR="00EF2A6D" w:rsidRPr="00105FFC" w14:paraId="7EE798DE" w14:textId="77777777" w:rsidTr="00EF2A6D">
        <w:trPr>
          <w:trHeight w:val="315"/>
        </w:trPr>
        <w:tc>
          <w:tcPr>
            <w:tcW w:w="4104" w:type="dxa"/>
            <w:vMerge/>
            <w:vAlign w:val="center"/>
            <w:hideMark/>
          </w:tcPr>
          <w:p w14:paraId="6F4B968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1DAB89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ELG6 Foster Care/Adoption Category</w:t>
            </w:r>
          </w:p>
        </w:tc>
      </w:tr>
      <w:tr w:rsidR="00EF2A6D" w:rsidRPr="00105FFC" w14:paraId="5EC4B1F5" w14:textId="77777777" w:rsidTr="00EF2A6D">
        <w:trPr>
          <w:trHeight w:val="315"/>
        </w:trPr>
        <w:tc>
          <w:tcPr>
            <w:tcW w:w="4104" w:type="dxa"/>
            <w:vMerge/>
            <w:vAlign w:val="center"/>
            <w:hideMark/>
          </w:tcPr>
          <w:p w14:paraId="15E0891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1F713E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ELG7 Restricted Aid Code</w:t>
            </w:r>
          </w:p>
        </w:tc>
      </w:tr>
      <w:tr w:rsidR="00EF2A6D" w:rsidRPr="00105FFC" w14:paraId="5669EB50" w14:textId="77777777" w:rsidTr="00EF2A6D">
        <w:trPr>
          <w:trHeight w:val="315"/>
        </w:trPr>
        <w:tc>
          <w:tcPr>
            <w:tcW w:w="4104" w:type="dxa"/>
            <w:vMerge/>
            <w:vAlign w:val="center"/>
            <w:hideMark/>
          </w:tcPr>
          <w:p w14:paraId="3AEBE0B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617B43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 Hold on Plan</w:t>
            </w:r>
          </w:p>
        </w:tc>
      </w:tr>
      <w:tr w:rsidR="00EF2A6D" w:rsidRPr="00105FFC" w14:paraId="00A0E46C" w14:textId="77777777" w:rsidTr="00EF2A6D">
        <w:trPr>
          <w:trHeight w:val="315"/>
        </w:trPr>
        <w:tc>
          <w:tcPr>
            <w:tcW w:w="4104" w:type="dxa"/>
            <w:vMerge/>
            <w:vAlign w:val="center"/>
            <w:hideMark/>
          </w:tcPr>
          <w:p w14:paraId="3875388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4064C1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HCO11 Dental HP Disenrollment</w:t>
            </w:r>
          </w:p>
        </w:tc>
      </w:tr>
      <w:tr w:rsidR="00EF2A6D" w:rsidRPr="00105FFC" w14:paraId="6571B10C" w14:textId="77777777" w:rsidTr="00EF2A6D">
        <w:trPr>
          <w:trHeight w:val="315"/>
        </w:trPr>
        <w:tc>
          <w:tcPr>
            <w:tcW w:w="4104" w:type="dxa"/>
            <w:vMerge/>
            <w:vAlign w:val="center"/>
            <w:hideMark/>
          </w:tcPr>
          <w:p w14:paraId="3767B83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112B33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HCO14 CSRs Rude/Not Helpful/Incorrect Information</w:t>
            </w:r>
          </w:p>
        </w:tc>
      </w:tr>
      <w:tr w:rsidR="00EF2A6D" w:rsidRPr="00105FFC" w14:paraId="58DAECA6" w14:textId="77777777" w:rsidTr="00EF2A6D">
        <w:trPr>
          <w:trHeight w:val="315"/>
        </w:trPr>
        <w:tc>
          <w:tcPr>
            <w:tcW w:w="4104" w:type="dxa"/>
            <w:vMerge/>
            <w:vAlign w:val="center"/>
            <w:hideMark/>
          </w:tcPr>
          <w:p w14:paraId="55A20D6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4E9CFE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HCO15 SPD MER/EDER Denial</w:t>
            </w:r>
          </w:p>
        </w:tc>
      </w:tr>
      <w:tr w:rsidR="00EF2A6D" w:rsidRPr="00105FFC" w14:paraId="4E5D0879" w14:textId="77777777" w:rsidTr="00EF2A6D">
        <w:trPr>
          <w:trHeight w:val="315"/>
        </w:trPr>
        <w:tc>
          <w:tcPr>
            <w:tcW w:w="4104" w:type="dxa"/>
            <w:vMerge/>
            <w:vAlign w:val="center"/>
            <w:hideMark/>
          </w:tcPr>
          <w:p w14:paraId="61B57A9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A2BD37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HCO16 MER/EDER Status Check</w:t>
            </w:r>
          </w:p>
        </w:tc>
      </w:tr>
      <w:tr w:rsidR="00EF2A6D" w:rsidRPr="00105FFC" w14:paraId="76D4ECBC" w14:textId="77777777" w:rsidTr="00EF2A6D">
        <w:trPr>
          <w:trHeight w:val="315"/>
        </w:trPr>
        <w:tc>
          <w:tcPr>
            <w:tcW w:w="4104" w:type="dxa"/>
            <w:vMerge/>
            <w:vAlign w:val="center"/>
            <w:hideMark/>
          </w:tcPr>
          <w:p w14:paraId="621AEE4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E3448A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HCO2 Requesting new enrollment into Plan</w:t>
            </w:r>
          </w:p>
        </w:tc>
      </w:tr>
      <w:tr w:rsidR="00EF2A6D" w:rsidRPr="00105FFC" w14:paraId="281F3FC4" w14:textId="77777777" w:rsidTr="00EF2A6D">
        <w:trPr>
          <w:trHeight w:val="315"/>
        </w:trPr>
        <w:tc>
          <w:tcPr>
            <w:tcW w:w="4104" w:type="dxa"/>
            <w:vMerge/>
            <w:vAlign w:val="center"/>
            <w:hideMark/>
          </w:tcPr>
          <w:p w14:paraId="618AEAF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96523E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HCO3 Wants to Change Plans</w:t>
            </w:r>
          </w:p>
        </w:tc>
      </w:tr>
      <w:tr w:rsidR="00EF2A6D" w:rsidRPr="00105FFC" w14:paraId="09E1D36C" w14:textId="77777777" w:rsidTr="00EF2A6D">
        <w:trPr>
          <w:trHeight w:val="315"/>
        </w:trPr>
        <w:tc>
          <w:tcPr>
            <w:tcW w:w="4104" w:type="dxa"/>
            <w:vMerge/>
            <w:vAlign w:val="center"/>
            <w:hideMark/>
          </w:tcPr>
          <w:p w14:paraId="51DE1CC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103626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HCO4 Wants to Disenroll from Plan to become FFS</w:t>
            </w:r>
          </w:p>
        </w:tc>
      </w:tr>
      <w:tr w:rsidR="00EF2A6D" w:rsidRPr="00105FFC" w14:paraId="730C9C40" w14:textId="77777777" w:rsidTr="00EF2A6D">
        <w:trPr>
          <w:trHeight w:val="315"/>
        </w:trPr>
        <w:tc>
          <w:tcPr>
            <w:tcW w:w="4104" w:type="dxa"/>
            <w:vMerge/>
            <w:vAlign w:val="center"/>
            <w:hideMark/>
          </w:tcPr>
          <w:p w14:paraId="377881D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51A0A5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HCO6 MER/EDER Denial</w:t>
            </w:r>
          </w:p>
        </w:tc>
      </w:tr>
      <w:tr w:rsidR="00EF2A6D" w:rsidRPr="00105FFC" w14:paraId="5ADA8931" w14:textId="77777777" w:rsidTr="00EF2A6D">
        <w:trPr>
          <w:trHeight w:val="315"/>
        </w:trPr>
        <w:tc>
          <w:tcPr>
            <w:tcW w:w="4104" w:type="dxa"/>
            <w:vMerge/>
            <w:vAlign w:val="center"/>
            <w:hideMark/>
          </w:tcPr>
          <w:p w14:paraId="45D336D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2ECA09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HCO8 Long Term Care Issue (DER Request)</w:t>
            </w:r>
          </w:p>
        </w:tc>
      </w:tr>
      <w:tr w:rsidR="00EF2A6D" w:rsidRPr="00105FFC" w14:paraId="77D7867B" w14:textId="77777777" w:rsidTr="00EF2A6D">
        <w:trPr>
          <w:trHeight w:val="315"/>
        </w:trPr>
        <w:tc>
          <w:tcPr>
            <w:tcW w:w="4104" w:type="dxa"/>
            <w:vMerge/>
            <w:vAlign w:val="center"/>
            <w:hideMark/>
          </w:tcPr>
          <w:p w14:paraId="0CCDF4B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431069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HCP2 Wants to Change Provider</w:t>
            </w:r>
          </w:p>
        </w:tc>
      </w:tr>
      <w:tr w:rsidR="00EF2A6D" w:rsidRPr="00105FFC" w14:paraId="6644AF01" w14:textId="77777777" w:rsidTr="00EF2A6D">
        <w:trPr>
          <w:trHeight w:val="315"/>
        </w:trPr>
        <w:tc>
          <w:tcPr>
            <w:tcW w:w="4104" w:type="dxa"/>
            <w:vMerge/>
            <w:vAlign w:val="center"/>
            <w:hideMark/>
          </w:tcPr>
          <w:p w14:paraId="224F078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CE0C72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HCP5 Health Card Not Issued</w:t>
            </w:r>
          </w:p>
        </w:tc>
      </w:tr>
      <w:tr w:rsidR="00EF2A6D" w:rsidRPr="00105FFC" w14:paraId="7283998E" w14:textId="77777777" w:rsidTr="00EF2A6D">
        <w:trPr>
          <w:trHeight w:val="315"/>
        </w:trPr>
        <w:tc>
          <w:tcPr>
            <w:tcW w:w="4104" w:type="dxa"/>
            <w:vMerge/>
            <w:vAlign w:val="center"/>
            <w:hideMark/>
          </w:tcPr>
          <w:p w14:paraId="73FAAE0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2F3154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HCP7 Transportation</w:t>
            </w:r>
          </w:p>
        </w:tc>
      </w:tr>
      <w:tr w:rsidR="00EF2A6D" w:rsidRPr="00105FFC" w14:paraId="2F13466A" w14:textId="77777777" w:rsidTr="00EF2A6D">
        <w:trPr>
          <w:trHeight w:val="315"/>
        </w:trPr>
        <w:tc>
          <w:tcPr>
            <w:tcW w:w="4104" w:type="dxa"/>
            <w:vMerge/>
            <w:vAlign w:val="center"/>
            <w:hideMark/>
          </w:tcPr>
          <w:p w14:paraId="3DA6E44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690763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 - Miscellaneous Issues</w:t>
            </w:r>
          </w:p>
        </w:tc>
      </w:tr>
      <w:tr w:rsidR="00EF2A6D" w:rsidRPr="00105FFC" w14:paraId="24D9AE07" w14:textId="77777777" w:rsidTr="00EF2A6D">
        <w:trPr>
          <w:trHeight w:val="315"/>
        </w:trPr>
        <w:tc>
          <w:tcPr>
            <w:tcW w:w="4104" w:type="dxa"/>
            <w:vMerge/>
            <w:vAlign w:val="center"/>
            <w:hideMark/>
          </w:tcPr>
          <w:p w14:paraId="118119B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0C446B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MISC1 Systems Conflict</w:t>
            </w:r>
          </w:p>
        </w:tc>
      </w:tr>
      <w:tr w:rsidR="00EF2A6D" w:rsidRPr="00105FFC" w14:paraId="05D9802C" w14:textId="77777777" w:rsidTr="00EF2A6D">
        <w:trPr>
          <w:trHeight w:val="315"/>
        </w:trPr>
        <w:tc>
          <w:tcPr>
            <w:tcW w:w="4104" w:type="dxa"/>
            <w:vMerge/>
            <w:vAlign w:val="center"/>
            <w:hideMark/>
          </w:tcPr>
          <w:p w14:paraId="4DF60A5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2F6EC7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MISC2 Beneficiary Identification Card (BIC) Order</w:t>
            </w:r>
          </w:p>
        </w:tc>
      </w:tr>
      <w:tr w:rsidR="00EF2A6D" w:rsidRPr="00105FFC" w14:paraId="4B633747" w14:textId="77777777" w:rsidTr="00EF2A6D">
        <w:trPr>
          <w:trHeight w:val="315"/>
        </w:trPr>
        <w:tc>
          <w:tcPr>
            <w:tcW w:w="4104" w:type="dxa"/>
            <w:vMerge/>
            <w:vAlign w:val="center"/>
            <w:hideMark/>
          </w:tcPr>
          <w:p w14:paraId="0416D8A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B8228C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MISC3 Other (Please specify in notes)</w:t>
            </w:r>
          </w:p>
        </w:tc>
      </w:tr>
      <w:tr w:rsidR="00EF2A6D" w:rsidRPr="00105FFC" w14:paraId="58A962AB" w14:textId="77777777" w:rsidTr="00EF2A6D">
        <w:trPr>
          <w:trHeight w:val="315"/>
        </w:trPr>
        <w:tc>
          <w:tcPr>
            <w:tcW w:w="4104" w:type="dxa"/>
            <w:vMerge/>
            <w:vAlign w:val="center"/>
            <w:hideMark/>
          </w:tcPr>
          <w:p w14:paraId="384C88A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B23D4D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MISC4 Voice Mail Call - No Answer</w:t>
            </w:r>
          </w:p>
        </w:tc>
      </w:tr>
      <w:tr w:rsidR="00EF2A6D" w:rsidRPr="00105FFC" w14:paraId="389CF300" w14:textId="77777777" w:rsidTr="00EF2A6D">
        <w:trPr>
          <w:trHeight w:val="315"/>
        </w:trPr>
        <w:tc>
          <w:tcPr>
            <w:tcW w:w="4104" w:type="dxa"/>
            <w:vMerge/>
            <w:vAlign w:val="center"/>
            <w:hideMark/>
          </w:tcPr>
          <w:p w14:paraId="753B323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B02E1C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MISC5 Voice Mail Call – Issue Resolved</w:t>
            </w:r>
          </w:p>
        </w:tc>
      </w:tr>
      <w:tr w:rsidR="00EF2A6D" w:rsidRPr="00105FFC" w14:paraId="052AB866" w14:textId="77777777" w:rsidTr="00EF2A6D">
        <w:trPr>
          <w:trHeight w:val="315"/>
        </w:trPr>
        <w:tc>
          <w:tcPr>
            <w:tcW w:w="4104" w:type="dxa"/>
            <w:vMerge/>
            <w:vAlign w:val="center"/>
            <w:hideMark/>
          </w:tcPr>
          <w:p w14:paraId="7823212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6BB294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OHC1 Conflicting information about OHC Status</w:t>
            </w:r>
          </w:p>
        </w:tc>
      </w:tr>
      <w:tr w:rsidR="00EF2A6D" w:rsidRPr="00105FFC" w14:paraId="619955F8" w14:textId="77777777" w:rsidTr="00EF2A6D">
        <w:trPr>
          <w:trHeight w:val="315"/>
        </w:trPr>
        <w:tc>
          <w:tcPr>
            <w:tcW w:w="4104" w:type="dxa"/>
            <w:vMerge/>
            <w:vAlign w:val="center"/>
            <w:hideMark/>
          </w:tcPr>
          <w:p w14:paraId="52F0D86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CABB05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PRV1 Provider Not Being Paid</w:t>
            </w:r>
          </w:p>
        </w:tc>
      </w:tr>
      <w:tr w:rsidR="00EF2A6D" w:rsidRPr="00105FFC" w14:paraId="21E097F0" w14:textId="77777777" w:rsidTr="00EF2A6D">
        <w:trPr>
          <w:trHeight w:val="315"/>
        </w:trPr>
        <w:tc>
          <w:tcPr>
            <w:tcW w:w="4104" w:type="dxa"/>
            <w:vMerge/>
            <w:vAlign w:val="center"/>
            <w:hideMark/>
          </w:tcPr>
          <w:p w14:paraId="5283ECE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A2328C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PRV2 Billing Discrepancy</w:t>
            </w:r>
          </w:p>
        </w:tc>
      </w:tr>
      <w:tr w:rsidR="00EF2A6D" w:rsidRPr="00105FFC" w14:paraId="61601E59" w14:textId="77777777" w:rsidTr="00EF2A6D">
        <w:trPr>
          <w:trHeight w:val="315"/>
        </w:trPr>
        <w:tc>
          <w:tcPr>
            <w:tcW w:w="4104" w:type="dxa"/>
            <w:vMerge/>
            <w:vAlign w:val="center"/>
            <w:hideMark/>
          </w:tcPr>
          <w:p w14:paraId="4031A1C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B178BE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PRV3 Beneficiary Being Billed</w:t>
            </w:r>
          </w:p>
        </w:tc>
      </w:tr>
      <w:tr w:rsidR="00EF2A6D" w:rsidRPr="00105FFC" w14:paraId="3AB58D4E" w14:textId="77777777" w:rsidTr="00EF2A6D">
        <w:trPr>
          <w:trHeight w:val="315"/>
        </w:trPr>
        <w:tc>
          <w:tcPr>
            <w:tcW w:w="4104" w:type="dxa"/>
            <w:vMerge/>
            <w:vAlign w:val="center"/>
            <w:hideMark/>
          </w:tcPr>
          <w:p w14:paraId="3F7923F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5654FD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QOC1 Refusal of Care</w:t>
            </w:r>
          </w:p>
        </w:tc>
      </w:tr>
      <w:tr w:rsidR="00EF2A6D" w:rsidRPr="00105FFC" w14:paraId="5425E286" w14:textId="77777777" w:rsidTr="00EF2A6D">
        <w:trPr>
          <w:trHeight w:val="315"/>
        </w:trPr>
        <w:tc>
          <w:tcPr>
            <w:tcW w:w="4104" w:type="dxa"/>
            <w:vMerge/>
            <w:vAlign w:val="center"/>
            <w:hideMark/>
          </w:tcPr>
          <w:p w14:paraId="61FAAFC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935E88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QOC2 Refusal of Medications</w:t>
            </w:r>
          </w:p>
        </w:tc>
      </w:tr>
      <w:tr w:rsidR="00EF2A6D" w:rsidRPr="00105FFC" w14:paraId="0FF800E6" w14:textId="77777777" w:rsidTr="00EF2A6D">
        <w:trPr>
          <w:trHeight w:val="315"/>
        </w:trPr>
        <w:tc>
          <w:tcPr>
            <w:tcW w:w="4104" w:type="dxa"/>
            <w:vMerge/>
            <w:vAlign w:val="center"/>
            <w:hideMark/>
          </w:tcPr>
          <w:p w14:paraId="4C700EF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1FADCD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QOC3 Denial of Medical Supplies</w:t>
            </w:r>
          </w:p>
        </w:tc>
      </w:tr>
      <w:tr w:rsidR="00EF2A6D" w:rsidRPr="00105FFC" w14:paraId="4C887662" w14:textId="77777777" w:rsidTr="00EF2A6D">
        <w:trPr>
          <w:trHeight w:val="315"/>
        </w:trPr>
        <w:tc>
          <w:tcPr>
            <w:tcW w:w="4104" w:type="dxa"/>
            <w:vMerge/>
            <w:vAlign w:val="center"/>
            <w:hideMark/>
          </w:tcPr>
          <w:p w14:paraId="38473FA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061370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QOC4 Denial of Durable Medical Equipment (DME)</w:t>
            </w:r>
          </w:p>
        </w:tc>
      </w:tr>
      <w:tr w:rsidR="00EF2A6D" w:rsidRPr="00105FFC" w14:paraId="3B04D0F7" w14:textId="77777777" w:rsidTr="00EF2A6D">
        <w:trPr>
          <w:trHeight w:val="315"/>
        </w:trPr>
        <w:tc>
          <w:tcPr>
            <w:tcW w:w="4104" w:type="dxa"/>
            <w:vMerge/>
            <w:vAlign w:val="center"/>
            <w:hideMark/>
          </w:tcPr>
          <w:p w14:paraId="2A3276F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D0A30F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QOC5 Delay/ Denial of Referrals or Appointments</w:t>
            </w:r>
          </w:p>
        </w:tc>
      </w:tr>
      <w:tr w:rsidR="00EF2A6D" w:rsidRPr="00105FFC" w14:paraId="7C7ACE3F" w14:textId="77777777" w:rsidTr="00EF2A6D">
        <w:trPr>
          <w:trHeight w:val="315"/>
        </w:trPr>
        <w:tc>
          <w:tcPr>
            <w:tcW w:w="4104" w:type="dxa"/>
            <w:vMerge/>
            <w:vAlign w:val="center"/>
            <w:hideMark/>
          </w:tcPr>
          <w:p w14:paraId="42D162C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5C75E5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QOC6 Prior Authorization Denial/Delay</w:t>
            </w:r>
          </w:p>
        </w:tc>
      </w:tr>
      <w:tr w:rsidR="00EF2A6D" w:rsidRPr="00105FFC" w14:paraId="45B54467" w14:textId="77777777" w:rsidTr="00EF2A6D">
        <w:trPr>
          <w:trHeight w:val="315"/>
        </w:trPr>
        <w:tc>
          <w:tcPr>
            <w:tcW w:w="4104" w:type="dxa"/>
            <w:vMerge/>
            <w:vAlign w:val="center"/>
            <w:hideMark/>
          </w:tcPr>
          <w:p w14:paraId="0E47525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12E3BB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QOC7 Treatment/Diagnosis/Inappropriate Care</w:t>
            </w:r>
          </w:p>
        </w:tc>
      </w:tr>
      <w:tr w:rsidR="00EF2A6D" w:rsidRPr="00105FFC" w14:paraId="08BBB4A3" w14:textId="77777777" w:rsidTr="00EF2A6D">
        <w:trPr>
          <w:trHeight w:val="315"/>
        </w:trPr>
        <w:tc>
          <w:tcPr>
            <w:tcW w:w="4104" w:type="dxa"/>
            <w:vMerge/>
            <w:vAlign w:val="center"/>
            <w:hideMark/>
          </w:tcPr>
          <w:p w14:paraId="560DFF5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20A1B0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QOC9 Disability / Physical Access Issue</w:t>
            </w:r>
          </w:p>
        </w:tc>
      </w:tr>
      <w:tr w:rsidR="00EF2A6D" w:rsidRPr="00105FFC" w14:paraId="0C9D9E61" w14:textId="77777777" w:rsidTr="00EF2A6D">
        <w:trPr>
          <w:trHeight w:val="315"/>
        </w:trPr>
        <w:tc>
          <w:tcPr>
            <w:tcW w:w="4104" w:type="dxa"/>
            <w:vMerge w:val="restart"/>
            <w:noWrap/>
            <w:vAlign w:val="center"/>
            <w:hideMark/>
          </w:tcPr>
          <w:p w14:paraId="240D83A5"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OHC - Other Health Coverage</w:t>
            </w:r>
          </w:p>
        </w:tc>
        <w:tc>
          <w:tcPr>
            <w:tcW w:w="5472" w:type="dxa"/>
            <w:noWrap/>
            <w:vAlign w:val="center"/>
            <w:hideMark/>
          </w:tcPr>
          <w:p w14:paraId="35800DC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COC1 Provider Not a Plan Partner</w:t>
            </w:r>
          </w:p>
        </w:tc>
      </w:tr>
      <w:tr w:rsidR="00EF2A6D" w:rsidRPr="00105FFC" w14:paraId="5708202D" w14:textId="77777777" w:rsidTr="00EF2A6D">
        <w:trPr>
          <w:trHeight w:val="315"/>
        </w:trPr>
        <w:tc>
          <w:tcPr>
            <w:tcW w:w="4104" w:type="dxa"/>
            <w:vMerge/>
            <w:vAlign w:val="center"/>
            <w:hideMark/>
          </w:tcPr>
          <w:p w14:paraId="15D1B83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995130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COC2 Pregnant</w:t>
            </w:r>
          </w:p>
        </w:tc>
      </w:tr>
      <w:tr w:rsidR="00EF2A6D" w:rsidRPr="00105FFC" w14:paraId="3DF4FEB9" w14:textId="77777777" w:rsidTr="00EF2A6D">
        <w:trPr>
          <w:trHeight w:val="315"/>
        </w:trPr>
        <w:tc>
          <w:tcPr>
            <w:tcW w:w="4104" w:type="dxa"/>
            <w:vMerge/>
            <w:vAlign w:val="center"/>
            <w:hideMark/>
          </w:tcPr>
          <w:p w14:paraId="6DC74B5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1A33A0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EDU1 Mandatory Enrollment Issue/ Wants to become FFS</w:t>
            </w:r>
          </w:p>
        </w:tc>
      </w:tr>
      <w:tr w:rsidR="00EF2A6D" w:rsidRPr="00105FFC" w14:paraId="1989C1F9" w14:textId="77777777" w:rsidTr="00EF2A6D">
        <w:trPr>
          <w:trHeight w:val="315"/>
        </w:trPr>
        <w:tc>
          <w:tcPr>
            <w:tcW w:w="4104" w:type="dxa"/>
            <w:vMerge/>
            <w:vAlign w:val="center"/>
            <w:hideMark/>
          </w:tcPr>
          <w:p w14:paraId="7ADCC82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2F8B02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EDU3 Notice of Action</w:t>
            </w:r>
          </w:p>
        </w:tc>
      </w:tr>
      <w:tr w:rsidR="00EF2A6D" w:rsidRPr="00105FFC" w14:paraId="423BAFAA" w14:textId="77777777" w:rsidTr="00EF2A6D">
        <w:trPr>
          <w:trHeight w:val="315"/>
        </w:trPr>
        <w:tc>
          <w:tcPr>
            <w:tcW w:w="4104" w:type="dxa"/>
            <w:vMerge/>
            <w:vAlign w:val="center"/>
            <w:hideMark/>
          </w:tcPr>
          <w:p w14:paraId="54E33B1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C5E8C5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EDU6 CBAS Education</w:t>
            </w:r>
          </w:p>
        </w:tc>
      </w:tr>
      <w:tr w:rsidR="00EF2A6D" w:rsidRPr="00105FFC" w14:paraId="778E72E5" w14:textId="77777777" w:rsidTr="00EF2A6D">
        <w:trPr>
          <w:trHeight w:val="315"/>
        </w:trPr>
        <w:tc>
          <w:tcPr>
            <w:tcW w:w="4104" w:type="dxa"/>
            <w:vMerge/>
            <w:vAlign w:val="center"/>
            <w:hideMark/>
          </w:tcPr>
          <w:p w14:paraId="06CEEB7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B2C24D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ELG4 Medi-Cal Eligibility Terminated</w:t>
            </w:r>
          </w:p>
        </w:tc>
      </w:tr>
      <w:tr w:rsidR="00EF2A6D" w:rsidRPr="00105FFC" w14:paraId="1337A971" w14:textId="77777777" w:rsidTr="00EF2A6D">
        <w:trPr>
          <w:trHeight w:val="315"/>
        </w:trPr>
        <w:tc>
          <w:tcPr>
            <w:tcW w:w="4104" w:type="dxa"/>
            <w:vMerge/>
            <w:vAlign w:val="center"/>
            <w:hideMark/>
          </w:tcPr>
          <w:p w14:paraId="2EDAA1C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47CCFA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ELG5 Share of Cost</w:t>
            </w:r>
          </w:p>
        </w:tc>
      </w:tr>
      <w:tr w:rsidR="00EF2A6D" w:rsidRPr="00105FFC" w14:paraId="312312E0" w14:textId="77777777" w:rsidTr="00EF2A6D">
        <w:trPr>
          <w:trHeight w:val="315"/>
        </w:trPr>
        <w:tc>
          <w:tcPr>
            <w:tcW w:w="4104" w:type="dxa"/>
            <w:vMerge/>
            <w:vAlign w:val="center"/>
            <w:hideMark/>
          </w:tcPr>
          <w:p w14:paraId="596C111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1D9872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ELG7 Restricted Aid Code</w:t>
            </w:r>
          </w:p>
        </w:tc>
      </w:tr>
      <w:tr w:rsidR="00EF2A6D" w:rsidRPr="00105FFC" w14:paraId="13C98503" w14:textId="77777777" w:rsidTr="00EF2A6D">
        <w:trPr>
          <w:trHeight w:val="315"/>
        </w:trPr>
        <w:tc>
          <w:tcPr>
            <w:tcW w:w="4104" w:type="dxa"/>
            <w:vMerge/>
            <w:vAlign w:val="center"/>
            <w:hideMark/>
          </w:tcPr>
          <w:p w14:paraId="2997F33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559742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HCO2 Requesting new enrollment into Plan</w:t>
            </w:r>
          </w:p>
        </w:tc>
      </w:tr>
      <w:tr w:rsidR="00EF2A6D" w:rsidRPr="00105FFC" w14:paraId="76B74E72" w14:textId="77777777" w:rsidTr="00EF2A6D">
        <w:trPr>
          <w:trHeight w:val="315"/>
        </w:trPr>
        <w:tc>
          <w:tcPr>
            <w:tcW w:w="4104" w:type="dxa"/>
            <w:vMerge/>
            <w:vAlign w:val="center"/>
            <w:hideMark/>
          </w:tcPr>
          <w:p w14:paraId="3500883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075EAA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HCO2 Requesting new enrollment into Plan</w:t>
            </w:r>
          </w:p>
        </w:tc>
      </w:tr>
      <w:tr w:rsidR="00EF2A6D" w:rsidRPr="00105FFC" w14:paraId="131E7150" w14:textId="77777777" w:rsidTr="00EF2A6D">
        <w:trPr>
          <w:trHeight w:val="315"/>
        </w:trPr>
        <w:tc>
          <w:tcPr>
            <w:tcW w:w="4104" w:type="dxa"/>
            <w:vMerge/>
            <w:vAlign w:val="center"/>
            <w:hideMark/>
          </w:tcPr>
          <w:p w14:paraId="7149668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7EEE6F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HCO4 Wants to Disenroll from Plan to become FFS</w:t>
            </w:r>
          </w:p>
        </w:tc>
      </w:tr>
      <w:tr w:rsidR="00EF2A6D" w:rsidRPr="00105FFC" w14:paraId="3B840036" w14:textId="77777777" w:rsidTr="00EF2A6D">
        <w:trPr>
          <w:trHeight w:val="315"/>
        </w:trPr>
        <w:tc>
          <w:tcPr>
            <w:tcW w:w="4104" w:type="dxa"/>
            <w:vMerge/>
            <w:vAlign w:val="center"/>
            <w:hideMark/>
          </w:tcPr>
          <w:p w14:paraId="11EDC1A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92B41B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HCO4 Wants to Disenroll from Plan to become FFS</w:t>
            </w:r>
          </w:p>
        </w:tc>
      </w:tr>
      <w:tr w:rsidR="00EF2A6D" w:rsidRPr="00105FFC" w14:paraId="796A259D" w14:textId="77777777" w:rsidTr="00EF2A6D">
        <w:trPr>
          <w:trHeight w:val="315"/>
        </w:trPr>
        <w:tc>
          <w:tcPr>
            <w:tcW w:w="4104" w:type="dxa"/>
            <w:vMerge/>
            <w:vAlign w:val="center"/>
            <w:hideMark/>
          </w:tcPr>
          <w:p w14:paraId="5208FA7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D7CD7A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HCO5 Disenrollment to Medi-Medi</w:t>
            </w:r>
          </w:p>
        </w:tc>
      </w:tr>
      <w:tr w:rsidR="00EF2A6D" w:rsidRPr="00105FFC" w14:paraId="236AC72C" w14:textId="77777777" w:rsidTr="00EF2A6D">
        <w:trPr>
          <w:trHeight w:val="315"/>
        </w:trPr>
        <w:tc>
          <w:tcPr>
            <w:tcW w:w="4104" w:type="dxa"/>
            <w:vMerge/>
            <w:vAlign w:val="center"/>
            <w:hideMark/>
          </w:tcPr>
          <w:p w14:paraId="7831F33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F4C768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HCO5 Disenrollment to Medi-Medi</w:t>
            </w:r>
          </w:p>
        </w:tc>
      </w:tr>
      <w:tr w:rsidR="00EF2A6D" w:rsidRPr="00105FFC" w14:paraId="1CEA5EF3" w14:textId="77777777" w:rsidTr="00EF2A6D">
        <w:trPr>
          <w:trHeight w:val="315"/>
        </w:trPr>
        <w:tc>
          <w:tcPr>
            <w:tcW w:w="4104" w:type="dxa"/>
            <w:vMerge/>
            <w:vAlign w:val="center"/>
            <w:hideMark/>
          </w:tcPr>
          <w:p w14:paraId="52679F1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C4E8FA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HCP2 Wants to Change Provider</w:t>
            </w:r>
          </w:p>
        </w:tc>
      </w:tr>
      <w:tr w:rsidR="00EF2A6D" w:rsidRPr="00105FFC" w14:paraId="79E4F67C" w14:textId="77777777" w:rsidTr="00EF2A6D">
        <w:trPr>
          <w:trHeight w:val="315"/>
        </w:trPr>
        <w:tc>
          <w:tcPr>
            <w:tcW w:w="4104" w:type="dxa"/>
            <w:vMerge/>
            <w:vAlign w:val="center"/>
            <w:hideMark/>
          </w:tcPr>
          <w:p w14:paraId="6649633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8705E7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MISC2 Beneficiary Identification Card (BIC) Order</w:t>
            </w:r>
          </w:p>
        </w:tc>
      </w:tr>
      <w:tr w:rsidR="00EF2A6D" w:rsidRPr="00105FFC" w14:paraId="32E52F63" w14:textId="77777777" w:rsidTr="00EF2A6D">
        <w:trPr>
          <w:trHeight w:val="315"/>
        </w:trPr>
        <w:tc>
          <w:tcPr>
            <w:tcW w:w="4104" w:type="dxa"/>
            <w:vMerge/>
            <w:vAlign w:val="center"/>
            <w:hideMark/>
          </w:tcPr>
          <w:p w14:paraId="5FD0EB8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CE89D3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MISC3 Other (Please specify in notes)</w:t>
            </w:r>
          </w:p>
        </w:tc>
      </w:tr>
      <w:tr w:rsidR="00EF2A6D" w:rsidRPr="00105FFC" w14:paraId="55580FAC" w14:textId="77777777" w:rsidTr="00EF2A6D">
        <w:trPr>
          <w:trHeight w:val="315"/>
        </w:trPr>
        <w:tc>
          <w:tcPr>
            <w:tcW w:w="4104" w:type="dxa"/>
            <w:vMerge/>
            <w:vAlign w:val="center"/>
            <w:hideMark/>
          </w:tcPr>
          <w:p w14:paraId="1D57B71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918BEA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MISC4 Voice Mail Call - No Answer</w:t>
            </w:r>
          </w:p>
        </w:tc>
      </w:tr>
      <w:tr w:rsidR="00EF2A6D" w:rsidRPr="00105FFC" w14:paraId="125DD050" w14:textId="77777777" w:rsidTr="00EF2A6D">
        <w:trPr>
          <w:trHeight w:val="315"/>
        </w:trPr>
        <w:tc>
          <w:tcPr>
            <w:tcW w:w="4104" w:type="dxa"/>
            <w:vMerge/>
            <w:vAlign w:val="center"/>
            <w:hideMark/>
          </w:tcPr>
          <w:p w14:paraId="2E5E19F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B17FD5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MISC5 Voice Mail Call – Issue Resolved</w:t>
            </w:r>
          </w:p>
        </w:tc>
      </w:tr>
      <w:tr w:rsidR="00EF2A6D" w:rsidRPr="00105FFC" w14:paraId="1E28E34D" w14:textId="77777777" w:rsidTr="00EF2A6D">
        <w:trPr>
          <w:trHeight w:val="315"/>
        </w:trPr>
        <w:tc>
          <w:tcPr>
            <w:tcW w:w="4104" w:type="dxa"/>
            <w:vMerge/>
            <w:vAlign w:val="center"/>
            <w:hideMark/>
          </w:tcPr>
          <w:p w14:paraId="340D566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EB91A0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 - Other Health Coverage</w:t>
            </w:r>
          </w:p>
        </w:tc>
      </w:tr>
      <w:tr w:rsidR="00EF2A6D" w:rsidRPr="00105FFC" w14:paraId="33BCC756" w14:textId="77777777" w:rsidTr="00EF2A6D">
        <w:trPr>
          <w:trHeight w:val="315"/>
        </w:trPr>
        <w:tc>
          <w:tcPr>
            <w:tcW w:w="4104" w:type="dxa"/>
            <w:vMerge/>
            <w:vAlign w:val="center"/>
            <w:hideMark/>
          </w:tcPr>
          <w:p w14:paraId="21A4C99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9D60CF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OHC1 Conflicting information about OHC Status</w:t>
            </w:r>
          </w:p>
        </w:tc>
      </w:tr>
      <w:tr w:rsidR="00EF2A6D" w:rsidRPr="00105FFC" w14:paraId="112B2B2A" w14:textId="77777777" w:rsidTr="00EF2A6D">
        <w:trPr>
          <w:trHeight w:val="315"/>
        </w:trPr>
        <w:tc>
          <w:tcPr>
            <w:tcW w:w="4104" w:type="dxa"/>
            <w:vMerge/>
            <w:vAlign w:val="center"/>
            <w:hideMark/>
          </w:tcPr>
          <w:p w14:paraId="6C37F30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97323A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OHC2 Healthy Families</w:t>
            </w:r>
          </w:p>
        </w:tc>
      </w:tr>
      <w:tr w:rsidR="00EF2A6D" w:rsidRPr="00105FFC" w14:paraId="117DBBF1" w14:textId="77777777" w:rsidTr="00EF2A6D">
        <w:trPr>
          <w:trHeight w:val="315"/>
        </w:trPr>
        <w:tc>
          <w:tcPr>
            <w:tcW w:w="4104" w:type="dxa"/>
            <w:vMerge/>
            <w:vAlign w:val="center"/>
            <w:hideMark/>
          </w:tcPr>
          <w:p w14:paraId="4023A2E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22D5E0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PRV3 Beneficiary Being Billed</w:t>
            </w:r>
          </w:p>
        </w:tc>
      </w:tr>
      <w:tr w:rsidR="00EF2A6D" w:rsidRPr="00105FFC" w14:paraId="5B831498" w14:textId="77777777" w:rsidTr="00EF2A6D">
        <w:trPr>
          <w:trHeight w:val="315"/>
        </w:trPr>
        <w:tc>
          <w:tcPr>
            <w:tcW w:w="4104" w:type="dxa"/>
            <w:vMerge w:val="restart"/>
            <w:noWrap/>
            <w:vAlign w:val="center"/>
            <w:hideMark/>
          </w:tcPr>
          <w:p w14:paraId="1F9FCE44"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PRV - Plan Subcontractor/Provider Issues</w:t>
            </w:r>
          </w:p>
        </w:tc>
        <w:tc>
          <w:tcPr>
            <w:tcW w:w="5472" w:type="dxa"/>
            <w:noWrap/>
            <w:vAlign w:val="center"/>
            <w:hideMark/>
          </w:tcPr>
          <w:p w14:paraId="50B8C5A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ELG4 Medi-Cal Eligibility Terminated</w:t>
            </w:r>
          </w:p>
        </w:tc>
      </w:tr>
      <w:tr w:rsidR="00EF2A6D" w:rsidRPr="00105FFC" w14:paraId="7CED87B5" w14:textId="77777777" w:rsidTr="00EF2A6D">
        <w:trPr>
          <w:trHeight w:val="315"/>
        </w:trPr>
        <w:tc>
          <w:tcPr>
            <w:tcW w:w="4104" w:type="dxa"/>
            <w:vMerge/>
            <w:vAlign w:val="center"/>
            <w:hideMark/>
          </w:tcPr>
          <w:p w14:paraId="4EB9FA4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FC2BD8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HCO4 Wants to Disenroll from Plan to become FFS</w:t>
            </w:r>
          </w:p>
        </w:tc>
      </w:tr>
      <w:tr w:rsidR="00EF2A6D" w:rsidRPr="00105FFC" w14:paraId="4BECDE49" w14:textId="77777777" w:rsidTr="00EF2A6D">
        <w:trPr>
          <w:trHeight w:val="315"/>
        </w:trPr>
        <w:tc>
          <w:tcPr>
            <w:tcW w:w="4104" w:type="dxa"/>
            <w:vMerge/>
            <w:vAlign w:val="center"/>
            <w:hideMark/>
          </w:tcPr>
          <w:p w14:paraId="3F7C1647"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66F6E7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HCP6 Communications/Behavior/Attitude of Staff</w:t>
            </w:r>
          </w:p>
        </w:tc>
      </w:tr>
      <w:tr w:rsidR="00EF2A6D" w:rsidRPr="00105FFC" w14:paraId="32C25B03" w14:textId="77777777" w:rsidTr="00EF2A6D">
        <w:trPr>
          <w:trHeight w:val="315"/>
        </w:trPr>
        <w:tc>
          <w:tcPr>
            <w:tcW w:w="4104" w:type="dxa"/>
            <w:vMerge/>
            <w:vAlign w:val="center"/>
            <w:hideMark/>
          </w:tcPr>
          <w:p w14:paraId="59186C5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900121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MISC3 Other (Please specify in notes)</w:t>
            </w:r>
          </w:p>
        </w:tc>
      </w:tr>
      <w:tr w:rsidR="00EF2A6D" w:rsidRPr="00105FFC" w14:paraId="40756D3B" w14:textId="77777777" w:rsidTr="00EF2A6D">
        <w:trPr>
          <w:trHeight w:val="315"/>
        </w:trPr>
        <w:tc>
          <w:tcPr>
            <w:tcW w:w="4104" w:type="dxa"/>
            <w:vMerge/>
            <w:vAlign w:val="center"/>
            <w:hideMark/>
          </w:tcPr>
          <w:p w14:paraId="652A627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60F9FE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MISC4 Voice Mail Call - No Answer</w:t>
            </w:r>
          </w:p>
        </w:tc>
      </w:tr>
      <w:tr w:rsidR="00EF2A6D" w:rsidRPr="00105FFC" w14:paraId="259A955A" w14:textId="77777777" w:rsidTr="00EF2A6D">
        <w:trPr>
          <w:trHeight w:val="315"/>
        </w:trPr>
        <w:tc>
          <w:tcPr>
            <w:tcW w:w="4104" w:type="dxa"/>
            <w:vMerge/>
            <w:vAlign w:val="center"/>
            <w:hideMark/>
          </w:tcPr>
          <w:p w14:paraId="73EC38E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84F4F1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MISC5 Voice Mail Call – Issue Resolved</w:t>
            </w:r>
          </w:p>
        </w:tc>
      </w:tr>
      <w:tr w:rsidR="00EF2A6D" w:rsidRPr="00105FFC" w14:paraId="61281DEB" w14:textId="77777777" w:rsidTr="00EF2A6D">
        <w:trPr>
          <w:trHeight w:val="315"/>
        </w:trPr>
        <w:tc>
          <w:tcPr>
            <w:tcW w:w="4104" w:type="dxa"/>
            <w:vMerge/>
            <w:vAlign w:val="center"/>
            <w:hideMark/>
          </w:tcPr>
          <w:p w14:paraId="36606FA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CA8C20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OHC1 Conflicting information about OHC Status</w:t>
            </w:r>
          </w:p>
        </w:tc>
      </w:tr>
      <w:tr w:rsidR="00EF2A6D" w:rsidRPr="00105FFC" w14:paraId="629FC9A9" w14:textId="77777777" w:rsidTr="00EF2A6D">
        <w:trPr>
          <w:trHeight w:val="315"/>
        </w:trPr>
        <w:tc>
          <w:tcPr>
            <w:tcW w:w="4104" w:type="dxa"/>
            <w:vMerge/>
            <w:vAlign w:val="center"/>
            <w:hideMark/>
          </w:tcPr>
          <w:p w14:paraId="5B10B3F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AD5AEC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 - Plan Subcontractor/Prov</w:t>
            </w:r>
          </w:p>
        </w:tc>
      </w:tr>
      <w:tr w:rsidR="00EF2A6D" w:rsidRPr="00105FFC" w14:paraId="2D1848D0" w14:textId="77777777" w:rsidTr="00EF2A6D">
        <w:trPr>
          <w:trHeight w:val="315"/>
        </w:trPr>
        <w:tc>
          <w:tcPr>
            <w:tcW w:w="4104" w:type="dxa"/>
            <w:vMerge/>
            <w:vAlign w:val="center"/>
            <w:hideMark/>
          </w:tcPr>
          <w:p w14:paraId="2708346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0CF55B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PRV1 Provider Not Being Paid</w:t>
            </w:r>
          </w:p>
        </w:tc>
      </w:tr>
      <w:tr w:rsidR="00EF2A6D" w:rsidRPr="00105FFC" w14:paraId="1AED56FD" w14:textId="77777777" w:rsidTr="00EF2A6D">
        <w:trPr>
          <w:trHeight w:val="315"/>
        </w:trPr>
        <w:tc>
          <w:tcPr>
            <w:tcW w:w="4104" w:type="dxa"/>
            <w:vMerge/>
            <w:vAlign w:val="center"/>
            <w:hideMark/>
          </w:tcPr>
          <w:p w14:paraId="17AE2CA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FF3E6E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PRV2 Billing Discrepancy</w:t>
            </w:r>
          </w:p>
        </w:tc>
      </w:tr>
      <w:tr w:rsidR="00EF2A6D" w:rsidRPr="00105FFC" w14:paraId="5B68276F" w14:textId="77777777" w:rsidTr="00EF2A6D">
        <w:trPr>
          <w:trHeight w:val="315"/>
        </w:trPr>
        <w:tc>
          <w:tcPr>
            <w:tcW w:w="4104" w:type="dxa"/>
            <w:vMerge/>
            <w:vAlign w:val="center"/>
            <w:hideMark/>
          </w:tcPr>
          <w:p w14:paraId="1E2EF2C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A257E3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PRV3 Beneficiary Being Billed</w:t>
            </w:r>
          </w:p>
        </w:tc>
      </w:tr>
      <w:tr w:rsidR="00EF2A6D" w:rsidRPr="00105FFC" w14:paraId="58F9DFDB" w14:textId="77777777" w:rsidTr="00EF2A6D">
        <w:trPr>
          <w:trHeight w:val="315"/>
        </w:trPr>
        <w:tc>
          <w:tcPr>
            <w:tcW w:w="4104" w:type="dxa"/>
            <w:vMerge/>
            <w:vAlign w:val="center"/>
            <w:hideMark/>
          </w:tcPr>
          <w:p w14:paraId="45BDC3E6"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C11266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QOC1 Refusal of Care</w:t>
            </w:r>
          </w:p>
        </w:tc>
      </w:tr>
      <w:tr w:rsidR="00EF2A6D" w:rsidRPr="00105FFC" w14:paraId="75C03530" w14:textId="77777777" w:rsidTr="00EF2A6D">
        <w:trPr>
          <w:trHeight w:val="315"/>
        </w:trPr>
        <w:tc>
          <w:tcPr>
            <w:tcW w:w="4104" w:type="dxa"/>
            <w:vMerge/>
            <w:vAlign w:val="center"/>
            <w:hideMark/>
          </w:tcPr>
          <w:p w14:paraId="050DAA2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8447818"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QOC2 Refusal of Medications</w:t>
            </w:r>
          </w:p>
        </w:tc>
      </w:tr>
      <w:tr w:rsidR="00EF2A6D" w:rsidRPr="00105FFC" w14:paraId="67AB4BA3" w14:textId="77777777" w:rsidTr="00EF2A6D">
        <w:trPr>
          <w:trHeight w:val="315"/>
        </w:trPr>
        <w:tc>
          <w:tcPr>
            <w:tcW w:w="4104" w:type="dxa"/>
            <w:vMerge w:val="restart"/>
            <w:noWrap/>
            <w:vAlign w:val="center"/>
            <w:hideMark/>
          </w:tcPr>
          <w:p w14:paraId="69C57808" w14:textId="77777777" w:rsidR="00EF2A6D" w:rsidRPr="00105FFC" w:rsidRDefault="00EF2A6D" w:rsidP="00EF2A6D">
            <w:pPr>
              <w:jc w:val="center"/>
              <w:rPr>
                <w:rFonts w:asciiTheme="minorHAnsi" w:hAnsiTheme="minorHAnsi"/>
                <w:b/>
                <w:color w:val="000000"/>
                <w:sz w:val="20"/>
                <w:szCs w:val="20"/>
              </w:rPr>
            </w:pPr>
            <w:r w:rsidRPr="00105FFC">
              <w:rPr>
                <w:rFonts w:asciiTheme="minorHAnsi" w:hAnsiTheme="minorHAnsi"/>
                <w:b/>
                <w:color w:val="000000"/>
                <w:sz w:val="20"/>
                <w:szCs w:val="20"/>
              </w:rPr>
              <w:t>QOC - Quality of Care</w:t>
            </w:r>
          </w:p>
        </w:tc>
        <w:tc>
          <w:tcPr>
            <w:tcW w:w="5472" w:type="dxa"/>
            <w:noWrap/>
            <w:vAlign w:val="center"/>
            <w:hideMark/>
          </w:tcPr>
          <w:p w14:paraId="579AC603"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EDU3 Notice of Action</w:t>
            </w:r>
          </w:p>
        </w:tc>
      </w:tr>
      <w:tr w:rsidR="00EF2A6D" w:rsidRPr="00105FFC" w14:paraId="3C332F77" w14:textId="77777777" w:rsidTr="00EF2A6D">
        <w:trPr>
          <w:trHeight w:val="315"/>
        </w:trPr>
        <w:tc>
          <w:tcPr>
            <w:tcW w:w="4104" w:type="dxa"/>
            <w:vMerge/>
            <w:vAlign w:val="center"/>
            <w:hideMark/>
          </w:tcPr>
          <w:p w14:paraId="3181914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2AFC55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ELG3 Address Correction/ Beneficiary Moved</w:t>
            </w:r>
          </w:p>
        </w:tc>
      </w:tr>
      <w:tr w:rsidR="00EF2A6D" w:rsidRPr="00105FFC" w14:paraId="68268BEE" w14:textId="77777777" w:rsidTr="00EF2A6D">
        <w:trPr>
          <w:trHeight w:val="315"/>
        </w:trPr>
        <w:tc>
          <w:tcPr>
            <w:tcW w:w="4104" w:type="dxa"/>
            <w:vMerge/>
            <w:vAlign w:val="center"/>
            <w:hideMark/>
          </w:tcPr>
          <w:p w14:paraId="12B0C84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300937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ELG4 Medi-Cal Eligibility Terminated</w:t>
            </w:r>
          </w:p>
        </w:tc>
      </w:tr>
      <w:tr w:rsidR="00EF2A6D" w:rsidRPr="00105FFC" w14:paraId="6CE888E7" w14:textId="77777777" w:rsidTr="00EF2A6D">
        <w:trPr>
          <w:trHeight w:val="315"/>
        </w:trPr>
        <w:tc>
          <w:tcPr>
            <w:tcW w:w="4104" w:type="dxa"/>
            <w:vMerge/>
            <w:vAlign w:val="center"/>
            <w:hideMark/>
          </w:tcPr>
          <w:p w14:paraId="29D316C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21DD106"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ELG5 Share of Cost</w:t>
            </w:r>
          </w:p>
        </w:tc>
      </w:tr>
      <w:tr w:rsidR="00EF2A6D" w:rsidRPr="00105FFC" w14:paraId="5F5482F6" w14:textId="77777777" w:rsidTr="00EF2A6D">
        <w:trPr>
          <w:trHeight w:val="315"/>
        </w:trPr>
        <w:tc>
          <w:tcPr>
            <w:tcW w:w="4104" w:type="dxa"/>
            <w:vMerge/>
            <w:vAlign w:val="center"/>
            <w:hideMark/>
          </w:tcPr>
          <w:p w14:paraId="2FD8E8D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F68B78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ELG6 Foster Care/Adoption Category</w:t>
            </w:r>
          </w:p>
        </w:tc>
      </w:tr>
      <w:tr w:rsidR="00EF2A6D" w:rsidRPr="00105FFC" w14:paraId="7DA73348" w14:textId="77777777" w:rsidTr="00EF2A6D">
        <w:trPr>
          <w:trHeight w:val="315"/>
        </w:trPr>
        <w:tc>
          <w:tcPr>
            <w:tcW w:w="4104" w:type="dxa"/>
            <w:vMerge/>
            <w:vAlign w:val="center"/>
            <w:hideMark/>
          </w:tcPr>
          <w:p w14:paraId="483112EC"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DAFD5B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ELG7 Restricted Aid Code</w:t>
            </w:r>
          </w:p>
        </w:tc>
      </w:tr>
      <w:tr w:rsidR="00EF2A6D" w:rsidRPr="00105FFC" w14:paraId="4E9B8AB6" w14:textId="77777777" w:rsidTr="00EF2A6D">
        <w:trPr>
          <w:trHeight w:val="315"/>
        </w:trPr>
        <w:tc>
          <w:tcPr>
            <w:tcW w:w="4104" w:type="dxa"/>
            <w:vMerge/>
            <w:vAlign w:val="center"/>
            <w:hideMark/>
          </w:tcPr>
          <w:p w14:paraId="126754E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130222B"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HCO16 MER/EDER Status Check</w:t>
            </w:r>
          </w:p>
        </w:tc>
      </w:tr>
      <w:tr w:rsidR="00EF2A6D" w:rsidRPr="00105FFC" w14:paraId="4751CE84" w14:textId="77777777" w:rsidTr="00EF2A6D">
        <w:trPr>
          <w:trHeight w:val="315"/>
        </w:trPr>
        <w:tc>
          <w:tcPr>
            <w:tcW w:w="4104" w:type="dxa"/>
            <w:vMerge/>
            <w:vAlign w:val="center"/>
            <w:hideMark/>
          </w:tcPr>
          <w:p w14:paraId="40253FB5"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009E98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HCO2 Requesting new enrollment into Plan</w:t>
            </w:r>
          </w:p>
        </w:tc>
      </w:tr>
      <w:tr w:rsidR="00EF2A6D" w:rsidRPr="00105FFC" w14:paraId="181A8385" w14:textId="77777777" w:rsidTr="00EF2A6D">
        <w:trPr>
          <w:trHeight w:val="315"/>
        </w:trPr>
        <w:tc>
          <w:tcPr>
            <w:tcW w:w="4104" w:type="dxa"/>
            <w:vMerge/>
            <w:vAlign w:val="center"/>
            <w:hideMark/>
          </w:tcPr>
          <w:p w14:paraId="286C8761"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6925D8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HCO4 Wants to Disenroll from Plan to become FFS</w:t>
            </w:r>
          </w:p>
        </w:tc>
      </w:tr>
      <w:tr w:rsidR="00EF2A6D" w:rsidRPr="00105FFC" w14:paraId="3BD04C7A" w14:textId="77777777" w:rsidTr="00EF2A6D">
        <w:trPr>
          <w:trHeight w:val="315"/>
        </w:trPr>
        <w:tc>
          <w:tcPr>
            <w:tcW w:w="4104" w:type="dxa"/>
            <w:vMerge/>
            <w:vAlign w:val="center"/>
            <w:hideMark/>
          </w:tcPr>
          <w:p w14:paraId="4C3454BD"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EA3C52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HCO6 MER/EDER Denial</w:t>
            </w:r>
          </w:p>
        </w:tc>
      </w:tr>
      <w:tr w:rsidR="00EF2A6D" w:rsidRPr="00105FFC" w14:paraId="6563190A" w14:textId="77777777" w:rsidTr="00EF2A6D">
        <w:trPr>
          <w:trHeight w:val="315"/>
        </w:trPr>
        <w:tc>
          <w:tcPr>
            <w:tcW w:w="4104" w:type="dxa"/>
            <w:vMerge/>
            <w:vAlign w:val="center"/>
            <w:hideMark/>
          </w:tcPr>
          <w:p w14:paraId="4112CB32"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090A261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HCO8 Long Term Care Issue (DER Request)</w:t>
            </w:r>
          </w:p>
        </w:tc>
      </w:tr>
      <w:tr w:rsidR="00EF2A6D" w:rsidRPr="00105FFC" w14:paraId="3DBB96AF" w14:textId="77777777" w:rsidTr="00EF2A6D">
        <w:trPr>
          <w:trHeight w:val="315"/>
        </w:trPr>
        <w:tc>
          <w:tcPr>
            <w:tcW w:w="4104" w:type="dxa"/>
            <w:vMerge/>
            <w:vAlign w:val="center"/>
            <w:hideMark/>
          </w:tcPr>
          <w:p w14:paraId="25C47DAF"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E166F5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HCO9 Foster Care / Adoption (DER Request)</w:t>
            </w:r>
          </w:p>
        </w:tc>
      </w:tr>
      <w:tr w:rsidR="00EF2A6D" w:rsidRPr="00105FFC" w14:paraId="4DAC2508" w14:textId="77777777" w:rsidTr="00EF2A6D">
        <w:trPr>
          <w:trHeight w:val="315"/>
        </w:trPr>
        <w:tc>
          <w:tcPr>
            <w:tcW w:w="4104" w:type="dxa"/>
            <w:vMerge/>
            <w:vAlign w:val="center"/>
            <w:hideMark/>
          </w:tcPr>
          <w:p w14:paraId="60908520"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34FF664"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HCP2 Wants to Change Provider</w:t>
            </w:r>
          </w:p>
        </w:tc>
      </w:tr>
      <w:tr w:rsidR="00EF2A6D" w:rsidRPr="00105FFC" w14:paraId="4C858F7B" w14:textId="77777777" w:rsidTr="00EF2A6D">
        <w:trPr>
          <w:trHeight w:val="315"/>
        </w:trPr>
        <w:tc>
          <w:tcPr>
            <w:tcW w:w="4104" w:type="dxa"/>
            <w:vMerge/>
            <w:vAlign w:val="center"/>
            <w:hideMark/>
          </w:tcPr>
          <w:p w14:paraId="6015816A"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412B3B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MISC3 Other (Please specify in notes)</w:t>
            </w:r>
          </w:p>
        </w:tc>
      </w:tr>
      <w:tr w:rsidR="00EF2A6D" w:rsidRPr="00105FFC" w14:paraId="6BFE713E" w14:textId="77777777" w:rsidTr="00EF2A6D">
        <w:trPr>
          <w:trHeight w:val="315"/>
        </w:trPr>
        <w:tc>
          <w:tcPr>
            <w:tcW w:w="4104" w:type="dxa"/>
            <w:vMerge/>
            <w:vAlign w:val="center"/>
            <w:hideMark/>
          </w:tcPr>
          <w:p w14:paraId="3ADE424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BA109B5"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MISC4 Voice Mail Call - No Answer</w:t>
            </w:r>
          </w:p>
        </w:tc>
      </w:tr>
      <w:tr w:rsidR="00EF2A6D" w:rsidRPr="00105FFC" w14:paraId="6E204766" w14:textId="77777777" w:rsidTr="00EF2A6D">
        <w:trPr>
          <w:trHeight w:val="315"/>
        </w:trPr>
        <w:tc>
          <w:tcPr>
            <w:tcW w:w="4104" w:type="dxa"/>
            <w:vMerge/>
            <w:vAlign w:val="center"/>
            <w:hideMark/>
          </w:tcPr>
          <w:p w14:paraId="1B4B478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3204684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MISC5 Voice Mail Call – Issue Resolved</w:t>
            </w:r>
          </w:p>
        </w:tc>
      </w:tr>
      <w:tr w:rsidR="00EF2A6D" w:rsidRPr="00105FFC" w14:paraId="415007A6" w14:textId="77777777" w:rsidTr="00EF2A6D">
        <w:trPr>
          <w:trHeight w:val="315"/>
        </w:trPr>
        <w:tc>
          <w:tcPr>
            <w:tcW w:w="4104" w:type="dxa"/>
            <w:vMerge/>
            <w:vAlign w:val="center"/>
            <w:hideMark/>
          </w:tcPr>
          <w:p w14:paraId="6760005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8F95C1F"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PRV2 Billing Discrepancy</w:t>
            </w:r>
          </w:p>
        </w:tc>
      </w:tr>
      <w:tr w:rsidR="00EF2A6D" w:rsidRPr="00105FFC" w14:paraId="736A805C" w14:textId="77777777" w:rsidTr="00EF2A6D">
        <w:trPr>
          <w:trHeight w:val="315"/>
        </w:trPr>
        <w:tc>
          <w:tcPr>
            <w:tcW w:w="4104" w:type="dxa"/>
            <w:vMerge/>
            <w:vAlign w:val="center"/>
            <w:hideMark/>
          </w:tcPr>
          <w:p w14:paraId="364244D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757EEA2"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 - Quality of Care</w:t>
            </w:r>
          </w:p>
        </w:tc>
      </w:tr>
      <w:tr w:rsidR="00EF2A6D" w:rsidRPr="00105FFC" w14:paraId="060A18A3" w14:textId="77777777" w:rsidTr="00EF2A6D">
        <w:trPr>
          <w:trHeight w:val="315"/>
        </w:trPr>
        <w:tc>
          <w:tcPr>
            <w:tcW w:w="4104" w:type="dxa"/>
            <w:vMerge/>
            <w:vAlign w:val="center"/>
            <w:hideMark/>
          </w:tcPr>
          <w:p w14:paraId="57CB3C83"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ADD476E"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QOC1 Refusal of Care</w:t>
            </w:r>
          </w:p>
        </w:tc>
      </w:tr>
      <w:tr w:rsidR="00EF2A6D" w:rsidRPr="00105FFC" w14:paraId="1B78E181" w14:textId="77777777" w:rsidTr="00EF2A6D">
        <w:trPr>
          <w:trHeight w:val="315"/>
        </w:trPr>
        <w:tc>
          <w:tcPr>
            <w:tcW w:w="4104" w:type="dxa"/>
            <w:vMerge/>
            <w:vAlign w:val="center"/>
            <w:hideMark/>
          </w:tcPr>
          <w:p w14:paraId="4C5FD83E"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13F790C0"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QOC2 Refusal of Medications</w:t>
            </w:r>
          </w:p>
        </w:tc>
      </w:tr>
      <w:tr w:rsidR="00EF2A6D" w:rsidRPr="00105FFC" w14:paraId="7C21FB6D" w14:textId="77777777" w:rsidTr="00EF2A6D">
        <w:trPr>
          <w:trHeight w:val="315"/>
        </w:trPr>
        <w:tc>
          <w:tcPr>
            <w:tcW w:w="4104" w:type="dxa"/>
            <w:vMerge/>
            <w:vAlign w:val="center"/>
            <w:hideMark/>
          </w:tcPr>
          <w:p w14:paraId="076FDDD8"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99E61FC"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QOC3 Denial of Medical Supplies</w:t>
            </w:r>
          </w:p>
        </w:tc>
      </w:tr>
      <w:tr w:rsidR="00EF2A6D" w:rsidRPr="00105FFC" w14:paraId="0785E0D4" w14:textId="77777777" w:rsidTr="00EF2A6D">
        <w:trPr>
          <w:trHeight w:val="315"/>
        </w:trPr>
        <w:tc>
          <w:tcPr>
            <w:tcW w:w="4104" w:type="dxa"/>
            <w:vMerge/>
            <w:vAlign w:val="center"/>
            <w:hideMark/>
          </w:tcPr>
          <w:p w14:paraId="3EB7809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20CD8577"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QOC4 Denial of Durable Medical Equipment (DME)</w:t>
            </w:r>
          </w:p>
        </w:tc>
      </w:tr>
      <w:tr w:rsidR="00EF2A6D" w:rsidRPr="00105FFC" w14:paraId="3360A766" w14:textId="77777777" w:rsidTr="00EF2A6D">
        <w:trPr>
          <w:trHeight w:val="315"/>
        </w:trPr>
        <w:tc>
          <w:tcPr>
            <w:tcW w:w="4104" w:type="dxa"/>
            <w:vMerge/>
            <w:vAlign w:val="center"/>
            <w:hideMark/>
          </w:tcPr>
          <w:p w14:paraId="360EDA2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72D36899"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QOC5 Delay/ Denial of Referrals or Appointments</w:t>
            </w:r>
          </w:p>
        </w:tc>
      </w:tr>
      <w:tr w:rsidR="00EF2A6D" w:rsidRPr="00105FFC" w14:paraId="1ACB137D" w14:textId="77777777" w:rsidTr="00EF2A6D">
        <w:trPr>
          <w:trHeight w:val="315"/>
        </w:trPr>
        <w:tc>
          <w:tcPr>
            <w:tcW w:w="4104" w:type="dxa"/>
            <w:vMerge/>
            <w:vAlign w:val="center"/>
            <w:hideMark/>
          </w:tcPr>
          <w:p w14:paraId="1E02CA9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C23218D"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QOC6 Prior Authorization Denial/Delay</w:t>
            </w:r>
          </w:p>
        </w:tc>
      </w:tr>
      <w:tr w:rsidR="00EF2A6D" w:rsidRPr="00105FFC" w14:paraId="4881A804" w14:textId="77777777" w:rsidTr="00EF2A6D">
        <w:trPr>
          <w:trHeight w:val="315"/>
        </w:trPr>
        <w:tc>
          <w:tcPr>
            <w:tcW w:w="4104" w:type="dxa"/>
            <w:vMerge/>
            <w:vAlign w:val="center"/>
            <w:hideMark/>
          </w:tcPr>
          <w:p w14:paraId="7BB76039"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44F3654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QOC7 Treatment/Diagnosis/Inappropriate Care</w:t>
            </w:r>
          </w:p>
        </w:tc>
      </w:tr>
      <w:tr w:rsidR="00EF2A6D" w:rsidRPr="00105FFC" w14:paraId="13933D40" w14:textId="77777777" w:rsidTr="00EF2A6D">
        <w:trPr>
          <w:trHeight w:val="315"/>
        </w:trPr>
        <w:tc>
          <w:tcPr>
            <w:tcW w:w="4104" w:type="dxa"/>
            <w:vMerge/>
            <w:vAlign w:val="center"/>
            <w:hideMark/>
          </w:tcPr>
          <w:p w14:paraId="31177D04"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6D23DAF1"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QOC8 Communication/ Behavior/ Attitude of Staff</w:t>
            </w:r>
          </w:p>
        </w:tc>
      </w:tr>
      <w:tr w:rsidR="00EF2A6D" w:rsidRPr="00105FFC" w14:paraId="67CE3049" w14:textId="77777777" w:rsidTr="00EF2A6D">
        <w:trPr>
          <w:trHeight w:val="315"/>
        </w:trPr>
        <w:tc>
          <w:tcPr>
            <w:tcW w:w="4104" w:type="dxa"/>
            <w:vMerge/>
            <w:vAlign w:val="center"/>
            <w:hideMark/>
          </w:tcPr>
          <w:p w14:paraId="12A170BB" w14:textId="77777777" w:rsidR="00EF2A6D" w:rsidRPr="00105FFC" w:rsidRDefault="00EF2A6D" w:rsidP="00EF2A6D">
            <w:pPr>
              <w:jc w:val="center"/>
              <w:rPr>
                <w:rFonts w:asciiTheme="minorHAnsi" w:hAnsiTheme="minorHAnsi"/>
                <w:color w:val="000000"/>
                <w:sz w:val="20"/>
                <w:szCs w:val="20"/>
              </w:rPr>
            </w:pPr>
          </w:p>
        </w:tc>
        <w:tc>
          <w:tcPr>
            <w:tcW w:w="5472" w:type="dxa"/>
            <w:noWrap/>
            <w:vAlign w:val="center"/>
            <w:hideMark/>
          </w:tcPr>
          <w:p w14:paraId="566E7D6A" w14:textId="77777777" w:rsidR="00EF2A6D" w:rsidRPr="00105FFC" w:rsidRDefault="00EF2A6D" w:rsidP="00EF2A6D">
            <w:pPr>
              <w:jc w:val="center"/>
              <w:rPr>
                <w:rFonts w:asciiTheme="minorHAnsi" w:hAnsiTheme="minorHAnsi"/>
                <w:color w:val="000000"/>
                <w:sz w:val="20"/>
                <w:szCs w:val="20"/>
              </w:rPr>
            </w:pPr>
            <w:r w:rsidRPr="00105FFC">
              <w:rPr>
                <w:rFonts w:asciiTheme="minorHAnsi" w:hAnsiTheme="minorHAnsi"/>
                <w:color w:val="000000"/>
                <w:sz w:val="20"/>
                <w:szCs w:val="20"/>
              </w:rPr>
              <w:t>QOC9 Disability / Physical Access Issue</w:t>
            </w:r>
          </w:p>
        </w:tc>
      </w:tr>
    </w:tbl>
    <w:p w14:paraId="6C1F461F" w14:textId="77777777" w:rsidR="00EF2A6D" w:rsidRPr="00105FFC" w:rsidRDefault="00EF2A6D" w:rsidP="00EF2A6D">
      <w:pPr>
        <w:spacing w:line="276" w:lineRule="auto"/>
        <w:rPr>
          <w:rFonts w:asciiTheme="minorHAnsi" w:eastAsiaTheme="minorHAnsi" w:hAnsiTheme="minorHAnsi" w:cs="Tahoma"/>
          <w:sz w:val="16"/>
          <w:szCs w:val="16"/>
        </w:rPr>
      </w:pPr>
      <w:r w:rsidRPr="00105FFC">
        <w:rPr>
          <w:rFonts w:asciiTheme="minorHAnsi" w:eastAsiaTheme="minorHAnsi" w:hAnsiTheme="minorHAnsi" w:cs="Tahoma"/>
          <w:b/>
          <w:sz w:val="16"/>
          <w:szCs w:val="16"/>
        </w:rPr>
        <w:t xml:space="preserve">Note: </w:t>
      </w:r>
      <w:r w:rsidRPr="00105FFC">
        <w:rPr>
          <w:rFonts w:asciiTheme="minorHAnsi" w:eastAsiaTheme="minorHAnsi" w:hAnsiTheme="minorHAnsi" w:cs="Tahoma"/>
          <w:sz w:val="16"/>
          <w:szCs w:val="16"/>
        </w:rPr>
        <w:t>The modified call categories in the first column were developed based on the reasons for call in the second column, which represent the call codes used by the Medi-Cal Managed Care Division’s Office of the Ombudsman.</w:t>
      </w:r>
    </w:p>
    <w:p w14:paraId="06D1F8CB" w14:textId="77777777" w:rsidR="00EF2A6D" w:rsidRPr="00105FFC" w:rsidRDefault="00EF2A6D" w:rsidP="00EF2A6D">
      <w:pPr>
        <w:spacing w:after="200" w:line="276" w:lineRule="auto"/>
        <w:rPr>
          <w:rFonts w:asciiTheme="minorHAnsi" w:eastAsiaTheme="minorHAnsi" w:hAnsiTheme="minorHAnsi" w:cstheme="minorBidi"/>
          <w:sz w:val="22"/>
          <w:szCs w:val="22"/>
        </w:rPr>
      </w:pPr>
      <w:r w:rsidRPr="00105FFC">
        <w:rPr>
          <w:rFonts w:asciiTheme="minorHAnsi" w:eastAsiaTheme="minorHAnsi" w:hAnsiTheme="minorHAnsi" w:cs="Tahoma"/>
          <w:b/>
          <w:sz w:val="16"/>
          <w:szCs w:val="16"/>
        </w:rPr>
        <w:t>Source:</w:t>
      </w:r>
      <w:r w:rsidRPr="00105FFC">
        <w:rPr>
          <w:rFonts w:asciiTheme="minorHAnsi" w:eastAsiaTheme="minorHAnsi" w:hAnsiTheme="minorHAnsi" w:cs="Tahoma"/>
          <w:sz w:val="16"/>
          <w:szCs w:val="16"/>
        </w:rPr>
        <w:t xml:space="preserve"> Created by DHCS Research and Analytic Studies Division using data from </w:t>
      </w:r>
      <w:r w:rsidRPr="00105FFC">
        <w:rPr>
          <w:rFonts w:asciiTheme="minorHAnsi" w:eastAsiaTheme="minorHAnsi" w:hAnsiTheme="minorHAnsi" w:cs="Tahoma"/>
          <w:bCs/>
          <w:sz w:val="16"/>
          <w:szCs w:val="16"/>
        </w:rPr>
        <w:t>the Medi-Cal Managed Care Division’s Office of the Ombudsman call center</w:t>
      </w:r>
      <w:r w:rsidRPr="00105FFC">
        <w:rPr>
          <w:rFonts w:asciiTheme="minorHAnsi" w:eastAsiaTheme="minorHAnsi" w:hAnsiTheme="minorHAnsi" w:cs="Tahoma"/>
          <w:sz w:val="16"/>
          <w:szCs w:val="16"/>
        </w:rPr>
        <w:t>.</w:t>
      </w:r>
    </w:p>
    <w:p w14:paraId="40423C04" w14:textId="77777777" w:rsidR="00EF2A6D" w:rsidRPr="00105FFC" w:rsidRDefault="00EF2A6D">
      <w:pPr>
        <w:spacing w:after="200" w:line="276" w:lineRule="auto"/>
        <w:rPr>
          <w:rFonts w:asciiTheme="minorHAnsi" w:hAnsiTheme="minorHAnsi" w:cs="Arial"/>
        </w:rPr>
      </w:pPr>
      <w:r w:rsidRPr="00105FFC">
        <w:rPr>
          <w:rFonts w:asciiTheme="minorHAnsi" w:hAnsiTheme="minorHAnsi" w:cs="Arial"/>
        </w:rPr>
        <w:br w:type="page"/>
      </w:r>
    </w:p>
    <w:p w14:paraId="48054F1A" w14:textId="77777777" w:rsidR="00D56502" w:rsidRPr="00212433" w:rsidRDefault="00FE7D00" w:rsidP="00EF2A6D">
      <w:pPr>
        <w:pStyle w:val="Heading1"/>
        <w:spacing w:before="0" w:after="120" w:line="276" w:lineRule="auto"/>
        <w:rPr>
          <w:color w:val="auto"/>
        </w:rPr>
      </w:pPr>
      <w:bookmarkStart w:id="595" w:name="_Toc459287806"/>
      <w:r w:rsidRPr="00105FFC">
        <w:rPr>
          <w:color w:val="auto"/>
        </w:rPr>
        <w:t>Works Cited</w:t>
      </w:r>
      <w:bookmarkEnd w:id="595"/>
    </w:p>
    <w:sectPr w:rsidR="00D56502" w:rsidRPr="00212433" w:rsidSect="00F157EC">
      <w:footnotePr>
        <w:numFmt w:val="lowerRoman"/>
      </w:footnotePr>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B6EC5" w14:textId="77777777" w:rsidR="00787773" w:rsidRDefault="00787773" w:rsidP="004B3564">
      <w:r>
        <w:separator/>
      </w:r>
    </w:p>
  </w:endnote>
  <w:endnote w:type="continuationSeparator" w:id="0">
    <w:p w14:paraId="194555DC" w14:textId="77777777" w:rsidR="00787773" w:rsidRDefault="00787773" w:rsidP="004B3564">
      <w:r>
        <w:continuationSeparator/>
      </w:r>
    </w:p>
  </w:endnote>
  <w:endnote w:id="1">
    <w:p w14:paraId="13FB87AE" w14:textId="77777777" w:rsidR="0099767E" w:rsidRPr="003A5A0E" w:rsidRDefault="0099767E" w:rsidP="00CE79E8">
      <w:pPr>
        <w:pStyle w:val="EndnoteText"/>
      </w:pPr>
      <w:r>
        <w:rPr>
          <w:rStyle w:val="EndnoteReference"/>
        </w:rPr>
        <w:endnoteRef/>
      </w:r>
      <w:r>
        <w:t xml:space="preserve"> </w:t>
      </w:r>
      <w:r w:rsidRPr="00296291">
        <w:t>https://www.ssa.gov/OP_Hom</w:t>
      </w:r>
      <w:r w:rsidRPr="003A5A0E">
        <w:t>e/ssact/title19/1902.htm</w:t>
      </w:r>
    </w:p>
  </w:endnote>
  <w:endnote w:id="2">
    <w:p w14:paraId="3390DEE0" w14:textId="77777777" w:rsidR="0099767E" w:rsidRPr="003A5A0E" w:rsidRDefault="0099767E" w:rsidP="00CF3FF7">
      <w:pPr>
        <w:pStyle w:val="EndnoteText"/>
      </w:pPr>
      <w:r w:rsidRPr="003A5A0E">
        <w:rPr>
          <w:rStyle w:val="EndnoteReference"/>
        </w:rPr>
        <w:endnoteRef/>
      </w:r>
      <w:r w:rsidRPr="003A5A0E">
        <w:t xml:space="preserve"> </w:t>
      </w:r>
      <w:r>
        <w:t xml:space="preserve">“Medicaid Program; Methods for Assuring Access to Covered Medicaid Services; Final Rule,” 80 Fed. Reg. 67576, </w:t>
      </w:r>
      <w:r w:rsidRPr="003A5A0E">
        <w:t>November 2, 2015.</w:t>
      </w:r>
    </w:p>
  </w:endnote>
  <w:endnote w:id="3">
    <w:p w14:paraId="57C307D9" w14:textId="77777777" w:rsidR="0099767E" w:rsidRDefault="0099767E" w:rsidP="00CF3FF7">
      <w:pPr>
        <w:pStyle w:val="EndnoteText"/>
      </w:pPr>
      <w:r>
        <w:rPr>
          <w:rStyle w:val="EndnoteReference"/>
        </w:rPr>
        <w:endnoteRef/>
      </w:r>
      <w:r>
        <w:t xml:space="preserve"> 42 C.F.R. § 447.203(b).</w:t>
      </w:r>
    </w:p>
  </w:endnote>
  <w:endnote w:id="4">
    <w:p w14:paraId="7010ECD1" w14:textId="77777777" w:rsidR="0099767E" w:rsidRDefault="0099767E" w:rsidP="00CC3D97">
      <w:pPr>
        <w:pStyle w:val="EndnoteText"/>
      </w:pPr>
      <w:r>
        <w:rPr>
          <w:rStyle w:val="EndnoteReference"/>
        </w:rPr>
        <w:endnoteRef/>
      </w:r>
      <w:r>
        <w:t xml:space="preserve"> 42 C.F.R. §§ 447.203(b)(1), (b)(4). </w:t>
      </w:r>
    </w:p>
  </w:endnote>
  <w:endnote w:id="5">
    <w:p w14:paraId="5459F7B9" w14:textId="77777777" w:rsidR="0099767E" w:rsidRDefault="0099767E" w:rsidP="00CC3D97">
      <w:pPr>
        <w:pStyle w:val="EndnoteText"/>
      </w:pPr>
      <w:r>
        <w:rPr>
          <w:rStyle w:val="EndnoteReference"/>
        </w:rPr>
        <w:endnoteRef/>
      </w:r>
      <w:r>
        <w:t xml:space="preserve"> 42 C.F.R. §§ 447.203(b)(7),</w:t>
      </w:r>
    </w:p>
  </w:endnote>
  <w:endnote w:id="6">
    <w:p w14:paraId="1A816055" w14:textId="77777777" w:rsidR="0099767E" w:rsidRPr="003A5A0E" w:rsidRDefault="0099767E" w:rsidP="00CE79E8">
      <w:pPr>
        <w:pStyle w:val="EndnoteText"/>
      </w:pPr>
      <w:r w:rsidRPr="003A5A0E">
        <w:rPr>
          <w:rStyle w:val="EndnoteReference"/>
        </w:rPr>
        <w:endnoteRef/>
      </w:r>
      <w:r w:rsidRPr="003A5A0E">
        <w:t xml:space="preserve"> http://www.dhcs.ca.gov/services/medi-cal/Pages/default.aspx</w:t>
      </w:r>
    </w:p>
  </w:endnote>
  <w:endnote w:id="7">
    <w:p w14:paraId="70595479" w14:textId="77777777" w:rsidR="0099767E" w:rsidRPr="003A5A0E" w:rsidRDefault="0099767E" w:rsidP="00CE79E8">
      <w:pPr>
        <w:pStyle w:val="EndnoteText"/>
      </w:pPr>
      <w:r w:rsidRPr="003A5A0E">
        <w:rPr>
          <w:rStyle w:val="EndnoteReference"/>
        </w:rPr>
        <w:endnoteRef/>
      </w:r>
      <w:r w:rsidRPr="003A5A0E">
        <w:t xml:space="preserve"> </w:t>
      </w:r>
      <w:hyperlink r:id="rId1" w:history="1">
        <w:r w:rsidRPr="003A5A0E">
          <w:rPr>
            <w:rStyle w:val="Hyperlink"/>
          </w:rPr>
          <w:t>http://www.dhcs.ca.gov/dataandstats/statistics/Documents/Fast_Facts_Feb2016_ADA_Tables.pdf</w:t>
        </w:r>
      </w:hyperlink>
    </w:p>
  </w:endnote>
  <w:endnote w:id="8">
    <w:p w14:paraId="2E0A9D9E" w14:textId="77777777" w:rsidR="0099767E" w:rsidRDefault="0099767E" w:rsidP="00CE3128">
      <w:pPr>
        <w:pStyle w:val="EndnoteText"/>
      </w:pPr>
      <w:r>
        <w:rPr>
          <w:rStyle w:val="EndnoteReference"/>
        </w:rPr>
        <w:endnoteRef/>
      </w:r>
      <w:r>
        <w:t xml:space="preserve"> </w:t>
      </w:r>
      <w:r w:rsidRPr="00CE3128">
        <w:t>Watkins, J. 2014. 2011 Medi-Cal Birth Statistics. California Department of Health Care Services. Sacramento, CA. June 2014. Compiled by Cris DeMorais, Chief</w:t>
      </w:r>
      <w:r>
        <w:t xml:space="preserve">. </w:t>
      </w:r>
      <w:r w:rsidRPr="00CE3128">
        <w:t>http://www.dhcs.ca.gov/dataandstats/statistics/Documents/22_Birth_Report_2011.pdf</w:t>
      </w:r>
    </w:p>
  </w:endnote>
  <w:endnote w:id="9">
    <w:p w14:paraId="684D9362" w14:textId="77777777" w:rsidR="0099767E" w:rsidRDefault="0099767E" w:rsidP="00CE3128">
      <w:pPr>
        <w:pStyle w:val="EndnoteText"/>
      </w:pPr>
      <w:r>
        <w:rPr>
          <w:rStyle w:val="EndnoteReference"/>
        </w:rPr>
        <w:endnoteRef/>
      </w:r>
      <w:r>
        <w:t xml:space="preserve"> </w:t>
      </w:r>
      <w:r w:rsidRPr="00CE3128">
        <w:t>Research and Analytic Studies Division. January 2016. Proportion of California Population Certified Eligible for Medi‐Cal By County and Age Group – September 2015. Medi‐Cal Statistical Brief. California Department of Health Care Services.</w:t>
      </w:r>
      <w:r>
        <w:t xml:space="preserve"> </w:t>
      </w:r>
      <w:r w:rsidRPr="00CE3128">
        <w:t>http://www.dhcs.ca.gov/dataandstats/statistics/Documents/Medi-Cal_Penetration_Brief_ADA.PDF</w:t>
      </w:r>
    </w:p>
  </w:endnote>
  <w:endnote w:id="10">
    <w:p w14:paraId="031C0068" w14:textId="77777777" w:rsidR="0099767E" w:rsidRPr="003A5A0E" w:rsidRDefault="0099767E" w:rsidP="00CE79E8">
      <w:pPr>
        <w:pStyle w:val="EndnoteText"/>
      </w:pPr>
      <w:r w:rsidRPr="003A5A0E">
        <w:rPr>
          <w:rStyle w:val="EndnoteReference"/>
        </w:rPr>
        <w:endnoteRef/>
      </w:r>
      <w:r w:rsidRPr="003A5A0E">
        <w:t xml:space="preserve"> </w:t>
      </w:r>
      <w:hyperlink r:id="rId2" w:history="1">
        <w:r w:rsidRPr="003A5A0E">
          <w:rPr>
            <w:rStyle w:val="Hyperlink"/>
          </w:rPr>
          <w:t>http://www.dhcs.ca.gov/dataandstats/statistics/Documents/Medi-Cal_Penetration_Brief_ADA.PDF</w:t>
        </w:r>
      </w:hyperlink>
    </w:p>
  </w:endnote>
  <w:endnote w:id="11">
    <w:p w14:paraId="6448352D" w14:textId="77777777" w:rsidR="0099767E" w:rsidRPr="003A5A0E" w:rsidRDefault="0099767E" w:rsidP="00CE79E8">
      <w:pPr>
        <w:pStyle w:val="EndnoteText"/>
      </w:pPr>
      <w:r w:rsidRPr="003A5A0E">
        <w:rPr>
          <w:rStyle w:val="EndnoteReference"/>
        </w:rPr>
        <w:endnoteRef/>
      </w:r>
      <w:r w:rsidRPr="003A5A0E">
        <w:t xml:space="preserve"> http://www.dhcs.ca.gov/services/medi-cal/Pages/DoYouQualifyForMedi-Cal.aspx</w:t>
      </w:r>
    </w:p>
  </w:endnote>
  <w:endnote w:id="12">
    <w:p w14:paraId="412CDD4F" w14:textId="77777777" w:rsidR="0099767E" w:rsidRPr="003A5A0E" w:rsidRDefault="0099767E" w:rsidP="00CE79E8">
      <w:pPr>
        <w:pStyle w:val="EndnoteText"/>
      </w:pPr>
      <w:r w:rsidRPr="003A5A0E">
        <w:rPr>
          <w:rStyle w:val="EndnoteReference"/>
        </w:rPr>
        <w:endnoteRef/>
      </w:r>
      <w:r w:rsidRPr="003A5A0E">
        <w:t xml:space="preserve"> http://www.dhcs.ca.gov/formsandpubs/publications/Documents/PUB68.pdf</w:t>
      </w:r>
    </w:p>
  </w:endnote>
  <w:endnote w:id="13">
    <w:p w14:paraId="713307FF" w14:textId="77777777" w:rsidR="0099767E" w:rsidRPr="003A5A0E" w:rsidRDefault="0099767E" w:rsidP="00CE79E8">
      <w:pPr>
        <w:pStyle w:val="EndnoteText"/>
      </w:pPr>
      <w:r w:rsidRPr="003A5A0E">
        <w:rPr>
          <w:rStyle w:val="EndnoteReference"/>
        </w:rPr>
        <w:endnoteRef/>
      </w:r>
      <w:r w:rsidRPr="003A5A0E">
        <w:t xml:space="preserve"> http://www.dhcs.ca.gov/services/medi-cal/Pages/Medi-Cal_EHB_Benefits.aspx</w:t>
      </w:r>
    </w:p>
  </w:endnote>
  <w:endnote w:id="14">
    <w:p w14:paraId="4DC6BBD8" w14:textId="77777777" w:rsidR="0099767E" w:rsidRDefault="0099767E" w:rsidP="00661A9D">
      <w:pPr>
        <w:pStyle w:val="EndnoteText"/>
      </w:pPr>
      <w:r>
        <w:rPr>
          <w:rStyle w:val="EndnoteReference"/>
        </w:rPr>
        <w:endnoteRef/>
      </w:r>
      <w:r>
        <w:t xml:space="preserve"> “Medicaid Program; Methods for Assuring Access to Covered Medicaid Services; Final Rule,” 80 Fed. Reg. 67576, 67582, November 2, 2015.  </w:t>
      </w:r>
    </w:p>
  </w:endnote>
  <w:endnote w:id="15">
    <w:p w14:paraId="5C213132" w14:textId="77777777" w:rsidR="0099767E" w:rsidRPr="003A5A0E" w:rsidRDefault="0099767E">
      <w:pPr>
        <w:pStyle w:val="EndnoteText"/>
      </w:pPr>
      <w:r w:rsidRPr="003A5A0E">
        <w:rPr>
          <w:rStyle w:val="EndnoteReference"/>
        </w:rPr>
        <w:endnoteRef/>
      </w:r>
      <w:r w:rsidRPr="003A5A0E">
        <w:t xml:space="preserve"> </w:t>
      </w:r>
      <w:r w:rsidRPr="003A5A0E">
        <w:rPr>
          <w:i/>
        </w:rPr>
        <w:t>DHCS</w:t>
      </w:r>
      <w:r w:rsidRPr="003A5A0E">
        <w:rPr>
          <w:i/>
          <w:sz w:val="22"/>
        </w:rPr>
        <w:t xml:space="preserve"> </w:t>
      </w:r>
      <w:r w:rsidRPr="003A5A0E">
        <w:rPr>
          <w:i/>
          <w:szCs w:val="18"/>
        </w:rPr>
        <w:t>Medi-Cal Managed Care Division SPD Monitoring Dashboard</w:t>
      </w:r>
      <w:r w:rsidRPr="003A5A0E">
        <w:rPr>
          <w:szCs w:val="18"/>
        </w:rPr>
        <w:t xml:space="preserve"> (2013, January). Retrieved from </w:t>
      </w:r>
      <w:r w:rsidRPr="003A5A0E">
        <w:rPr>
          <w:sz w:val="22"/>
        </w:rPr>
        <w:t xml:space="preserve"> </w:t>
      </w:r>
      <w:hyperlink r:id="rId3" w:history="1">
        <w:r w:rsidRPr="003A5A0E">
          <w:rPr>
            <w:rStyle w:val="Hyperlink"/>
          </w:rPr>
          <w:t>http://www.dhcs.ca.gov/individuals/Documents/MMCD_SPD/ChartsRptsData/SPD_Dashboard_Jan2013.pdf</w:t>
        </w:r>
      </w:hyperlink>
    </w:p>
  </w:endnote>
  <w:endnote w:id="16">
    <w:p w14:paraId="0069424E" w14:textId="77777777" w:rsidR="0099767E" w:rsidRPr="003A5A0E" w:rsidRDefault="0099767E">
      <w:pPr>
        <w:pStyle w:val="EndnoteText"/>
      </w:pPr>
      <w:r w:rsidRPr="003A5A0E">
        <w:rPr>
          <w:rStyle w:val="EndnoteReference"/>
        </w:rPr>
        <w:endnoteRef/>
      </w:r>
      <w:r w:rsidRPr="003A5A0E">
        <w:t xml:space="preserve"> </w:t>
      </w:r>
      <w:hyperlink r:id="rId4" w:history="1">
        <w:r w:rsidRPr="003A5A0E">
          <w:rPr>
            <w:rStyle w:val="Hyperlink"/>
          </w:rPr>
          <w:t>http://www.dhcs.ca.gov/services/Documents/SPDsRuralExpansionCounties.pdf</w:t>
        </w:r>
      </w:hyperlink>
    </w:p>
  </w:endnote>
  <w:endnote w:id="17">
    <w:p w14:paraId="61215678" w14:textId="77777777" w:rsidR="0099767E" w:rsidRPr="003A5A0E" w:rsidRDefault="0099767E">
      <w:pPr>
        <w:pStyle w:val="EndnoteText"/>
      </w:pPr>
      <w:r w:rsidRPr="003A5A0E">
        <w:rPr>
          <w:rStyle w:val="EndnoteReference"/>
        </w:rPr>
        <w:endnoteRef/>
      </w:r>
      <w:r w:rsidRPr="003A5A0E">
        <w:t xml:space="preserve"> Centers for Medicare &amp; Medicaid Services (CMS). (2012, December). </w:t>
      </w:r>
      <w:r w:rsidRPr="003A5A0E">
        <w:rPr>
          <w:i/>
        </w:rPr>
        <w:t>Approval Letter for a Bridge to Reform: California’s Medicaid Section 1115 Waiver</w:t>
      </w:r>
      <w:r w:rsidRPr="003A5A0E">
        <w:t xml:space="preserve">. Retrieved from </w:t>
      </w:r>
      <w:hyperlink r:id="rId5" w:history="1">
        <w:r w:rsidRPr="003A5A0E">
          <w:rPr>
            <w:rStyle w:val="Hyperlink"/>
          </w:rPr>
          <w:t>http://www.dhcs.ca.gov/provgovpart/Documents/1115amendapprovallet12312012.pdf</w:t>
        </w:r>
      </w:hyperlink>
    </w:p>
  </w:endnote>
  <w:endnote w:id="18">
    <w:p w14:paraId="56FF12E9" w14:textId="77777777" w:rsidR="0099767E" w:rsidRPr="003A5A0E" w:rsidRDefault="0099767E" w:rsidP="00E1440C">
      <w:pPr>
        <w:pStyle w:val="EndnoteText"/>
      </w:pPr>
      <w:r w:rsidRPr="003A5A0E">
        <w:rPr>
          <w:rStyle w:val="EndnoteReference"/>
        </w:rPr>
        <w:endnoteRef/>
      </w:r>
      <w:r w:rsidRPr="003A5A0E">
        <w:t xml:space="preserve"> </w:t>
      </w:r>
      <w:r w:rsidRPr="003A5A0E">
        <w:rPr>
          <w:rFonts w:cs="Segoe UI"/>
          <w:color w:val="000000"/>
        </w:rPr>
        <w:t>https://www.cms.gov/Regulations-and-Guidance/Legislation/EMTALA/</w:t>
      </w:r>
    </w:p>
  </w:endnote>
  <w:endnote w:id="19">
    <w:p w14:paraId="12854A4A" w14:textId="77777777" w:rsidR="0099767E" w:rsidRPr="003A5A0E" w:rsidRDefault="0099767E" w:rsidP="001B4E6F">
      <w:pPr>
        <w:pStyle w:val="EndnoteText"/>
      </w:pPr>
      <w:r w:rsidRPr="003A5A0E">
        <w:rPr>
          <w:rStyle w:val="EndnoteReference"/>
        </w:rPr>
        <w:endnoteRef/>
      </w:r>
      <w:r w:rsidRPr="003A5A0E">
        <w:t xml:space="preserve"> https://www.medicare.gov/sign-up-change-plans/decide-how-to-get-medicare/whats-medicare/what-is-medicare.html</w:t>
      </w:r>
    </w:p>
  </w:endnote>
  <w:endnote w:id="20">
    <w:p w14:paraId="1E7FC3F7" w14:textId="77777777" w:rsidR="0099767E" w:rsidRPr="003A5A0E" w:rsidRDefault="0099767E" w:rsidP="001B4E6F">
      <w:pPr>
        <w:pStyle w:val="EndnoteText"/>
      </w:pPr>
      <w:r w:rsidRPr="003A5A0E">
        <w:rPr>
          <w:rStyle w:val="EndnoteReference"/>
        </w:rPr>
        <w:endnoteRef/>
      </w:r>
      <w:r w:rsidRPr="003A5A0E">
        <w:t xml:space="preserve"> Social Security Act § 1902(a)(25), 42 U.S.C. § 1396a(a)(25).</w:t>
      </w:r>
    </w:p>
  </w:endnote>
  <w:endnote w:id="21">
    <w:p w14:paraId="268D8E5C" w14:textId="77777777" w:rsidR="0099767E" w:rsidRPr="003A5A0E" w:rsidRDefault="0099767E" w:rsidP="008B6377">
      <w:pPr>
        <w:pStyle w:val="EndnoteText"/>
      </w:pPr>
      <w:r w:rsidRPr="003A5A0E">
        <w:rPr>
          <w:rStyle w:val="EndnoteReference"/>
        </w:rPr>
        <w:endnoteRef/>
      </w:r>
      <w:r w:rsidRPr="003A5A0E">
        <w:t xml:space="preserve"> Bloom B, Cohen RA. Young adults seeking medical care: Do race and ethnicity matter? NCHS data brief, no 55. Hyattsvilee, MD: National Center for Health Statistics. 2011.</w:t>
      </w:r>
    </w:p>
  </w:endnote>
  <w:endnote w:id="22">
    <w:p w14:paraId="1F9B18AB" w14:textId="77777777" w:rsidR="0099767E" w:rsidRPr="003A5A0E" w:rsidRDefault="0099767E" w:rsidP="008B6377">
      <w:pPr>
        <w:pStyle w:val="EndnoteText"/>
      </w:pPr>
      <w:r w:rsidRPr="003A5A0E">
        <w:rPr>
          <w:rStyle w:val="EndnoteReference"/>
        </w:rPr>
        <w:endnoteRef/>
      </w:r>
      <w:r w:rsidRPr="003A5A0E">
        <w:t xml:space="preserve"> Gulley, S., Rasch, E., Chan, L. (2014). </w:t>
      </w:r>
      <w:r w:rsidRPr="003A5A0E">
        <w:rPr>
          <w:i/>
        </w:rPr>
        <w:t>Difference, Disparity &amp; Disability: A comparison of health insurance coverage and health services use on the basis of race/ethnicity among U.S. adults with disabilities, 2006-2008.</w:t>
      </w:r>
      <w:r w:rsidRPr="003A5A0E">
        <w:t xml:space="preserve"> Med Care.</w:t>
      </w:r>
    </w:p>
  </w:endnote>
  <w:endnote w:id="23">
    <w:p w14:paraId="1C0E2945" w14:textId="77777777" w:rsidR="0099767E" w:rsidRPr="003A5A0E" w:rsidRDefault="0099767E" w:rsidP="008B6377">
      <w:pPr>
        <w:pStyle w:val="EndnoteText"/>
      </w:pPr>
      <w:r w:rsidRPr="003A5A0E">
        <w:rPr>
          <w:rStyle w:val="EndnoteReference"/>
        </w:rPr>
        <w:endnoteRef/>
      </w:r>
      <w:r w:rsidRPr="003A5A0E">
        <w:t xml:space="preserve"> Rask, K., Williams, M., Parker, R., McNagny, S. (1994). </w:t>
      </w:r>
      <w:r w:rsidRPr="003A5A0E">
        <w:rPr>
          <w:i/>
        </w:rPr>
        <w:t>Obstacles Predicting Lack of a Regular Provider and Delays in Seeking Care for Patients at an Urban Public Hospital.</w:t>
      </w:r>
      <w:r w:rsidRPr="003A5A0E">
        <w:t xml:space="preserve"> Journal of the American Medical Association.</w:t>
      </w:r>
      <w:r w:rsidRPr="003A5A0E">
        <w:rPr>
          <w:color w:val="000000"/>
        </w:rPr>
        <w:t xml:space="preserve"> </w:t>
      </w:r>
      <w:hyperlink r:id="rId6" w:history="1">
        <w:r w:rsidRPr="003A5A0E">
          <w:rPr>
            <w:rStyle w:val="Hyperlink"/>
            <w:lang w:val="en"/>
          </w:rPr>
          <w:t>http://jama.ama-assn.org/content/271/24/1931.abstract</w:t>
        </w:r>
      </w:hyperlink>
    </w:p>
  </w:endnote>
  <w:endnote w:id="24">
    <w:p w14:paraId="66520B0A" w14:textId="77777777" w:rsidR="0099767E" w:rsidRPr="003A5A0E" w:rsidRDefault="0099767E" w:rsidP="008B6377">
      <w:pPr>
        <w:pStyle w:val="EndnoteText"/>
      </w:pPr>
      <w:r w:rsidRPr="003A5A0E">
        <w:rPr>
          <w:rStyle w:val="EndnoteReference"/>
        </w:rPr>
        <w:endnoteRef/>
      </w:r>
      <w:r w:rsidRPr="003A5A0E">
        <w:t xml:space="preserve"> </w:t>
      </w:r>
      <w:hyperlink r:id="rId7" w:history="1">
        <w:r w:rsidRPr="003A5A0E">
          <w:t>Kullgren</w:t>
        </w:r>
      </w:hyperlink>
      <w:r w:rsidRPr="003A5A0E">
        <w:t xml:space="preserve">, J., </w:t>
      </w:r>
      <w:hyperlink r:id="rId8" w:history="1">
        <w:r w:rsidRPr="003A5A0E">
          <w:t>McLaughlin</w:t>
        </w:r>
      </w:hyperlink>
      <w:r w:rsidRPr="003A5A0E">
        <w:t xml:space="preserve">, C., </w:t>
      </w:r>
      <w:hyperlink r:id="rId9" w:history="1">
        <w:r w:rsidRPr="003A5A0E">
          <w:t>Mitra</w:t>
        </w:r>
      </w:hyperlink>
      <w:r w:rsidRPr="003A5A0E">
        <w:t xml:space="preserve">, N., Armstrong, K. (February 2012). </w:t>
      </w:r>
      <w:r w:rsidRPr="003A5A0E">
        <w:rPr>
          <w:i/>
          <w:lang w:val="en"/>
        </w:rPr>
        <w:t>Nonfinancial Barriers and Access to Care for U.S. Adults.</w:t>
      </w:r>
      <w:r w:rsidRPr="003A5A0E">
        <w:rPr>
          <w:lang w:val="en"/>
        </w:rPr>
        <w:t xml:space="preserve"> Health Services Research. </w:t>
      </w:r>
      <w:hyperlink r:id="rId10" w:history="1">
        <w:r w:rsidRPr="003A5A0E">
          <w:rPr>
            <w:rStyle w:val="Hyperlink"/>
            <w:lang w:val="en"/>
          </w:rPr>
          <w:t>http://www.ncbi.nlm.nih.gov/pmc/articles/PMC3393009/</w:t>
        </w:r>
      </w:hyperlink>
    </w:p>
  </w:endnote>
  <w:endnote w:id="25">
    <w:p w14:paraId="747E69B4" w14:textId="77777777" w:rsidR="0099767E" w:rsidRPr="003A5A0E" w:rsidRDefault="0099767E" w:rsidP="008B6377">
      <w:pPr>
        <w:pStyle w:val="EndnoteText"/>
      </w:pPr>
      <w:r w:rsidRPr="003A5A0E">
        <w:rPr>
          <w:rStyle w:val="EndnoteReference"/>
        </w:rPr>
        <w:endnoteRef/>
      </w:r>
      <w:r w:rsidRPr="003A5A0E">
        <w:t xml:space="preserve"> Vaidya, V., Partha, G., Karmakar, M. (February, 2012). </w:t>
      </w:r>
      <w:r w:rsidRPr="003A5A0E">
        <w:rPr>
          <w:i/>
        </w:rPr>
        <w:t>Gender Differences in Utilization of Preventive Care Services in the United States.</w:t>
      </w:r>
      <w:r w:rsidRPr="003A5A0E">
        <w:t xml:space="preserve"> Journal of Women’s Health. </w:t>
      </w:r>
    </w:p>
  </w:endnote>
  <w:endnote w:id="26">
    <w:p w14:paraId="30AA0DE3" w14:textId="77777777" w:rsidR="0099767E" w:rsidRPr="003A5A0E" w:rsidRDefault="0099767E" w:rsidP="00C8300D">
      <w:pPr>
        <w:pStyle w:val="EndnoteText"/>
        <w:spacing w:before="120" w:after="120"/>
      </w:pPr>
      <w:r w:rsidRPr="003A5A0E">
        <w:rPr>
          <w:rStyle w:val="EndnoteReference"/>
        </w:rPr>
        <w:endnoteRef/>
      </w:r>
      <w:r w:rsidRPr="003A5A0E">
        <w:t xml:space="preserve"> National Academy of Science, Institute of Medicine. (1993). </w:t>
      </w:r>
      <w:r w:rsidRPr="003A5A0E">
        <w:rPr>
          <w:i/>
        </w:rPr>
        <w:t>Access to Health Care in America</w:t>
      </w:r>
      <w:r w:rsidRPr="003A5A0E">
        <w:t xml:space="preserve">. Committee on Monitoring Access to Personal Health Care Services. </w:t>
      </w:r>
      <w:hyperlink r:id="rId11" w:history="1">
        <w:r w:rsidRPr="003A5A0E">
          <w:rPr>
            <w:rStyle w:val="Hyperlink"/>
          </w:rPr>
          <w:t>http://www.nap.edu/openbook.php?record_id=2009</w:t>
        </w:r>
      </w:hyperlink>
    </w:p>
  </w:endnote>
  <w:endnote w:id="27">
    <w:p w14:paraId="06E37BBC" w14:textId="77777777" w:rsidR="0099767E" w:rsidRPr="003A5A0E" w:rsidRDefault="0099767E" w:rsidP="00C8300D">
      <w:pPr>
        <w:widowControl w:val="0"/>
        <w:tabs>
          <w:tab w:val="left" w:pos="90"/>
        </w:tabs>
        <w:autoSpaceDE w:val="0"/>
        <w:autoSpaceDN w:val="0"/>
        <w:adjustRightInd w:val="0"/>
        <w:spacing w:before="120" w:after="120"/>
        <w:rPr>
          <w:rStyle w:val="Hyperlink"/>
          <w:rFonts w:asciiTheme="minorHAnsi" w:hAnsiTheme="minorHAnsi"/>
          <w:sz w:val="20"/>
          <w:szCs w:val="20"/>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Institute of Medicine. (2002). </w:t>
      </w:r>
      <w:r w:rsidRPr="003A5A0E">
        <w:rPr>
          <w:rFonts w:asciiTheme="minorHAnsi" w:hAnsiTheme="minorHAnsi"/>
          <w:i/>
          <w:sz w:val="20"/>
          <w:szCs w:val="20"/>
        </w:rPr>
        <w:t>Care Without Coverage: Too Little, Too Late.</w:t>
      </w:r>
      <w:r w:rsidRPr="003A5A0E">
        <w:rPr>
          <w:rFonts w:asciiTheme="minorHAnsi" w:hAnsiTheme="minorHAnsi"/>
          <w:sz w:val="20"/>
          <w:szCs w:val="20"/>
        </w:rPr>
        <w:t xml:space="preserve"> The National Academies of Sciences, Engineering, and Medicine, Health and Medicine Division. </w:t>
      </w:r>
      <w:hyperlink r:id="rId12" w:history="1">
        <w:r w:rsidRPr="003A5A0E">
          <w:rPr>
            <w:rStyle w:val="Hyperlink"/>
            <w:rFonts w:asciiTheme="minorHAnsi" w:hAnsiTheme="minorHAnsi"/>
            <w:sz w:val="20"/>
            <w:szCs w:val="20"/>
          </w:rPr>
          <w:t>http://www.iom.edu/Reports/2002/Care-Without-Coverage-Too-Little-Too-Late.aspx</w:t>
        </w:r>
      </w:hyperlink>
    </w:p>
  </w:endnote>
  <w:endnote w:id="28">
    <w:p w14:paraId="600E8C99" w14:textId="77777777" w:rsidR="0099767E" w:rsidRPr="003A5A0E" w:rsidRDefault="0099767E" w:rsidP="00C8300D">
      <w:pPr>
        <w:widowControl w:val="0"/>
        <w:tabs>
          <w:tab w:val="left" w:pos="90"/>
        </w:tabs>
        <w:autoSpaceDE w:val="0"/>
        <w:autoSpaceDN w:val="0"/>
        <w:adjustRightInd w:val="0"/>
        <w:spacing w:before="120" w:after="120"/>
        <w:rPr>
          <w:rFonts w:asciiTheme="minorHAnsi" w:hAnsiTheme="minorHAnsi" w:cs="Arial"/>
          <w:color w:val="000000"/>
          <w:sz w:val="20"/>
          <w:szCs w:val="20"/>
        </w:rPr>
      </w:pPr>
      <w:r w:rsidRPr="003A5A0E">
        <w:rPr>
          <w:rStyle w:val="EndnoteReference"/>
          <w:rFonts w:asciiTheme="minorHAnsi" w:eastAsiaTheme="majorEastAsia" w:hAnsiTheme="minorHAnsi" w:cs="Arial"/>
          <w:sz w:val="20"/>
          <w:szCs w:val="20"/>
        </w:rPr>
        <w:endnoteRef/>
      </w:r>
      <w:r w:rsidRPr="003A5A0E">
        <w:rPr>
          <w:rFonts w:asciiTheme="minorHAnsi" w:hAnsiTheme="minorHAnsi" w:cs="Arial"/>
          <w:sz w:val="20"/>
          <w:szCs w:val="20"/>
        </w:rPr>
        <w:t xml:space="preserve"> </w:t>
      </w:r>
      <w:r w:rsidRPr="003A5A0E">
        <w:rPr>
          <w:rFonts w:asciiTheme="minorHAnsi" w:hAnsiTheme="minorHAnsi" w:cs="Arial"/>
          <w:color w:val="000000"/>
          <w:sz w:val="20"/>
          <w:szCs w:val="20"/>
        </w:rPr>
        <w:t>Agency for Healthcare Research and Quality.</w:t>
      </w:r>
      <w:r w:rsidRPr="003A5A0E">
        <w:rPr>
          <w:rFonts w:asciiTheme="minorHAnsi" w:hAnsiTheme="minorHAnsi" w:cs="Arial"/>
          <w:i/>
          <w:color w:val="000000"/>
          <w:sz w:val="20"/>
          <w:szCs w:val="20"/>
        </w:rPr>
        <w:t>The Safety Net Monitoring Initiative</w:t>
      </w:r>
      <w:r w:rsidRPr="003A5A0E">
        <w:rPr>
          <w:rFonts w:asciiTheme="minorHAnsi" w:hAnsiTheme="minorHAnsi" w:cs="Arial"/>
          <w:color w:val="000000"/>
          <w:sz w:val="20"/>
          <w:szCs w:val="20"/>
        </w:rPr>
        <w:t xml:space="preserve">. </w:t>
      </w:r>
      <w:hyperlink r:id="rId13" w:history="1">
        <w:r w:rsidRPr="003A5A0E">
          <w:rPr>
            <w:rStyle w:val="Hyperlink"/>
            <w:rFonts w:asciiTheme="minorHAnsi" w:hAnsiTheme="minorHAnsi" w:cs="Arial"/>
            <w:sz w:val="20"/>
            <w:szCs w:val="20"/>
          </w:rPr>
          <w:t>http://archive.ahrq.gov/data/safetynet/</w:t>
        </w:r>
      </w:hyperlink>
    </w:p>
  </w:endnote>
  <w:endnote w:id="29">
    <w:p w14:paraId="2934B75B" w14:textId="77777777" w:rsidR="0099767E" w:rsidRPr="003A5A0E" w:rsidRDefault="0099767E" w:rsidP="00EE21D3">
      <w:pPr>
        <w:pStyle w:val="Title"/>
        <w:rPr>
          <w:rFonts w:asciiTheme="minorHAnsi" w:hAnsiTheme="minorHAnsi"/>
          <w:sz w:val="20"/>
          <w:szCs w:val="20"/>
        </w:rPr>
      </w:pPr>
      <w:r w:rsidRPr="003A5A0E">
        <w:rPr>
          <w:rStyle w:val="EndnoteReference"/>
          <w:rFonts w:asciiTheme="minorHAnsi" w:hAnsiTheme="minorHAnsi"/>
          <w:sz w:val="20"/>
          <w:szCs w:val="20"/>
        </w:rPr>
        <w:endnoteRef/>
      </w:r>
      <w:r w:rsidRPr="003A5A0E">
        <w:rPr>
          <w:rFonts w:asciiTheme="minorHAnsi" w:hAnsiTheme="minorHAnsi"/>
          <w:sz w:val="20"/>
          <w:szCs w:val="20"/>
        </w:rPr>
        <w:t xml:space="preserve">Dal Paz, MR et al (2009).  Handbook on Monitoring and Evaluation of Human Resources for Health.  Geneva, World Health Organization.  </w:t>
      </w:r>
      <w:hyperlink r:id="rId14" w:history="1">
        <w:r w:rsidRPr="003A5A0E">
          <w:rPr>
            <w:rStyle w:val="Hyperlink"/>
            <w:rFonts w:asciiTheme="minorHAnsi" w:hAnsiTheme="minorHAnsi"/>
            <w:sz w:val="20"/>
            <w:szCs w:val="20"/>
          </w:rPr>
          <w:t>http://apps.who.int/iris/bitstream/10665/44097/1/9789241547703_eng.pdf</w:t>
        </w:r>
      </w:hyperlink>
    </w:p>
  </w:endnote>
  <w:endnote w:id="30">
    <w:p w14:paraId="666AD581" w14:textId="77777777" w:rsidR="0099767E" w:rsidRPr="003A5A0E" w:rsidRDefault="0099767E" w:rsidP="00C8300D">
      <w:pPr>
        <w:pStyle w:val="authors"/>
        <w:spacing w:before="120" w:beforeAutospacing="0" w:after="120" w:afterAutospacing="0" w:line="240" w:lineRule="auto"/>
        <w:rPr>
          <w:rFonts w:asciiTheme="minorHAnsi" w:hAnsiTheme="minorHAnsi" w:cs="Arial"/>
          <w:color w:val="333333"/>
          <w:sz w:val="20"/>
          <w:szCs w:val="20"/>
        </w:rPr>
      </w:pPr>
      <w:r w:rsidRPr="003A5A0E">
        <w:rPr>
          <w:rStyle w:val="EndnoteReference"/>
          <w:rFonts w:asciiTheme="minorHAnsi" w:eastAsiaTheme="majorEastAsia" w:hAnsiTheme="minorHAnsi" w:cs="Arial"/>
          <w:sz w:val="20"/>
          <w:szCs w:val="20"/>
        </w:rPr>
        <w:endnoteRef/>
      </w:r>
      <w:r w:rsidRPr="003A5A0E">
        <w:rPr>
          <w:rFonts w:asciiTheme="minorHAnsi" w:hAnsiTheme="minorHAnsi" w:cs="Arial"/>
          <w:sz w:val="20"/>
          <w:szCs w:val="20"/>
        </w:rPr>
        <w:t xml:space="preserve"> </w:t>
      </w:r>
      <w:r w:rsidRPr="003A5A0E">
        <w:rPr>
          <w:rFonts w:asciiTheme="minorHAnsi" w:hAnsiTheme="minorHAnsi" w:cs="Arial"/>
          <w:color w:val="333333"/>
          <w:sz w:val="20"/>
          <w:szCs w:val="20"/>
        </w:rPr>
        <w:t xml:space="preserve">Blumenthal, D., Abrams, M.,Nuzum, R. (June 2015). </w:t>
      </w:r>
      <w:r w:rsidRPr="003A5A0E">
        <w:rPr>
          <w:rStyle w:val="citation"/>
          <w:rFonts w:asciiTheme="minorHAnsi" w:hAnsiTheme="minorHAnsi" w:cs="Arial"/>
          <w:i/>
          <w:color w:val="333333"/>
          <w:sz w:val="20"/>
          <w:szCs w:val="20"/>
        </w:rPr>
        <w:t>The Affordable Care Act at 5 Years.</w:t>
      </w:r>
      <w:r w:rsidRPr="003A5A0E">
        <w:rPr>
          <w:rStyle w:val="citation"/>
          <w:rFonts w:asciiTheme="minorHAnsi" w:hAnsiTheme="minorHAnsi" w:cs="Arial"/>
          <w:color w:val="333333"/>
          <w:sz w:val="20"/>
          <w:szCs w:val="20"/>
        </w:rPr>
        <w:t xml:space="preserve"> New England Journal of Medicine. </w:t>
      </w:r>
      <w:hyperlink r:id="rId15" w:history="1">
        <w:r w:rsidRPr="003A5A0E">
          <w:rPr>
            <w:rStyle w:val="Hyperlink"/>
            <w:rFonts w:asciiTheme="minorHAnsi" w:hAnsiTheme="minorHAnsi" w:cs="Arial"/>
            <w:sz w:val="20"/>
            <w:szCs w:val="20"/>
          </w:rPr>
          <w:t>http://www.nejm.org/doi/full/10.1056/NEJMhpr1503614?af=R&amp;rss=currentIssue</w:t>
        </w:r>
      </w:hyperlink>
      <w:r w:rsidRPr="003A5A0E">
        <w:rPr>
          <w:rStyle w:val="citation"/>
          <w:rFonts w:asciiTheme="minorHAnsi" w:hAnsiTheme="minorHAnsi" w:cs="Arial"/>
          <w:color w:val="333333"/>
          <w:sz w:val="20"/>
          <w:szCs w:val="20"/>
        </w:rPr>
        <w:t xml:space="preserve"> </w:t>
      </w:r>
    </w:p>
  </w:endnote>
  <w:endnote w:id="31">
    <w:p w14:paraId="2B8D9F97" w14:textId="77777777" w:rsidR="0099767E" w:rsidRPr="003A5A0E" w:rsidRDefault="0099767E" w:rsidP="00C8300D">
      <w:pPr>
        <w:pStyle w:val="Default"/>
        <w:spacing w:before="120" w:after="120"/>
        <w:rPr>
          <w:rFonts w:asciiTheme="minorHAnsi" w:hAnsiTheme="minorHAnsi" w:cs="Arial"/>
          <w:color w:val="333333"/>
          <w:sz w:val="20"/>
          <w:szCs w:val="20"/>
        </w:rPr>
      </w:pPr>
      <w:r w:rsidRPr="003A5A0E">
        <w:rPr>
          <w:rStyle w:val="EndnoteReference"/>
          <w:rFonts w:asciiTheme="minorHAnsi" w:eastAsiaTheme="majorEastAsia" w:hAnsiTheme="minorHAnsi" w:cs="Arial"/>
          <w:color w:val="auto"/>
          <w:sz w:val="20"/>
          <w:szCs w:val="20"/>
        </w:rPr>
        <w:endnoteRef/>
      </w:r>
      <w:r w:rsidRPr="003A5A0E">
        <w:rPr>
          <w:rFonts w:asciiTheme="minorHAnsi" w:hAnsiTheme="minorHAnsi" w:cs="Arial"/>
          <w:color w:val="333333"/>
          <w:sz w:val="20"/>
          <w:szCs w:val="20"/>
        </w:rPr>
        <w:t xml:space="preserve"> Glied, S., Ma, S. (February 2015). </w:t>
      </w:r>
      <w:r w:rsidRPr="003A5A0E">
        <w:rPr>
          <w:rFonts w:asciiTheme="minorHAnsi" w:hAnsiTheme="minorHAnsi" w:cs="Arial"/>
          <w:i/>
          <w:color w:val="333333"/>
          <w:sz w:val="20"/>
          <w:szCs w:val="20"/>
        </w:rPr>
        <w:t>How Will the Affordable Care Act Affect the Use of Health Care Services?</w:t>
      </w:r>
      <w:r w:rsidRPr="003A5A0E">
        <w:rPr>
          <w:rFonts w:asciiTheme="minorHAnsi" w:hAnsiTheme="minorHAnsi" w:cs="Arial"/>
          <w:color w:val="333333"/>
          <w:sz w:val="20"/>
          <w:szCs w:val="20"/>
        </w:rPr>
        <w:t xml:space="preserve"> The Commonwealth Fund. </w:t>
      </w:r>
      <w:hyperlink r:id="rId16" w:history="1">
        <w:r w:rsidRPr="003A5A0E">
          <w:rPr>
            <w:rStyle w:val="Hyperlink"/>
            <w:rFonts w:asciiTheme="minorHAnsi" w:hAnsiTheme="minorHAnsi" w:cs="Arial"/>
            <w:sz w:val="20"/>
            <w:szCs w:val="20"/>
          </w:rPr>
          <w:t>http://www.commonwealthfund.org/~/media/files/publications/issue-brief/2015/feb/1804_glied_how_will_aca_affect_use_hlt_care_svcs_ib_v2.pdf?la=en</w:t>
        </w:r>
      </w:hyperlink>
      <w:r w:rsidRPr="003A5A0E">
        <w:rPr>
          <w:rFonts w:asciiTheme="minorHAnsi" w:hAnsiTheme="minorHAnsi" w:cs="Arial"/>
          <w:color w:val="333333"/>
          <w:sz w:val="20"/>
          <w:szCs w:val="20"/>
        </w:rPr>
        <w:t xml:space="preserve"> </w:t>
      </w:r>
    </w:p>
  </w:endnote>
  <w:endnote w:id="32">
    <w:p w14:paraId="733022A5" w14:textId="77777777" w:rsidR="0099767E" w:rsidRPr="003A5A0E" w:rsidRDefault="0099767E" w:rsidP="00C8300D">
      <w:pPr>
        <w:pStyle w:val="EndnoteText"/>
      </w:pPr>
      <w:r w:rsidRPr="003A5A0E">
        <w:rPr>
          <w:rStyle w:val="EndnoteReference"/>
        </w:rPr>
        <w:endnoteRef/>
      </w:r>
      <w:r w:rsidRPr="003A5A0E">
        <w:t xml:space="preserve"> Blumenthal, D. (June 2015).</w:t>
      </w:r>
    </w:p>
  </w:endnote>
  <w:endnote w:id="33">
    <w:p w14:paraId="18ADF606" w14:textId="77777777" w:rsidR="0099767E" w:rsidRPr="003A5A0E" w:rsidRDefault="0099767E" w:rsidP="00C8300D">
      <w:pPr>
        <w:pStyle w:val="EndnoteText"/>
        <w:spacing w:before="120" w:after="120"/>
      </w:pPr>
      <w:r w:rsidRPr="003A5A0E">
        <w:rPr>
          <w:rStyle w:val="EndnoteReference"/>
        </w:rPr>
        <w:endnoteRef/>
      </w:r>
      <w:r w:rsidRPr="003A5A0E">
        <w:t xml:space="preserve"> Medicaid and Children’s Health Insurance Program (CHIP) Payment and Access Commission. (March 2011). </w:t>
      </w:r>
      <w:r w:rsidRPr="003A5A0E">
        <w:rPr>
          <w:i/>
        </w:rPr>
        <w:t>Report to the Congress on Medicaid and CHIP</w:t>
      </w:r>
      <w:r w:rsidRPr="003A5A0E">
        <w:t xml:space="preserve">.  </w:t>
      </w:r>
      <w:hyperlink r:id="rId17" w:history="1">
        <w:r w:rsidRPr="003A5A0E">
          <w:rPr>
            <w:rStyle w:val="Hyperlink"/>
          </w:rPr>
          <w:t>http://www.macpac.gov/publication</w:t>
        </w:r>
      </w:hyperlink>
      <w:r w:rsidRPr="003A5A0E">
        <w:t xml:space="preserve"> </w:t>
      </w:r>
    </w:p>
  </w:endnote>
  <w:endnote w:id="34">
    <w:p w14:paraId="64C4152D" w14:textId="77777777" w:rsidR="0099767E" w:rsidRPr="003A5A0E" w:rsidRDefault="0099767E" w:rsidP="00C8300D">
      <w:pPr>
        <w:widowControl w:val="0"/>
        <w:tabs>
          <w:tab w:val="left" w:pos="90"/>
        </w:tabs>
        <w:autoSpaceDE w:val="0"/>
        <w:autoSpaceDN w:val="0"/>
        <w:adjustRightInd w:val="0"/>
        <w:spacing w:before="120" w:after="120"/>
        <w:rPr>
          <w:rFonts w:asciiTheme="minorHAnsi" w:hAnsiTheme="minorHAnsi"/>
          <w:color w:val="0000FF"/>
          <w:sz w:val="20"/>
          <w:szCs w:val="20"/>
          <w:u w:val="single"/>
        </w:rPr>
      </w:pPr>
      <w:r w:rsidRPr="003A5A0E">
        <w:rPr>
          <w:rStyle w:val="EndnoteReference"/>
          <w:rFonts w:asciiTheme="minorHAnsi" w:eastAsiaTheme="majorEastAsia" w:hAnsiTheme="minorHAnsi"/>
          <w:sz w:val="20"/>
          <w:szCs w:val="20"/>
        </w:rPr>
        <w:endnoteRef/>
      </w:r>
      <w:r w:rsidRPr="003A5A0E">
        <w:rPr>
          <w:rStyle w:val="EndnoteReference"/>
          <w:rFonts w:asciiTheme="minorHAnsi" w:eastAsiaTheme="majorEastAsia" w:hAnsiTheme="minorHAnsi"/>
          <w:sz w:val="20"/>
          <w:szCs w:val="20"/>
        </w:rPr>
        <w:t xml:space="preserve"> </w:t>
      </w:r>
      <w:r w:rsidRPr="003A5A0E">
        <w:rPr>
          <w:rFonts w:asciiTheme="minorHAnsi" w:hAnsiTheme="minorHAnsi"/>
          <w:sz w:val="20"/>
          <w:szCs w:val="20"/>
        </w:rPr>
        <w:t xml:space="preserve">Shi, L., Starfield, B. (2001). </w:t>
      </w:r>
      <w:r w:rsidRPr="003A5A0E">
        <w:rPr>
          <w:rFonts w:asciiTheme="minorHAnsi" w:hAnsiTheme="minorHAnsi"/>
          <w:i/>
          <w:sz w:val="20"/>
          <w:szCs w:val="20"/>
        </w:rPr>
        <w:t>The Effect of Primary Care Physician Supply and Income Inequality on Mortality Among Blacks and Whites in U.S. Metropolitan Areas</w:t>
      </w:r>
      <w:r w:rsidRPr="003A5A0E">
        <w:rPr>
          <w:rFonts w:asciiTheme="minorHAnsi" w:hAnsiTheme="minorHAnsi"/>
          <w:sz w:val="20"/>
          <w:szCs w:val="20"/>
        </w:rPr>
        <w:t xml:space="preserve">. American Journal of Public Health. </w:t>
      </w:r>
      <w:hyperlink r:id="rId18" w:history="1">
        <w:r w:rsidRPr="003A5A0E">
          <w:rPr>
            <w:rStyle w:val="Hyperlink"/>
            <w:rFonts w:asciiTheme="minorHAnsi" w:hAnsiTheme="minorHAnsi"/>
            <w:sz w:val="20"/>
            <w:szCs w:val="20"/>
          </w:rPr>
          <w:t>http://ajph.aphapublications.org/cgi/reprint/91/8/1246.pdf</w:t>
        </w:r>
      </w:hyperlink>
    </w:p>
  </w:endnote>
  <w:endnote w:id="35">
    <w:p w14:paraId="516D46BF" w14:textId="77777777" w:rsidR="0099767E" w:rsidRPr="003A5A0E" w:rsidRDefault="0099767E" w:rsidP="00C8300D">
      <w:pPr>
        <w:widowControl w:val="0"/>
        <w:tabs>
          <w:tab w:val="left" w:pos="90"/>
        </w:tabs>
        <w:autoSpaceDE w:val="0"/>
        <w:autoSpaceDN w:val="0"/>
        <w:adjustRightInd w:val="0"/>
        <w:spacing w:before="120" w:after="120"/>
        <w:rPr>
          <w:rFonts w:asciiTheme="minorHAnsi" w:hAnsiTheme="minorHAnsi"/>
          <w:color w:val="0000FF"/>
          <w:sz w:val="20"/>
          <w:szCs w:val="20"/>
          <w:u w:val="single"/>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Felt-Lisk, S., McHugh, M., Thomas, M. (June 2004). </w:t>
      </w:r>
      <w:r w:rsidRPr="003A5A0E">
        <w:rPr>
          <w:rFonts w:asciiTheme="minorHAnsi" w:hAnsiTheme="minorHAnsi"/>
          <w:i/>
          <w:sz w:val="20"/>
          <w:szCs w:val="20"/>
        </w:rPr>
        <w:t>Examining Access to Specialty Care for California's Uninsured.</w:t>
      </w:r>
      <w:r w:rsidRPr="003A5A0E">
        <w:rPr>
          <w:rFonts w:asciiTheme="minorHAnsi" w:hAnsiTheme="minorHAnsi"/>
          <w:sz w:val="20"/>
          <w:szCs w:val="20"/>
        </w:rPr>
        <w:t xml:space="preserve"> California Healthcare Foundation,  Mathematica Policy Research, Inc.</w:t>
      </w:r>
      <w:r w:rsidRPr="003A5A0E">
        <w:rPr>
          <w:rFonts w:asciiTheme="minorHAnsi" w:hAnsiTheme="minorHAnsi"/>
          <w:color w:val="000000"/>
          <w:sz w:val="20"/>
          <w:szCs w:val="20"/>
        </w:rPr>
        <w:t xml:space="preserve"> </w:t>
      </w:r>
      <w:r w:rsidRPr="003A5A0E">
        <w:rPr>
          <w:rStyle w:val="Hyperlink"/>
          <w:rFonts w:asciiTheme="minorHAnsi" w:hAnsiTheme="minorHAnsi"/>
          <w:sz w:val="20"/>
          <w:szCs w:val="20"/>
        </w:rPr>
        <w:t>http://www.chcf.org/~/media/MEDIA%20LIBRARY%20Files/PDF/PDF%20A/PDF%20AccessToSpecialtyCareForCalifUninsuredReport.pdf</w:t>
      </w:r>
    </w:p>
  </w:endnote>
  <w:endnote w:id="36">
    <w:p w14:paraId="684000B3" w14:textId="77777777" w:rsidR="0099767E" w:rsidRPr="003A5A0E" w:rsidRDefault="0099767E" w:rsidP="00C8300D">
      <w:pPr>
        <w:pStyle w:val="authors"/>
        <w:spacing w:before="120" w:beforeAutospacing="0" w:after="120" w:afterAutospacing="0" w:line="240" w:lineRule="auto"/>
        <w:rPr>
          <w:rFonts w:asciiTheme="minorHAnsi" w:hAnsiTheme="minorHAnsi"/>
          <w:sz w:val="20"/>
          <w:szCs w:val="20"/>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Bisgaier, J., Rhodes, K. (2011). </w:t>
      </w:r>
      <w:r w:rsidRPr="003A5A0E">
        <w:rPr>
          <w:rFonts w:asciiTheme="minorHAnsi" w:hAnsiTheme="minorHAnsi"/>
          <w:i/>
          <w:sz w:val="20"/>
          <w:szCs w:val="20"/>
        </w:rPr>
        <w:t>Auditing Access to Specialty Care for Children with Public Insurance.</w:t>
      </w:r>
      <w:r w:rsidRPr="003A5A0E">
        <w:rPr>
          <w:rFonts w:asciiTheme="minorHAnsi" w:hAnsiTheme="minorHAnsi"/>
          <w:sz w:val="20"/>
          <w:szCs w:val="20"/>
        </w:rPr>
        <w:t xml:space="preserve"> New England Journal of Medicine. </w:t>
      </w:r>
      <w:r w:rsidRPr="003A5A0E">
        <w:rPr>
          <w:rStyle w:val="Hyperlink"/>
          <w:rFonts w:asciiTheme="minorHAnsi" w:hAnsiTheme="minorHAnsi"/>
          <w:sz w:val="20"/>
          <w:szCs w:val="20"/>
        </w:rPr>
        <w:t>http://www.nejm.org/doi/full/10.1056/NEJMsa1013285#t=articleTop</w:t>
      </w:r>
    </w:p>
  </w:endnote>
  <w:endnote w:id="37">
    <w:p w14:paraId="7A67C1C5" w14:textId="77777777" w:rsidR="0099767E" w:rsidRPr="003A5A0E" w:rsidRDefault="0099767E" w:rsidP="00C8300D">
      <w:pPr>
        <w:pStyle w:val="EndnoteText"/>
        <w:spacing w:before="120" w:after="120"/>
      </w:pPr>
      <w:r w:rsidRPr="003A5A0E">
        <w:rPr>
          <w:rStyle w:val="EndnoteReference"/>
        </w:rPr>
        <w:endnoteRef/>
      </w:r>
      <w:r w:rsidRPr="003A5A0E">
        <w:t xml:space="preserve"> Bisgaier, J. (2011).</w:t>
      </w:r>
    </w:p>
  </w:endnote>
  <w:endnote w:id="38">
    <w:p w14:paraId="79818E3C" w14:textId="77777777" w:rsidR="0099767E" w:rsidRPr="003A5A0E" w:rsidRDefault="0099767E" w:rsidP="00C8300D">
      <w:pPr>
        <w:widowControl w:val="0"/>
        <w:tabs>
          <w:tab w:val="left" w:pos="90"/>
        </w:tabs>
        <w:autoSpaceDE w:val="0"/>
        <w:autoSpaceDN w:val="0"/>
        <w:adjustRightInd w:val="0"/>
        <w:spacing w:before="120" w:after="120"/>
        <w:rPr>
          <w:rFonts w:asciiTheme="minorHAnsi" w:hAnsiTheme="minorHAnsi"/>
          <w:color w:val="0000FF"/>
          <w:sz w:val="20"/>
          <w:szCs w:val="20"/>
          <w:u w:val="single"/>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Lishner, D., Richardson, M., Levine, P., Patrick, D. (1996). </w:t>
      </w:r>
      <w:r w:rsidRPr="003A5A0E">
        <w:rPr>
          <w:rFonts w:asciiTheme="minorHAnsi" w:hAnsiTheme="minorHAnsi"/>
          <w:i/>
          <w:sz w:val="20"/>
          <w:szCs w:val="20"/>
        </w:rPr>
        <w:t>Access to Primary Health Care Among Persons With Disabilities in Rural Areas: A Summary of the Literature.</w:t>
      </w:r>
      <w:r w:rsidRPr="003A5A0E">
        <w:rPr>
          <w:rFonts w:asciiTheme="minorHAnsi" w:hAnsiTheme="minorHAnsi"/>
          <w:sz w:val="20"/>
          <w:szCs w:val="20"/>
        </w:rPr>
        <w:t xml:space="preserve"> Journal of Rural Health. </w:t>
      </w:r>
      <w:r w:rsidRPr="003A5A0E">
        <w:rPr>
          <w:rStyle w:val="Hyperlink"/>
          <w:rFonts w:asciiTheme="minorHAnsi" w:hAnsiTheme="minorHAnsi"/>
          <w:sz w:val="20"/>
          <w:szCs w:val="20"/>
        </w:rPr>
        <w:t>http://onlinelibrary.wiley.com/doi/10.1111/j.1748-0361.1996.tb00772.x/abstract</w:t>
      </w:r>
    </w:p>
  </w:endnote>
  <w:endnote w:id="39">
    <w:p w14:paraId="7A3A94BF" w14:textId="77777777" w:rsidR="0099767E" w:rsidRPr="003A5A0E" w:rsidRDefault="0099767E" w:rsidP="00C8300D">
      <w:pPr>
        <w:pStyle w:val="EndnoteText"/>
      </w:pPr>
      <w:r w:rsidRPr="003A5A0E">
        <w:rPr>
          <w:rStyle w:val="EndnoteReference"/>
        </w:rPr>
        <w:endnoteRef/>
      </w:r>
      <w:r w:rsidRPr="003A5A0E">
        <w:t xml:space="preserve"> Rosenblatt, R., Hart, L.G. (2000).  </w:t>
      </w:r>
      <w:r w:rsidRPr="003A5A0E">
        <w:rPr>
          <w:i/>
        </w:rPr>
        <w:t>Physicians and Rural America</w:t>
      </w:r>
      <w:r w:rsidRPr="003A5A0E">
        <w:t xml:space="preserve">.  National Institutes of Health, National Center for Biotechnology Information.  </w:t>
      </w:r>
      <w:hyperlink r:id="rId19" w:history="1">
        <w:r w:rsidRPr="003A5A0E">
          <w:rPr>
            <w:rStyle w:val="Hyperlink"/>
          </w:rPr>
          <w:t>http://www.ncbi.nlm.nih.gov/pmc/articles/PMC1071163/</w:t>
        </w:r>
      </w:hyperlink>
    </w:p>
  </w:endnote>
  <w:endnote w:id="40">
    <w:p w14:paraId="34695474" w14:textId="77777777" w:rsidR="0099767E" w:rsidRPr="003A5A0E" w:rsidRDefault="0099767E" w:rsidP="00C8300D">
      <w:pPr>
        <w:pStyle w:val="EndnoteText"/>
      </w:pPr>
      <w:r w:rsidRPr="003A5A0E">
        <w:rPr>
          <w:rStyle w:val="EndnoteReference"/>
        </w:rPr>
        <w:endnoteRef/>
      </w:r>
      <w:r w:rsidRPr="003A5A0E">
        <w:t xml:space="preserve"> Rural Health Information Hub.  (2015) </w:t>
      </w:r>
      <w:r w:rsidRPr="003A5A0E">
        <w:rPr>
          <w:i/>
        </w:rPr>
        <w:t>Rural Healthcare Workforce</w:t>
      </w:r>
      <w:r w:rsidRPr="003A5A0E">
        <w:t xml:space="preserve">.  </w:t>
      </w:r>
      <w:hyperlink r:id="rId20" w:history="1">
        <w:r w:rsidRPr="003A5A0E">
          <w:rPr>
            <w:rStyle w:val="Hyperlink"/>
          </w:rPr>
          <w:t>https://www.ruralhealthinfo.org/topics/health-care-workforce</w:t>
        </w:r>
      </w:hyperlink>
    </w:p>
    <w:p w14:paraId="47D9C3BA" w14:textId="77777777" w:rsidR="0099767E" w:rsidRPr="003A5A0E" w:rsidRDefault="0099767E" w:rsidP="00C8300D">
      <w:pPr>
        <w:pStyle w:val="EndnoteText"/>
      </w:pPr>
    </w:p>
  </w:endnote>
  <w:endnote w:id="41">
    <w:p w14:paraId="08368B65" w14:textId="77777777" w:rsidR="0099767E" w:rsidRPr="003A5A0E" w:rsidRDefault="0099767E" w:rsidP="00C8300D">
      <w:pPr>
        <w:pStyle w:val="EndnoteText"/>
      </w:pPr>
      <w:r w:rsidRPr="003A5A0E">
        <w:rPr>
          <w:rStyle w:val="EndnoteReference"/>
        </w:rPr>
        <w:endnoteRef/>
      </w:r>
      <w:r w:rsidRPr="003A5A0E">
        <w:t xml:space="preserve"> Rural Health Information Hub.  (2014) </w:t>
      </w:r>
      <w:r w:rsidRPr="003A5A0E">
        <w:rPr>
          <w:i/>
        </w:rPr>
        <w:t>Healthcare Access in Rural Communities</w:t>
      </w:r>
      <w:r w:rsidRPr="003A5A0E">
        <w:t xml:space="preserve">.  </w:t>
      </w:r>
      <w:hyperlink r:id="rId21" w:history="1">
        <w:r w:rsidRPr="003A5A0E">
          <w:rPr>
            <w:rStyle w:val="Hyperlink"/>
          </w:rPr>
          <w:t>https://www.ruralhealthinfo.org/topics/health-care-workforce</w:t>
        </w:r>
      </w:hyperlink>
      <w:r w:rsidRPr="003A5A0E">
        <w:t xml:space="preserve"> </w:t>
      </w:r>
    </w:p>
    <w:p w14:paraId="2F8E467C" w14:textId="77777777" w:rsidR="0099767E" w:rsidRPr="003A5A0E" w:rsidRDefault="0099767E" w:rsidP="00C8300D">
      <w:pPr>
        <w:pStyle w:val="EndnoteText"/>
      </w:pPr>
    </w:p>
  </w:endnote>
  <w:endnote w:id="42">
    <w:p w14:paraId="0032BDA5" w14:textId="77777777" w:rsidR="0099767E" w:rsidRPr="003A5A0E" w:rsidRDefault="0099767E" w:rsidP="00C8300D">
      <w:pPr>
        <w:pStyle w:val="EndnoteText"/>
      </w:pPr>
      <w:r w:rsidRPr="003A5A0E">
        <w:rPr>
          <w:rStyle w:val="EndnoteReference"/>
        </w:rPr>
        <w:endnoteRef/>
      </w:r>
      <w:r w:rsidRPr="003A5A0E">
        <w:t xml:space="preserve"> Reschovsky, J., Staiti, A. (2005).  </w:t>
      </w:r>
      <w:r w:rsidRPr="003A5A0E">
        <w:rPr>
          <w:i/>
        </w:rPr>
        <w:t>Physician Incomes in Rural and Urban America</w:t>
      </w:r>
      <w:r w:rsidRPr="003A5A0E">
        <w:t xml:space="preserve">.  Center for Studying Health System Change.  </w:t>
      </w:r>
      <w:hyperlink r:id="rId22" w:history="1">
        <w:r w:rsidRPr="003A5A0E">
          <w:rPr>
            <w:rStyle w:val="Hyperlink"/>
          </w:rPr>
          <w:t>http://www.hschange.com/CONTENT/725/</w:t>
        </w:r>
      </w:hyperlink>
    </w:p>
    <w:p w14:paraId="35A21811" w14:textId="77777777" w:rsidR="0099767E" w:rsidRPr="003A5A0E" w:rsidRDefault="0099767E" w:rsidP="00C8300D">
      <w:pPr>
        <w:pStyle w:val="EndnoteText"/>
      </w:pPr>
      <w:r w:rsidRPr="003A5A0E">
        <w:t xml:space="preserve">  </w:t>
      </w:r>
    </w:p>
  </w:endnote>
  <w:endnote w:id="43">
    <w:p w14:paraId="268215B3" w14:textId="77777777" w:rsidR="0099767E" w:rsidRPr="003A5A0E" w:rsidRDefault="0099767E" w:rsidP="00C8300D">
      <w:pPr>
        <w:pStyle w:val="EndnoteText"/>
      </w:pPr>
      <w:r w:rsidRPr="003A5A0E">
        <w:rPr>
          <w:rStyle w:val="EndnoteReference"/>
        </w:rPr>
        <w:endnoteRef/>
      </w:r>
      <w:r w:rsidRPr="003A5A0E">
        <w:t xml:space="preserve"> Rural Health Information Hub (2015).</w:t>
      </w:r>
    </w:p>
    <w:p w14:paraId="67874DDD" w14:textId="77777777" w:rsidR="0099767E" w:rsidRPr="003A5A0E" w:rsidRDefault="0099767E" w:rsidP="00C8300D">
      <w:pPr>
        <w:pStyle w:val="EndnoteText"/>
      </w:pPr>
    </w:p>
  </w:endnote>
  <w:endnote w:id="44">
    <w:p w14:paraId="4CC30F52" w14:textId="77777777" w:rsidR="0099767E" w:rsidRPr="003A5A0E" w:rsidRDefault="0099767E" w:rsidP="00C8300D">
      <w:pPr>
        <w:pStyle w:val="EndnoteText"/>
      </w:pPr>
      <w:r w:rsidRPr="003A5A0E">
        <w:rPr>
          <w:rStyle w:val="EndnoteReference"/>
        </w:rPr>
        <w:endnoteRef/>
      </w:r>
      <w:r w:rsidRPr="003A5A0E">
        <w:t xml:space="preserve"> United States Department of Health and Human Services, National Center for Health Workforce Analysis.</w:t>
      </w:r>
      <w:r w:rsidRPr="003A5A0E">
        <w:rPr>
          <w:i/>
        </w:rPr>
        <w:t xml:space="preserve">  Distribution of U.S. Health Care Providers Residing in Urban and Rural Areas</w:t>
      </w:r>
      <w:r w:rsidRPr="003A5A0E">
        <w:t xml:space="preserve">.  </w:t>
      </w:r>
      <w:hyperlink r:id="rId23" w:history="1">
        <w:r w:rsidRPr="003A5A0E">
          <w:rPr>
            <w:rStyle w:val="Hyperlink"/>
          </w:rPr>
          <w:t>http://bhpr.hrsa.gov/healthworkforce/supplydemand/nchwafactsheet.pdf</w:t>
        </w:r>
      </w:hyperlink>
      <w:r w:rsidRPr="003A5A0E">
        <w:t xml:space="preserve"> </w:t>
      </w:r>
    </w:p>
    <w:p w14:paraId="722F962D" w14:textId="77777777" w:rsidR="0099767E" w:rsidRPr="003A5A0E" w:rsidRDefault="0099767E" w:rsidP="00C8300D">
      <w:pPr>
        <w:pStyle w:val="EndnoteText"/>
      </w:pPr>
    </w:p>
  </w:endnote>
  <w:endnote w:id="45">
    <w:p w14:paraId="26A130F0" w14:textId="77777777" w:rsidR="0099767E" w:rsidRPr="003A5A0E" w:rsidRDefault="0099767E" w:rsidP="00C8300D">
      <w:pPr>
        <w:pStyle w:val="EndnoteText"/>
      </w:pPr>
      <w:r w:rsidRPr="003A5A0E">
        <w:rPr>
          <w:rStyle w:val="EndnoteReference"/>
        </w:rPr>
        <w:endnoteRef/>
      </w:r>
      <w:r w:rsidRPr="003A5A0E">
        <w:t xml:space="preserve"> Petterson, S., Phillips, R., Bazemore, A., Koinis, G. (2013).  </w:t>
      </w:r>
      <w:r w:rsidRPr="003A5A0E">
        <w:rPr>
          <w:i/>
        </w:rPr>
        <w:t>Unequal Distribution of the U.S. Primary Care Workforce.</w:t>
      </w:r>
      <w:r w:rsidRPr="003A5A0E">
        <w:t xml:space="preserve">  The Robert Graham Center.  </w:t>
      </w:r>
      <w:hyperlink r:id="rId24" w:history="1">
        <w:r w:rsidRPr="003A5A0E">
          <w:rPr>
            <w:rStyle w:val="Hyperlink"/>
          </w:rPr>
          <w:t>http://www.graham-center.org/rgc/publications-reports/publications/one-pagers/unequal-distribution-2013.html</w:t>
        </w:r>
      </w:hyperlink>
    </w:p>
  </w:endnote>
  <w:endnote w:id="46">
    <w:p w14:paraId="10DF32F1" w14:textId="77777777" w:rsidR="0099767E" w:rsidRPr="003A5A0E" w:rsidRDefault="0099767E" w:rsidP="00C8300D">
      <w:pPr>
        <w:pStyle w:val="EndnoteText"/>
      </w:pPr>
    </w:p>
  </w:endnote>
  <w:endnote w:id="47">
    <w:p w14:paraId="5DB21387" w14:textId="77777777" w:rsidR="0099767E" w:rsidRPr="003A5A0E" w:rsidRDefault="0099767E" w:rsidP="00C8300D">
      <w:pPr>
        <w:pStyle w:val="EndnoteText"/>
      </w:pPr>
      <w:r w:rsidRPr="003A5A0E">
        <w:rPr>
          <w:rStyle w:val="EndnoteReference"/>
        </w:rPr>
        <w:endnoteRef/>
      </w:r>
      <w:r w:rsidRPr="003A5A0E">
        <w:t xml:space="preserve"> United States Department of Health and Human Services, National Center for Health Workforce Analysis.</w:t>
      </w:r>
    </w:p>
    <w:p w14:paraId="13A402EE" w14:textId="77777777" w:rsidR="0099767E" w:rsidRPr="003A5A0E" w:rsidRDefault="0099767E" w:rsidP="00C8300D">
      <w:pPr>
        <w:pStyle w:val="EndnoteText"/>
      </w:pPr>
    </w:p>
  </w:endnote>
  <w:endnote w:id="48">
    <w:p w14:paraId="1611129F" w14:textId="77777777" w:rsidR="0099767E" w:rsidRPr="003A5A0E" w:rsidRDefault="0099767E" w:rsidP="00C8300D">
      <w:pPr>
        <w:pStyle w:val="EndnoteText"/>
      </w:pPr>
      <w:r w:rsidRPr="003A5A0E">
        <w:rPr>
          <w:rStyle w:val="EndnoteReference"/>
        </w:rPr>
        <w:endnoteRef/>
      </w:r>
      <w:r w:rsidRPr="003A5A0E">
        <w:t xml:space="preserve"> Rosenblatt, R. (2000).</w:t>
      </w:r>
    </w:p>
    <w:p w14:paraId="28040D0B" w14:textId="77777777" w:rsidR="0099767E" w:rsidRPr="003A5A0E" w:rsidRDefault="0099767E" w:rsidP="00C8300D">
      <w:pPr>
        <w:pStyle w:val="EndnoteText"/>
      </w:pPr>
    </w:p>
  </w:endnote>
  <w:endnote w:id="49">
    <w:p w14:paraId="3E752A13" w14:textId="77777777" w:rsidR="0099767E" w:rsidRPr="003A5A0E" w:rsidRDefault="0099767E" w:rsidP="00C8300D">
      <w:pPr>
        <w:pStyle w:val="EndnoteText"/>
      </w:pPr>
      <w:r w:rsidRPr="003A5A0E">
        <w:rPr>
          <w:rStyle w:val="EndnoteReference"/>
        </w:rPr>
        <w:endnoteRef/>
      </w:r>
      <w:r w:rsidRPr="003A5A0E">
        <w:t xml:space="preserve"> Reschovsky, J. (2005).</w:t>
      </w:r>
    </w:p>
    <w:p w14:paraId="2FDBF4E4" w14:textId="77777777" w:rsidR="0099767E" w:rsidRPr="003A5A0E" w:rsidRDefault="0099767E" w:rsidP="00C8300D">
      <w:pPr>
        <w:pStyle w:val="EndnoteText"/>
      </w:pPr>
    </w:p>
  </w:endnote>
  <w:endnote w:id="50">
    <w:p w14:paraId="244EAE70" w14:textId="77777777" w:rsidR="0099767E" w:rsidRPr="003A5A0E" w:rsidRDefault="0099767E" w:rsidP="00C8300D">
      <w:pPr>
        <w:pStyle w:val="EndnoteText"/>
      </w:pPr>
      <w:r w:rsidRPr="003A5A0E">
        <w:rPr>
          <w:rStyle w:val="EndnoteReference"/>
        </w:rPr>
        <w:endnoteRef/>
      </w:r>
      <w:r w:rsidRPr="003A5A0E">
        <w:t xml:space="preserve"> Grumbach, K., Vranizan, K., Bindman, A. (1997).  </w:t>
      </w:r>
      <w:r w:rsidRPr="003A5A0E">
        <w:rPr>
          <w:i/>
        </w:rPr>
        <w:t>Physician Supply and Access to Care in Urban Communities.</w:t>
      </w:r>
      <w:r w:rsidRPr="003A5A0E">
        <w:t xml:space="preserve">  Health Affairs.  </w:t>
      </w:r>
      <w:hyperlink r:id="rId25" w:history="1">
        <w:r w:rsidRPr="003A5A0E">
          <w:rPr>
            <w:rStyle w:val="Hyperlink"/>
          </w:rPr>
          <w:t>http://content.healthaffairs.org/content/16/1/71.full.pdf</w:t>
        </w:r>
      </w:hyperlink>
      <w:r w:rsidRPr="003A5A0E">
        <w:t xml:space="preserve"> </w:t>
      </w:r>
    </w:p>
    <w:p w14:paraId="7986CFD5" w14:textId="77777777" w:rsidR="0099767E" w:rsidRPr="003A5A0E" w:rsidRDefault="0099767E" w:rsidP="00C8300D">
      <w:pPr>
        <w:pStyle w:val="EndnoteText"/>
      </w:pPr>
    </w:p>
  </w:endnote>
  <w:endnote w:id="51">
    <w:p w14:paraId="43E013B7" w14:textId="77777777" w:rsidR="0099767E" w:rsidRPr="003A5A0E" w:rsidRDefault="0099767E" w:rsidP="00C8300D">
      <w:pPr>
        <w:pStyle w:val="EndnoteText"/>
      </w:pPr>
      <w:r w:rsidRPr="003A5A0E">
        <w:rPr>
          <w:rStyle w:val="EndnoteReference"/>
        </w:rPr>
        <w:endnoteRef/>
      </w:r>
      <w:r w:rsidRPr="003A5A0E">
        <w:t xml:space="preserve"> Petterson, S. (2013).</w:t>
      </w:r>
    </w:p>
    <w:p w14:paraId="06613EB5" w14:textId="77777777" w:rsidR="0099767E" w:rsidRPr="003A5A0E" w:rsidRDefault="0099767E" w:rsidP="00C8300D">
      <w:pPr>
        <w:pStyle w:val="EndnoteText"/>
      </w:pPr>
    </w:p>
  </w:endnote>
  <w:endnote w:id="52">
    <w:p w14:paraId="5BAF5675" w14:textId="77777777" w:rsidR="0099767E" w:rsidRPr="003A5A0E" w:rsidRDefault="0099767E" w:rsidP="00C8300D">
      <w:pPr>
        <w:pStyle w:val="EndnoteText"/>
      </w:pPr>
      <w:r w:rsidRPr="003A5A0E">
        <w:rPr>
          <w:rStyle w:val="EndnoteReference"/>
        </w:rPr>
        <w:endnoteRef/>
      </w:r>
      <w:r w:rsidRPr="003A5A0E">
        <w:t xml:space="preserve"> Ziller, E., Lenardson, J. (2009).  </w:t>
      </w:r>
      <w:r w:rsidRPr="003A5A0E">
        <w:rPr>
          <w:i/>
        </w:rPr>
        <w:t>Rural-Urban Differences in Health Care Access Vary Across Measures.</w:t>
      </w:r>
      <w:r w:rsidRPr="003A5A0E">
        <w:t xml:space="preserve">  University of Southern Maine, Muskie School of Public Service, Maine Rural Health Research Center.  </w:t>
      </w:r>
      <w:hyperlink r:id="rId26" w:history="1">
        <w:r w:rsidRPr="003A5A0E">
          <w:rPr>
            <w:rStyle w:val="Hyperlink"/>
          </w:rPr>
          <w:t>https://muskie.usm.maine.edu/Publications/rural/pb/Rural-Urban-Health-Care-Access.pdf</w:t>
        </w:r>
      </w:hyperlink>
      <w:r w:rsidRPr="003A5A0E">
        <w:t xml:space="preserve"> </w:t>
      </w:r>
    </w:p>
  </w:endnote>
  <w:endnote w:id="53">
    <w:p w14:paraId="7094A2E3" w14:textId="77777777" w:rsidR="0099767E" w:rsidRPr="003A5A0E" w:rsidRDefault="0099767E" w:rsidP="00C8300D">
      <w:pPr>
        <w:spacing w:before="120" w:after="120"/>
        <w:rPr>
          <w:rFonts w:asciiTheme="minorHAnsi" w:hAnsiTheme="minorHAnsi"/>
          <w:color w:val="0000FF"/>
          <w:sz w:val="20"/>
          <w:szCs w:val="20"/>
          <w:u w:val="single"/>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Coffman, J., Quinn, B., Brown, T., Scheffler, R. (June 2004). </w:t>
      </w:r>
      <w:r w:rsidRPr="003A5A0E">
        <w:rPr>
          <w:rFonts w:asciiTheme="minorHAnsi" w:hAnsiTheme="minorHAnsi"/>
          <w:i/>
          <w:sz w:val="20"/>
          <w:szCs w:val="20"/>
        </w:rPr>
        <w:t>Is There a Doctor in the House? An Examination of the Physician Workforce in California over the Past 25 Years.</w:t>
      </w:r>
      <w:r w:rsidRPr="003A5A0E">
        <w:rPr>
          <w:rFonts w:asciiTheme="minorHAnsi" w:hAnsiTheme="minorHAnsi"/>
          <w:sz w:val="20"/>
          <w:szCs w:val="20"/>
        </w:rPr>
        <w:t xml:space="preserve"> Petris School of Public Health at the University of California-Berkeley.</w:t>
      </w:r>
      <w:r w:rsidRPr="003A5A0E">
        <w:rPr>
          <w:rFonts w:asciiTheme="minorHAnsi" w:hAnsiTheme="minorHAnsi"/>
          <w:color w:val="000000"/>
          <w:sz w:val="20"/>
          <w:szCs w:val="20"/>
        </w:rPr>
        <w:t xml:space="preserve"> </w:t>
      </w:r>
      <w:r w:rsidRPr="003A5A0E">
        <w:rPr>
          <w:rStyle w:val="Hyperlink"/>
          <w:rFonts w:asciiTheme="minorHAnsi" w:hAnsiTheme="minorHAnsi"/>
          <w:sz w:val="20"/>
          <w:szCs w:val="20"/>
        </w:rPr>
        <w:t>http://healthforce.ucsf.edu/sites/healthforce.ucsf.edu/files/publication-pdf/IsThereDoctorHouse.pdf</w:t>
      </w:r>
    </w:p>
  </w:endnote>
  <w:endnote w:id="54">
    <w:p w14:paraId="1139DD3F" w14:textId="77777777" w:rsidR="0099767E" w:rsidRPr="003A5A0E" w:rsidRDefault="0099767E" w:rsidP="00C8300D">
      <w:pPr>
        <w:widowControl w:val="0"/>
        <w:tabs>
          <w:tab w:val="left" w:pos="90"/>
        </w:tabs>
        <w:autoSpaceDE w:val="0"/>
        <w:autoSpaceDN w:val="0"/>
        <w:adjustRightInd w:val="0"/>
        <w:spacing w:before="120" w:after="120"/>
        <w:rPr>
          <w:rFonts w:asciiTheme="minorHAnsi" w:hAnsiTheme="minorHAnsi"/>
          <w:color w:val="0000FF"/>
          <w:sz w:val="20"/>
          <w:szCs w:val="20"/>
          <w:u w:val="single"/>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Cunningham, P., Nichols, L. (2005). </w:t>
      </w:r>
      <w:r w:rsidRPr="003A5A0E">
        <w:rPr>
          <w:rFonts w:asciiTheme="minorHAnsi" w:hAnsiTheme="minorHAnsi"/>
          <w:i/>
          <w:sz w:val="20"/>
          <w:szCs w:val="20"/>
        </w:rPr>
        <w:t>The Effects of Medicaid Reimbursement on Access to Care of Medicaid Enrollees: A Community Perspective.</w:t>
      </w:r>
      <w:r w:rsidRPr="003A5A0E">
        <w:rPr>
          <w:rFonts w:asciiTheme="minorHAnsi" w:hAnsiTheme="minorHAnsi"/>
          <w:sz w:val="20"/>
          <w:szCs w:val="20"/>
        </w:rPr>
        <w:t xml:space="preserve"> Medical Care Research and Review.</w:t>
      </w:r>
      <w:r w:rsidRPr="003A5A0E">
        <w:rPr>
          <w:rFonts w:asciiTheme="minorHAnsi" w:hAnsiTheme="minorHAnsi"/>
          <w:color w:val="000000"/>
          <w:sz w:val="20"/>
          <w:szCs w:val="20"/>
        </w:rPr>
        <w:t xml:space="preserve"> </w:t>
      </w:r>
      <w:r w:rsidRPr="003A5A0E">
        <w:rPr>
          <w:rStyle w:val="Hyperlink"/>
          <w:rFonts w:asciiTheme="minorHAnsi" w:hAnsiTheme="minorHAnsi"/>
          <w:sz w:val="20"/>
          <w:szCs w:val="20"/>
        </w:rPr>
        <w:t>http://new.chpre.org/journal-the-effects-of-medicaid-reimbursement-on-access-to-care-of-medicaid-enrollees-a-community-perspective/</w:t>
      </w:r>
    </w:p>
  </w:endnote>
  <w:endnote w:id="55">
    <w:p w14:paraId="73E97A3F" w14:textId="77777777" w:rsidR="0099767E" w:rsidRPr="003A5A0E" w:rsidRDefault="0099767E" w:rsidP="00C8300D">
      <w:pPr>
        <w:widowControl w:val="0"/>
        <w:tabs>
          <w:tab w:val="left" w:pos="90"/>
        </w:tabs>
        <w:autoSpaceDE w:val="0"/>
        <w:autoSpaceDN w:val="0"/>
        <w:adjustRightInd w:val="0"/>
        <w:spacing w:before="120" w:after="120"/>
        <w:rPr>
          <w:rStyle w:val="Hyperlink"/>
          <w:rFonts w:asciiTheme="minorHAnsi" w:hAnsiTheme="minorHAnsi"/>
          <w:sz w:val="20"/>
          <w:szCs w:val="20"/>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Boukus, E., Cassil, A., O'Malley, A. (2009). </w:t>
      </w:r>
      <w:r w:rsidRPr="003A5A0E">
        <w:rPr>
          <w:rFonts w:asciiTheme="minorHAnsi" w:hAnsiTheme="minorHAnsi"/>
          <w:i/>
          <w:sz w:val="20"/>
          <w:szCs w:val="20"/>
        </w:rPr>
        <w:t>A Snapshot of U.S. Physicians: Key Findings from the 2008 Health Tracking Study Physician Survey.</w:t>
      </w:r>
      <w:r w:rsidRPr="003A5A0E">
        <w:rPr>
          <w:rFonts w:asciiTheme="minorHAnsi" w:hAnsiTheme="minorHAnsi"/>
          <w:sz w:val="20"/>
          <w:szCs w:val="20"/>
        </w:rPr>
        <w:t xml:space="preserve"> Center for Studying Health System Change. </w:t>
      </w:r>
      <w:hyperlink r:id="rId27" w:history="1">
        <w:r w:rsidRPr="003A5A0E">
          <w:rPr>
            <w:rStyle w:val="Hyperlink"/>
            <w:rFonts w:asciiTheme="minorHAnsi" w:hAnsiTheme="minorHAnsi"/>
            <w:sz w:val="20"/>
            <w:szCs w:val="20"/>
          </w:rPr>
          <w:t>http://www.hschange.com/CONTENT/1078/</w:t>
        </w:r>
      </w:hyperlink>
    </w:p>
  </w:endnote>
  <w:endnote w:id="56">
    <w:p w14:paraId="5F03C436" w14:textId="77777777" w:rsidR="0099767E" w:rsidRPr="003A5A0E" w:rsidRDefault="0099767E" w:rsidP="00C8300D">
      <w:pPr>
        <w:autoSpaceDE w:val="0"/>
        <w:autoSpaceDN w:val="0"/>
        <w:adjustRightInd w:val="0"/>
        <w:spacing w:before="120" w:after="120"/>
        <w:rPr>
          <w:rFonts w:asciiTheme="minorHAnsi" w:hAnsiTheme="minorHAnsi"/>
          <w:sz w:val="20"/>
          <w:szCs w:val="20"/>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Bricklin-Small, D., Thorsness, R. (September 2012). </w:t>
      </w:r>
      <w:r w:rsidRPr="003A5A0E">
        <w:rPr>
          <w:rFonts w:asciiTheme="minorHAnsi" w:hAnsiTheme="minorHAnsi"/>
          <w:i/>
          <w:sz w:val="20"/>
          <w:szCs w:val="20"/>
        </w:rPr>
        <w:t>Implementing the Medicaid Primary Care Rate Increase to Improve Access to Care.</w:t>
      </w:r>
      <w:r w:rsidRPr="003A5A0E">
        <w:rPr>
          <w:rFonts w:asciiTheme="minorHAnsi" w:hAnsiTheme="minorHAnsi"/>
          <w:sz w:val="20"/>
          <w:szCs w:val="20"/>
        </w:rPr>
        <w:t xml:space="preserve"> Center for Health Care Strategies, Inc. </w:t>
      </w:r>
      <w:hyperlink r:id="rId28" w:history="1">
        <w:r w:rsidRPr="003A5A0E">
          <w:rPr>
            <w:rStyle w:val="Hyperlink"/>
            <w:rFonts w:asciiTheme="minorHAnsi" w:hAnsiTheme="minorHAnsi"/>
            <w:sz w:val="20"/>
            <w:szCs w:val="20"/>
          </w:rPr>
          <w:t>http://www.chcs.org/media/Implementing_the_Medicaid_Primary_Care_Rate_Increase__092812.pdf</w:t>
        </w:r>
      </w:hyperlink>
      <w:r w:rsidRPr="003A5A0E">
        <w:rPr>
          <w:rFonts w:asciiTheme="minorHAnsi" w:hAnsiTheme="minorHAnsi"/>
          <w:sz w:val="20"/>
          <w:szCs w:val="20"/>
        </w:rPr>
        <w:t xml:space="preserve"> </w:t>
      </w:r>
    </w:p>
  </w:endnote>
  <w:endnote w:id="57">
    <w:p w14:paraId="2E8B393D" w14:textId="77777777" w:rsidR="0099767E" w:rsidRPr="003A5A0E" w:rsidRDefault="0099767E" w:rsidP="00C8300D">
      <w:pPr>
        <w:pStyle w:val="authors"/>
        <w:spacing w:before="120" w:beforeAutospacing="0" w:after="120" w:afterAutospacing="0" w:line="240" w:lineRule="auto"/>
        <w:rPr>
          <w:rFonts w:asciiTheme="minorHAnsi" w:hAnsiTheme="minorHAnsi"/>
          <w:sz w:val="20"/>
          <w:szCs w:val="20"/>
        </w:rPr>
      </w:pPr>
      <w:r w:rsidRPr="003A5A0E">
        <w:rPr>
          <w:rStyle w:val="EndnoteReference"/>
          <w:rFonts w:asciiTheme="minorHAnsi" w:eastAsiaTheme="majorEastAsia" w:hAnsiTheme="minorHAnsi"/>
          <w:sz w:val="20"/>
          <w:szCs w:val="20"/>
        </w:rPr>
        <w:endnoteRef/>
      </w:r>
      <w:r w:rsidRPr="003A5A0E">
        <w:rPr>
          <w:rStyle w:val="EndnoteReference"/>
          <w:rFonts w:asciiTheme="minorHAnsi" w:eastAsiaTheme="majorEastAsia" w:hAnsiTheme="minorHAnsi"/>
          <w:sz w:val="20"/>
          <w:szCs w:val="20"/>
        </w:rPr>
        <w:t xml:space="preserve"> </w:t>
      </w:r>
      <w:r w:rsidRPr="003A5A0E">
        <w:rPr>
          <w:rFonts w:asciiTheme="minorHAnsi" w:hAnsiTheme="minorHAnsi"/>
          <w:sz w:val="20"/>
          <w:szCs w:val="20"/>
        </w:rPr>
        <w:t xml:space="preserve">Polsky, D., Richards, M., Basseyn, S., Wissoker, D., Kenney, G., Zuckerman, S., Rhodes, K. (2015). </w:t>
      </w:r>
      <w:r w:rsidRPr="003A5A0E">
        <w:rPr>
          <w:rFonts w:asciiTheme="minorHAnsi" w:hAnsiTheme="minorHAnsi"/>
          <w:i/>
          <w:sz w:val="20"/>
          <w:szCs w:val="20"/>
        </w:rPr>
        <w:t>Appointment Availability After Increases in Medicaid Payments for Primary Care.</w:t>
      </w:r>
      <w:r w:rsidRPr="003A5A0E">
        <w:rPr>
          <w:rFonts w:asciiTheme="minorHAnsi" w:hAnsiTheme="minorHAnsi"/>
          <w:sz w:val="20"/>
          <w:szCs w:val="20"/>
        </w:rPr>
        <w:t xml:space="preserve"> New England Journal of Medicine. </w:t>
      </w:r>
      <w:hyperlink r:id="rId29" w:history="1">
        <w:r w:rsidRPr="003A5A0E">
          <w:rPr>
            <w:rStyle w:val="Hyperlink"/>
            <w:rFonts w:asciiTheme="minorHAnsi" w:hAnsiTheme="minorHAnsi"/>
            <w:sz w:val="20"/>
            <w:szCs w:val="20"/>
          </w:rPr>
          <w:t>http://www.nejm.org/doi/full/10.1056/nejmsa1413299</w:t>
        </w:r>
      </w:hyperlink>
      <w:r w:rsidRPr="003A5A0E">
        <w:rPr>
          <w:rFonts w:asciiTheme="minorHAnsi" w:hAnsiTheme="minorHAnsi"/>
          <w:sz w:val="20"/>
          <w:szCs w:val="20"/>
        </w:rPr>
        <w:t xml:space="preserve"> </w:t>
      </w:r>
    </w:p>
  </w:endnote>
  <w:endnote w:id="58">
    <w:p w14:paraId="2E1FA909" w14:textId="77777777" w:rsidR="0099767E" w:rsidRPr="003A5A0E" w:rsidRDefault="0099767E" w:rsidP="00C8300D">
      <w:pPr>
        <w:shd w:val="clear" w:color="auto" w:fill="FFFFFF"/>
        <w:spacing w:before="120" w:after="120"/>
        <w:rPr>
          <w:rStyle w:val="Hyperlink"/>
          <w:rFonts w:asciiTheme="minorHAnsi" w:hAnsiTheme="minorHAnsi"/>
          <w:sz w:val="20"/>
          <w:szCs w:val="20"/>
        </w:rPr>
      </w:pPr>
      <w:r w:rsidRPr="003A5A0E">
        <w:rPr>
          <w:rStyle w:val="EndnoteReference"/>
          <w:rFonts w:asciiTheme="minorHAnsi" w:eastAsiaTheme="majorEastAsia" w:hAnsiTheme="minorHAnsi"/>
          <w:sz w:val="20"/>
          <w:szCs w:val="20"/>
        </w:rPr>
        <w:endnoteRef/>
      </w:r>
      <w:r w:rsidRPr="003A5A0E">
        <w:rPr>
          <w:rStyle w:val="EndnoteReference"/>
          <w:rFonts w:asciiTheme="minorHAnsi" w:eastAsiaTheme="majorEastAsia" w:hAnsiTheme="minorHAnsi"/>
          <w:sz w:val="20"/>
          <w:szCs w:val="20"/>
        </w:rPr>
        <w:t xml:space="preserve"> </w:t>
      </w:r>
      <w:r w:rsidRPr="003A5A0E">
        <w:rPr>
          <w:rFonts w:asciiTheme="minorHAnsi" w:hAnsiTheme="minorHAnsi"/>
          <w:sz w:val="20"/>
          <w:szCs w:val="20"/>
        </w:rPr>
        <w:t xml:space="preserve">Cossman, J., Ritchie, J., Cosby, A. (November 2006). </w:t>
      </w:r>
      <w:r w:rsidRPr="003A5A0E">
        <w:rPr>
          <w:rFonts w:asciiTheme="minorHAnsi" w:hAnsiTheme="minorHAnsi"/>
          <w:i/>
          <w:sz w:val="20"/>
          <w:szCs w:val="20"/>
        </w:rPr>
        <w:t>Medicaid Reimbursement and Access to Physicians: Does Lower Reimbursement Mean Less Access to Care?</w:t>
      </w:r>
      <w:r w:rsidRPr="003A5A0E">
        <w:rPr>
          <w:rFonts w:asciiTheme="minorHAnsi" w:hAnsiTheme="minorHAnsi"/>
          <w:sz w:val="20"/>
          <w:szCs w:val="20"/>
        </w:rPr>
        <w:t xml:space="preserve"> </w:t>
      </w:r>
      <w:hyperlink r:id="rId30" w:history="1">
        <w:r w:rsidRPr="003A5A0E">
          <w:rPr>
            <w:rFonts w:asciiTheme="minorHAnsi" w:hAnsiTheme="minorHAnsi"/>
            <w:sz w:val="20"/>
            <w:szCs w:val="20"/>
          </w:rPr>
          <w:t>Journal of the Mississippi State Medical Association</w:t>
        </w:r>
      </w:hyperlink>
      <w:r w:rsidRPr="003A5A0E">
        <w:rPr>
          <w:rFonts w:asciiTheme="minorHAnsi" w:hAnsiTheme="minorHAnsi"/>
          <w:sz w:val="20"/>
          <w:szCs w:val="20"/>
        </w:rPr>
        <w:t xml:space="preserve">. </w:t>
      </w:r>
      <w:hyperlink r:id="rId31" w:history="1">
        <w:r w:rsidRPr="003A5A0E">
          <w:rPr>
            <w:rStyle w:val="Hyperlink"/>
            <w:rFonts w:asciiTheme="minorHAnsi" w:hAnsiTheme="minorHAnsi"/>
            <w:sz w:val="20"/>
            <w:szCs w:val="20"/>
          </w:rPr>
          <w:t>https://www.researchgate.net/publication/5901707_Medicaid_reimbursement_and_access_to_physicians_does_lower_reimbursement_mean_less_access_to_care</w:t>
        </w:r>
      </w:hyperlink>
      <w:r w:rsidRPr="003A5A0E">
        <w:rPr>
          <w:rStyle w:val="Hyperlink"/>
          <w:rFonts w:asciiTheme="minorHAnsi" w:hAnsiTheme="minorHAnsi"/>
          <w:sz w:val="20"/>
          <w:szCs w:val="20"/>
        </w:rPr>
        <w:t xml:space="preserve"> </w:t>
      </w:r>
    </w:p>
  </w:endnote>
  <w:endnote w:id="59">
    <w:p w14:paraId="0FA489E0" w14:textId="77777777" w:rsidR="0099767E" w:rsidRPr="003A5A0E" w:rsidRDefault="0099767E" w:rsidP="00C8300D">
      <w:pPr>
        <w:pStyle w:val="EndnoteText"/>
      </w:pPr>
      <w:r w:rsidRPr="003A5A0E">
        <w:rPr>
          <w:rStyle w:val="EndnoteReference"/>
        </w:rPr>
        <w:endnoteRef/>
      </w:r>
      <w:r w:rsidRPr="003A5A0E">
        <w:t xml:space="preserve"> Polsky, D. (2015).</w:t>
      </w:r>
    </w:p>
  </w:endnote>
  <w:endnote w:id="60">
    <w:p w14:paraId="364A146B" w14:textId="77777777" w:rsidR="0099767E" w:rsidRPr="003A5A0E" w:rsidRDefault="0099767E" w:rsidP="00C8300D">
      <w:pPr>
        <w:pStyle w:val="EndnoteText"/>
        <w:spacing w:before="120" w:after="120"/>
      </w:pPr>
      <w:r w:rsidRPr="003A5A0E">
        <w:rPr>
          <w:rStyle w:val="EndnoteReference"/>
        </w:rPr>
        <w:endnoteRef/>
      </w:r>
      <w:r w:rsidRPr="003A5A0E">
        <w:t xml:space="preserve"> Blumenthal, D. (June 2015).</w:t>
      </w:r>
    </w:p>
  </w:endnote>
  <w:endnote w:id="61">
    <w:p w14:paraId="52FE0FA2" w14:textId="77777777" w:rsidR="0099767E" w:rsidRPr="003A5A0E" w:rsidRDefault="0099767E" w:rsidP="00C8300D">
      <w:pPr>
        <w:widowControl w:val="0"/>
        <w:tabs>
          <w:tab w:val="left" w:pos="90"/>
        </w:tabs>
        <w:autoSpaceDE w:val="0"/>
        <w:autoSpaceDN w:val="0"/>
        <w:adjustRightInd w:val="0"/>
        <w:spacing w:before="120" w:after="120"/>
        <w:rPr>
          <w:rFonts w:asciiTheme="minorHAnsi" w:hAnsiTheme="minorHAnsi"/>
          <w:color w:val="0000FF"/>
          <w:sz w:val="20"/>
          <w:szCs w:val="20"/>
          <w:u w:val="single"/>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Cunningham, P., May, J. (2006). </w:t>
      </w:r>
      <w:r w:rsidRPr="003A5A0E">
        <w:rPr>
          <w:rFonts w:asciiTheme="minorHAnsi" w:hAnsiTheme="minorHAnsi"/>
          <w:i/>
          <w:sz w:val="20"/>
          <w:szCs w:val="20"/>
        </w:rPr>
        <w:t>Medicaid Patients Increasingly Concentrated Among Physicians.</w:t>
      </w:r>
      <w:r w:rsidRPr="003A5A0E">
        <w:rPr>
          <w:rFonts w:asciiTheme="minorHAnsi" w:hAnsiTheme="minorHAnsi"/>
          <w:sz w:val="20"/>
          <w:szCs w:val="20"/>
        </w:rPr>
        <w:t xml:space="preserve"> Center for Studying Health System Change.</w:t>
      </w:r>
      <w:r w:rsidRPr="003A5A0E">
        <w:rPr>
          <w:rFonts w:asciiTheme="minorHAnsi" w:hAnsiTheme="minorHAnsi"/>
          <w:color w:val="000000"/>
          <w:sz w:val="20"/>
          <w:szCs w:val="20"/>
        </w:rPr>
        <w:t xml:space="preserve"> </w:t>
      </w:r>
      <w:hyperlink r:id="rId32" w:history="1">
        <w:r w:rsidRPr="003A5A0E">
          <w:rPr>
            <w:rStyle w:val="Hyperlink"/>
            <w:rFonts w:asciiTheme="minorHAnsi" w:hAnsiTheme="minorHAnsi"/>
            <w:sz w:val="20"/>
            <w:szCs w:val="20"/>
          </w:rPr>
          <w:t>http://www.hschange.com/CONTENT/866/</w:t>
        </w:r>
      </w:hyperlink>
    </w:p>
  </w:endnote>
  <w:endnote w:id="62">
    <w:p w14:paraId="77AA8D9E" w14:textId="77777777" w:rsidR="0099767E" w:rsidRPr="003A5A0E" w:rsidRDefault="0099767E" w:rsidP="00C8300D">
      <w:pPr>
        <w:pStyle w:val="EndnoteText"/>
        <w:spacing w:before="120" w:after="120"/>
      </w:pPr>
      <w:r w:rsidRPr="003A5A0E">
        <w:rPr>
          <w:rStyle w:val="EndnoteReference"/>
        </w:rPr>
        <w:endnoteRef/>
      </w:r>
      <w:r w:rsidRPr="003A5A0E">
        <w:t xml:space="preserve"> Kushel, M., Gupta, R., Gee, L., Haas, J. (January 2006). </w:t>
      </w:r>
      <w:r w:rsidRPr="003A5A0E">
        <w:rPr>
          <w:rStyle w:val="maintitle"/>
          <w:i/>
          <w:lang w:val="en"/>
        </w:rPr>
        <w:t>Housing Instability and Food Insecurity as Barriers to Health Care Among Low-Income Americans.</w:t>
      </w:r>
      <w:r w:rsidRPr="003A5A0E">
        <w:rPr>
          <w:rStyle w:val="maintitle"/>
          <w:lang w:val="en"/>
        </w:rPr>
        <w:t xml:space="preserve"> </w:t>
      </w:r>
      <w:r w:rsidRPr="003A5A0E">
        <w:rPr>
          <w:lang w:val="en"/>
        </w:rPr>
        <w:t xml:space="preserve">Journal of General Internal Medicine. </w:t>
      </w:r>
      <w:hyperlink r:id="rId33" w:history="1">
        <w:r w:rsidRPr="003A5A0E">
          <w:rPr>
            <w:rStyle w:val="Hyperlink"/>
            <w:lang w:val="en"/>
          </w:rPr>
          <w:t>http://onlinelibrary.wiley.com/doi/10.1111/j.1525-1497.2005.00278.x/full</w:t>
        </w:r>
      </w:hyperlink>
      <w:r w:rsidRPr="003A5A0E">
        <w:rPr>
          <w:lang w:val="en"/>
        </w:rPr>
        <w:t xml:space="preserve"> </w:t>
      </w:r>
    </w:p>
  </w:endnote>
  <w:endnote w:id="63">
    <w:p w14:paraId="6507E972" w14:textId="77777777" w:rsidR="0099767E" w:rsidRPr="003A5A0E" w:rsidRDefault="0099767E" w:rsidP="00C8300D">
      <w:pPr>
        <w:autoSpaceDE w:val="0"/>
        <w:autoSpaceDN w:val="0"/>
        <w:adjustRightInd w:val="0"/>
        <w:spacing w:before="120" w:after="120"/>
        <w:rPr>
          <w:rFonts w:asciiTheme="minorHAnsi" w:hAnsiTheme="minorHAnsi"/>
          <w:sz w:val="20"/>
          <w:szCs w:val="20"/>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DeVoe, J., Baez, A., Angier, H., Krois, L., Edlund, C., Carney, P. (November/December 2007). </w:t>
      </w:r>
      <w:r w:rsidRPr="003A5A0E">
        <w:rPr>
          <w:rFonts w:asciiTheme="minorHAnsi" w:hAnsiTheme="minorHAnsi"/>
          <w:i/>
          <w:sz w:val="20"/>
          <w:szCs w:val="20"/>
        </w:rPr>
        <w:t>Insurance + Access ≠ Health Care: Typology of Barriers to Health Care Access for Low-Income Families.</w:t>
      </w:r>
      <w:r w:rsidRPr="003A5A0E">
        <w:rPr>
          <w:rFonts w:asciiTheme="minorHAnsi" w:hAnsiTheme="minorHAnsi"/>
          <w:sz w:val="20"/>
          <w:szCs w:val="20"/>
        </w:rPr>
        <w:t xml:space="preserve"> Annals of Family Medicine. </w:t>
      </w:r>
      <w:hyperlink r:id="rId34" w:history="1">
        <w:r w:rsidRPr="003A5A0E">
          <w:rPr>
            <w:rStyle w:val="Hyperlink"/>
            <w:rFonts w:asciiTheme="minorHAnsi" w:hAnsiTheme="minorHAnsi"/>
            <w:sz w:val="20"/>
            <w:szCs w:val="20"/>
          </w:rPr>
          <w:t>http://www.annfammed.org/content/5/6/511.full.pdf+html</w:t>
        </w:r>
      </w:hyperlink>
      <w:r w:rsidRPr="003A5A0E">
        <w:rPr>
          <w:rFonts w:asciiTheme="minorHAnsi" w:hAnsiTheme="minorHAnsi"/>
          <w:sz w:val="20"/>
          <w:szCs w:val="20"/>
        </w:rPr>
        <w:t xml:space="preserve"> </w:t>
      </w:r>
    </w:p>
  </w:endnote>
  <w:endnote w:id="64">
    <w:p w14:paraId="7B93AEC6" w14:textId="77777777" w:rsidR="0099767E" w:rsidRPr="003A5A0E" w:rsidRDefault="0099767E" w:rsidP="00C8300D">
      <w:pPr>
        <w:widowControl w:val="0"/>
        <w:tabs>
          <w:tab w:val="left" w:pos="90"/>
        </w:tabs>
        <w:autoSpaceDE w:val="0"/>
        <w:autoSpaceDN w:val="0"/>
        <w:adjustRightInd w:val="0"/>
        <w:spacing w:before="120" w:after="120"/>
        <w:rPr>
          <w:rFonts w:asciiTheme="minorHAnsi" w:hAnsiTheme="minorHAnsi"/>
          <w:color w:val="0000FF"/>
          <w:sz w:val="20"/>
          <w:szCs w:val="20"/>
          <w:u w:val="single"/>
        </w:rPr>
      </w:pPr>
      <w:r w:rsidRPr="003A5A0E">
        <w:rPr>
          <w:rStyle w:val="EndnoteReference"/>
          <w:rFonts w:asciiTheme="minorHAnsi" w:eastAsiaTheme="majorEastAsia" w:hAnsiTheme="minorHAnsi"/>
          <w:sz w:val="20"/>
          <w:szCs w:val="20"/>
        </w:rPr>
        <w:endnoteRef/>
      </w:r>
      <w:r w:rsidRPr="003A5A0E">
        <w:rPr>
          <w:rStyle w:val="EndnoteReference"/>
          <w:rFonts w:asciiTheme="minorHAnsi" w:eastAsiaTheme="majorEastAsia" w:hAnsiTheme="minorHAnsi"/>
          <w:sz w:val="20"/>
          <w:szCs w:val="20"/>
        </w:rPr>
        <w:t xml:space="preserve"> </w:t>
      </w:r>
      <w:r w:rsidRPr="003A5A0E">
        <w:rPr>
          <w:rFonts w:asciiTheme="minorHAnsi" w:hAnsiTheme="minorHAnsi"/>
          <w:sz w:val="20"/>
          <w:szCs w:val="20"/>
        </w:rPr>
        <w:t xml:space="preserve">Hall, A., Lemak, C., Steingraber, H., Shaffer, S. (2008). </w:t>
      </w:r>
      <w:r w:rsidRPr="003A5A0E">
        <w:rPr>
          <w:rFonts w:asciiTheme="minorHAnsi" w:hAnsiTheme="minorHAnsi"/>
          <w:i/>
          <w:sz w:val="20"/>
          <w:szCs w:val="20"/>
        </w:rPr>
        <w:t>Expanding the Definition of Access: It Isn’t Just About Health Insurance.</w:t>
      </w:r>
      <w:r w:rsidRPr="003A5A0E">
        <w:rPr>
          <w:rFonts w:asciiTheme="minorHAnsi" w:hAnsiTheme="minorHAnsi"/>
          <w:sz w:val="20"/>
          <w:szCs w:val="20"/>
        </w:rPr>
        <w:t xml:space="preserve"> Journal of Health Care for the Poor and Underserved.</w:t>
      </w:r>
    </w:p>
  </w:endnote>
  <w:endnote w:id="65">
    <w:p w14:paraId="6BA4E580" w14:textId="77777777" w:rsidR="0099767E" w:rsidRPr="003A5A0E" w:rsidRDefault="0099767E" w:rsidP="00C8300D">
      <w:pPr>
        <w:pStyle w:val="EndnoteText"/>
        <w:spacing w:before="120" w:after="120"/>
      </w:pPr>
      <w:r w:rsidRPr="003A5A0E">
        <w:rPr>
          <w:rStyle w:val="EndnoteReference"/>
        </w:rPr>
        <w:endnoteRef/>
      </w:r>
      <w:r w:rsidRPr="003A5A0E">
        <w:rPr>
          <w:rStyle w:val="EndnoteReference"/>
        </w:rPr>
        <w:t xml:space="preserve"> </w:t>
      </w:r>
      <w:hyperlink r:id="rId35" w:history="1">
        <w:r w:rsidRPr="003A5A0E">
          <w:t>Kullgren</w:t>
        </w:r>
      </w:hyperlink>
      <w:r w:rsidRPr="003A5A0E">
        <w:t xml:space="preserve">, J., </w:t>
      </w:r>
      <w:hyperlink r:id="rId36" w:history="1">
        <w:r w:rsidRPr="003A5A0E">
          <w:t>McLaughlin</w:t>
        </w:r>
      </w:hyperlink>
      <w:r w:rsidRPr="003A5A0E">
        <w:t xml:space="preserve">, C., </w:t>
      </w:r>
      <w:hyperlink r:id="rId37" w:history="1">
        <w:r w:rsidRPr="003A5A0E">
          <w:t>Mitra</w:t>
        </w:r>
      </w:hyperlink>
      <w:r w:rsidRPr="003A5A0E">
        <w:t xml:space="preserve">, N., Armstrong, K. (February 2012). </w:t>
      </w:r>
      <w:r w:rsidRPr="003A5A0E">
        <w:rPr>
          <w:i/>
          <w:lang w:val="en"/>
        </w:rPr>
        <w:t>Nonfinancial Barriers and Access to Care for U.S. Adults.</w:t>
      </w:r>
      <w:r w:rsidRPr="003A5A0E">
        <w:rPr>
          <w:lang w:val="en"/>
        </w:rPr>
        <w:t xml:space="preserve"> Health Services Research. </w:t>
      </w:r>
      <w:hyperlink r:id="rId38" w:history="1">
        <w:r w:rsidRPr="003A5A0E">
          <w:rPr>
            <w:rStyle w:val="Hyperlink"/>
            <w:lang w:val="en"/>
          </w:rPr>
          <w:t>http://www.ncbi.nlm.nih.gov/pmc/articles/PMC3393009/</w:t>
        </w:r>
      </w:hyperlink>
      <w:r w:rsidRPr="003A5A0E">
        <w:rPr>
          <w:lang w:val="en"/>
        </w:rPr>
        <w:t xml:space="preserve"> </w:t>
      </w:r>
    </w:p>
  </w:endnote>
  <w:endnote w:id="66">
    <w:p w14:paraId="30055E34" w14:textId="77777777" w:rsidR="0099767E" w:rsidRPr="003A5A0E" w:rsidRDefault="0099767E" w:rsidP="00C8300D">
      <w:pPr>
        <w:pStyle w:val="EndnoteText"/>
        <w:spacing w:before="120" w:after="120"/>
      </w:pPr>
      <w:r w:rsidRPr="003A5A0E">
        <w:rPr>
          <w:rStyle w:val="EndnoteReference"/>
        </w:rPr>
        <w:endnoteRef/>
      </w:r>
      <w:r w:rsidRPr="003A5A0E">
        <w:t xml:space="preserve"> Kushel, M. (January 2006).</w:t>
      </w:r>
    </w:p>
  </w:endnote>
  <w:endnote w:id="67">
    <w:p w14:paraId="58FBD0B9" w14:textId="77777777" w:rsidR="0099767E" w:rsidRPr="003A5A0E" w:rsidRDefault="0099767E" w:rsidP="00C8300D">
      <w:pPr>
        <w:pStyle w:val="EndnoteText"/>
        <w:spacing w:before="120" w:after="120"/>
      </w:pPr>
      <w:r w:rsidRPr="003A5A0E">
        <w:rPr>
          <w:rStyle w:val="EndnoteReference"/>
        </w:rPr>
        <w:endnoteRef/>
      </w:r>
      <w:r w:rsidRPr="003A5A0E">
        <w:t xml:space="preserve"> Kullgren, J. (February 2012).</w:t>
      </w:r>
    </w:p>
  </w:endnote>
  <w:endnote w:id="68">
    <w:p w14:paraId="4F832F42" w14:textId="77777777" w:rsidR="0099767E" w:rsidRPr="003A5A0E" w:rsidRDefault="0099767E" w:rsidP="00C8300D">
      <w:pPr>
        <w:pStyle w:val="EndnoteText"/>
        <w:spacing w:before="120" w:after="120"/>
      </w:pPr>
      <w:r w:rsidRPr="003A5A0E">
        <w:rPr>
          <w:rStyle w:val="EndnoteReference"/>
        </w:rPr>
        <w:endnoteRef/>
      </w:r>
      <w:r w:rsidRPr="003A5A0E">
        <w:t xml:space="preserve"> Hall, A. (2008).</w:t>
      </w:r>
    </w:p>
  </w:endnote>
  <w:endnote w:id="69">
    <w:p w14:paraId="76B8DFF3" w14:textId="77777777" w:rsidR="0099767E" w:rsidRPr="003A5A0E" w:rsidRDefault="0099767E" w:rsidP="00C8300D">
      <w:pPr>
        <w:widowControl w:val="0"/>
        <w:tabs>
          <w:tab w:val="left" w:pos="840"/>
        </w:tabs>
        <w:autoSpaceDE w:val="0"/>
        <w:autoSpaceDN w:val="0"/>
        <w:adjustRightInd w:val="0"/>
        <w:spacing w:before="120" w:after="120"/>
        <w:rPr>
          <w:rFonts w:asciiTheme="minorHAnsi" w:hAnsiTheme="minorHAnsi"/>
          <w:color w:val="0000FF"/>
          <w:sz w:val="20"/>
          <w:szCs w:val="20"/>
          <w:u w:val="single"/>
          <w:lang w:val="en"/>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Baker, D., Stevens, C., Brook R. (1996). </w:t>
      </w:r>
      <w:r w:rsidRPr="003A5A0E">
        <w:rPr>
          <w:rFonts w:asciiTheme="minorHAnsi" w:hAnsiTheme="minorHAnsi"/>
          <w:i/>
          <w:sz w:val="20"/>
          <w:szCs w:val="20"/>
        </w:rPr>
        <w:t>Determinants of Emergency Department Use: Are Race and Ethnicity Important?</w:t>
      </w:r>
      <w:r w:rsidRPr="003A5A0E">
        <w:rPr>
          <w:rFonts w:asciiTheme="minorHAnsi" w:hAnsiTheme="minorHAnsi"/>
          <w:sz w:val="20"/>
          <w:szCs w:val="20"/>
        </w:rPr>
        <w:t xml:space="preserve"> Annals of Emergency Medicine. </w:t>
      </w:r>
      <w:hyperlink r:id="rId39" w:history="1">
        <w:r w:rsidRPr="003A5A0E">
          <w:rPr>
            <w:rStyle w:val="Hyperlink"/>
            <w:rFonts w:asciiTheme="minorHAnsi" w:hAnsiTheme="minorHAnsi"/>
            <w:sz w:val="20"/>
            <w:szCs w:val="20"/>
            <w:lang w:val="en"/>
          </w:rPr>
          <w:t>http://www.annemergmed.com/article/S0196-0644(96)70093-8/abstract</w:t>
        </w:r>
      </w:hyperlink>
    </w:p>
  </w:endnote>
  <w:endnote w:id="70">
    <w:p w14:paraId="2D74597A" w14:textId="77777777" w:rsidR="0099767E" w:rsidRPr="003A5A0E" w:rsidRDefault="0099767E" w:rsidP="00C8300D">
      <w:pPr>
        <w:widowControl w:val="0"/>
        <w:tabs>
          <w:tab w:val="left" w:pos="90"/>
        </w:tabs>
        <w:autoSpaceDE w:val="0"/>
        <w:autoSpaceDN w:val="0"/>
        <w:adjustRightInd w:val="0"/>
        <w:spacing w:before="120" w:after="120"/>
        <w:rPr>
          <w:rFonts w:asciiTheme="minorHAnsi" w:hAnsiTheme="minorHAnsi"/>
          <w:color w:val="0000FF"/>
          <w:sz w:val="20"/>
          <w:szCs w:val="20"/>
          <w:u w:val="single"/>
          <w:lang w:val="en"/>
        </w:rPr>
      </w:pPr>
      <w:r w:rsidRPr="003A5A0E">
        <w:rPr>
          <w:rStyle w:val="EndnoteReference"/>
          <w:rFonts w:asciiTheme="minorHAnsi" w:eastAsiaTheme="majorEastAsia" w:hAnsiTheme="minorHAnsi"/>
          <w:sz w:val="20"/>
          <w:szCs w:val="20"/>
        </w:rPr>
        <w:endnoteRef/>
      </w:r>
      <w:r w:rsidRPr="003A5A0E">
        <w:rPr>
          <w:rFonts w:asciiTheme="minorHAnsi" w:hAnsiTheme="minorHAnsi"/>
          <w:sz w:val="20"/>
          <w:szCs w:val="20"/>
        </w:rPr>
        <w:t xml:space="preserve"> Rask, K., Williams, M., Parker, R., McNagny, S. (1994). </w:t>
      </w:r>
      <w:r w:rsidRPr="003A5A0E">
        <w:rPr>
          <w:rFonts w:asciiTheme="minorHAnsi" w:hAnsiTheme="minorHAnsi"/>
          <w:i/>
          <w:sz w:val="20"/>
          <w:szCs w:val="20"/>
        </w:rPr>
        <w:t>Obstacles Predicting Lack of a Regular Provider and Delays in Seeking Care for Patients at an Urban Public Hospital.</w:t>
      </w:r>
      <w:r w:rsidRPr="003A5A0E">
        <w:rPr>
          <w:rFonts w:asciiTheme="minorHAnsi" w:hAnsiTheme="minorHAnsi"/>
          <w:sz w:val="20"/>
          <w:szCs w:val="20"/>
        </w:rPr>
        <w:t xml:space="preserve"> Journal of the American Medical Association.</w:t>
      </w:r>
      <w:r w:rsidRPr="003A5A0E">
        <w:rPr>
          <w:rFonts w:asciiTheme="minorHAnsi" w:hAnsiTheme="minorHAnsi"/>
          <w:color w:val="000000"/>
          <w:sz w:val="20"/>
          <w:szCs w:val="20"/>
        </w:rPr>
        <w:t xml:space="preserve"> </w:t>
      </w:r>
      <w:hyperlink r:id="rId40" w:history="1">
        <w:r w:rsidRPr="003A5A0E">
          <w:rPr>
            <w:rStyle w:val="Hyperlink"/>
            <w:rFonts w:asciiTheme="minorHAnsi" w:hAnsiTheme="minorHAnsi"/>
            <w:sz w:val="20"/>
            <w:szCs w:val="20"/>
            <w:lang w:val="en"/>
          </w:rPr>
          <w:t>http://jama.ama-assn.org/content/271/24/1931.abstract</w:t>
        </w:r>
      </w:hyperlink>
    </w:p>
  </w:endnote>
  <w:endnote w:id="71">
    <w:p w14:paraId="63995BE2" w14:textId="77777777" w:rsidR="0099767E" w:rsidRPr="003A5A0E" w:rsidRDefault="0099767E" w:rsidP="00C8300D">
      <w:pPr>
        <w:pStyle w:val="EndnoteText"/>
        <w:spacing w:before="120" w:after="120"/>
      </w:pPr>
      <w:r w:rsidRPr="003A5A0E">
        <w:rPr>
          <w:rStyle w:val="EndnoteReference"/>
        </w:rPr>
        <w:endnoteRef/>
      </w:r>
      <w:r w:rsidRPr="003A5A0E">
        <w:t xml:space="preserve"> Kullgren, J. (February 2012).</w:t>
      </w:r>
    </w:p>
  </w:endnote>
  <w:endnote w:id="72">
    <w:p w14:paraId="0D66E0A5" w14:textId="77777777" w:rsidR="0099767E" w:rsidRPr="003A5A0E" w:rsidRDefault="0099767E" w:rsidP="00C8300D">
      <w:pPr>
        <w:pStyle w:val="EndnoteText"/>
        <w:spacing w:before="120" w:after="120"/>
      </w:pPr>
      <w:r w:rsidRPr="003A5A0E">
        <w:rPr>
          <w:rStyle w:val="EndnoteReference"/>
        </w:rPr>
        <w:endnoteRef/>
      </w:r>
      <w:r w:rsidRPr="003A5A0E">
        <w:t xml:space="preserve"> Andersen, R. (1995). </w:t>
      </w:r>
      <w:r w:rsidRPr="003A5A0E">
        <w:rPr>
          <w:i/>
        </w:rPr>
        <w:t>Revisiting the Behavioral Model and Access to Medical Care: Does It Matter?</w:t>
      </w:r>
      <w:r w:rsidRPr="003A5A0E">
        <w:t xml:space="preserve"> Journal of Health and Social Behavior. </w:t>
      </w:r>
      <w:hyperlink r:id="rId41" w:history="1">
        <w:r w:rsidRPr="003A5A0E">
          <w:rPr>
            <w:rStyle w:val="Hyperlink"/>
          </w:rPr>
          <w:t>http://mph.ufl.edu/files/2012/01/session6april2RevisitingBehavioralModel.pdf</w:t>
        </w:r>
      </w:hyperlink>
      <w:r w:rsidRPr="003A5A0E">
        <w:t xml:space="preserve"> </w:t>
      </w:r>
    </w:p>
  </w:endnote>
  <w:endnote w:id="73">
    <w:p w14:paraId="3EC4D0DD" w14:textId="77777777" w:rsidR="0099767E" w:rsidRPr="003A5A0E" w:rsidRDefault="0099767E" w:rsidP="00E352ED">
      <w:pPr>
        <w:pStyle w:val="EndnoteText"/>
      </w:pPr>
      <w:r w:rsidRPr="003A5A0E">
        <w:rPr>
          <w:rStyle w:val="EndnoteReference"/>
        </w:rPr>
        <w:endnoteRef/>
      </w:r>
      <w:r w:rsidRPr="003A5A0E">
        <w:t xml:space="preserve"> Medicaid and Children’s Health Insurance Program (CHIP) Payment and Access Commission. (March 2011).</w:t>
      </w:r>
    </w:p>
  </w:endnote>
  <w:endnote w:id="74">
    <w:p w14:paraId="1F8D8D99" w14:textId="77777777" w:rsidR="0099767E" w:rsidRPr="003A5A0E" w:rsidRDefault="0099767E" w:rsidP="002374C0">
      <w:pPr>
        <w:pStyle w:val="EndnoteText"/>
      </w:pPr>
      <w:r w:rsidRPr="003A5A0E">
        <w:rPr>
          <w:rStyle w:val="EndnoteReference"/>
        </w:rPr>
        <w:endnoteRef/>
      </w:r>
      <w:r w:rsidRPr="003A5A0E">
        <w:t xml:space="preserve"> http://www.chcf.org/~/media/MEDIA%20LIBRARY%20Files/PDF/PDF%20M/PDF%20MonitoringAccessMediCal.pdf</w:t>
      </w:r>
    </w:p>
  </w:endnote>
  <w:endnote w:id="75">
    <w:p w14:paraId="147DDBDC" w14:textId="77777777" w:rsidR="0099767E" w:rsidRPr="00A86F8D" w:rsidRDefault="0099767E" w:rsidP="00C5621C">
      <w:pPr>
        <w:pStyle w:val="EndnoteText"/>
        <w:spacing w:after="120"/>
        <w:ind w:left="720" w:hanging="720"/>
        <w:rPr>
          <w:color w:val="211E1E"/>
        </w:rPr>
      </w:pPr>
      <w:r w:rsidRPr="00A86F8D">
        <w:rPr>
          <w:rStyle w:val="EndnoteReference"/>
          <w:rFonts w:eastAsiaTheme="minorEastAsia"/>
        </w:rPr>
        <w:endnoteRef/>
      </w:r>
      <w:r w:rsidRPr="00A86F8D">
        <w:t xml:space="preserve"> Bollman, D. L. (ed.). (2011). Perinatal Services Guidelines for Care: A Compilation of Current Standards – 2011. California Department of Public Health, Maternal Child and Adolescent Health Division. Retrieved from </w:t>
      </w:r>
      <w:hyperlink r:id="rId42" w:history="1">
        <w:r w:rsidRPr="00A86F8D">
          <w:rPr>
            <w:rStyle w:val="Hyperlink"/>
          </w:rPr>
          <w:t>http://www.cdph.ca.gov/programs/rppc/Documents/MO-RPPC-PerinatalServicesGuidelines-CompilationofStandards-2011.pdf</w:t>
        </w:r>
      </w:hyperlink>
      <w:r w:rsidRPr="00A86F8D">
        <w:t xml:space="preserve"> </w:t>
      </w:r>
    </w:p>
  </w:endnote>
  <w:endnote w:id="76">
    <w:p w14:paraId="3B684005" w14:textId="77777777" w:rsidR="0099767E" w:rsidRPr="00A86F8D" w:rsidRDefault="0099767E" w:rsidP="00C5621C">
      <w:pPr>
        <w:pStyle w:val="EndnoteText"/>
        <w:spacing w:after="120"/>
        <w:ind w:left="720" w:hanging="720"/>
        <w:rPr>
          <w:color w:val="0000FF"/>
          <w:u w:val="single"/>
        </w:rPr>
      </w:pPr>
      <w:r w:rsidRPr="00A86F8D">
        <w:rPr>
          <w:rStyle w:val="EndnoteReference"/>
          <w:rFonts w:eastAsiaTheme="minorEastAsia"/>
        </w:rPr>
        <w:endnoteRef/>
      </w:r>
      <w:r w:rsidRPr="00A86F8D">
        <w:t xml:space="preserve"> U.S Department of Health and Human Services. (2015a).</w:t>
      </w:r>
    </w:p>
  </w:endnote>
  <w:endnote w:id="77">
    <w:p w14:paraId="296CC307" w14:textId="77777777" w:rsidR="0099767E" w:rsidRPr="00A86F8D" w:rsidRDefault="0099767E" w:rsidP="00C5621C">
      <w:pPr>
        <w:autoSpaceDE w:val="0"/>
        <w:autoSpaceDN w:val="0"/>
        <w:adjustRightInd w:val="0"/>
        <w:spacing w:after="120"/>
        <w:ind w:left="720" w:hanging="720"/>
        <w:rPr>
          <w:sz w:val="20"/>
          <w:szCs w:val="20"/>
        </w:rPr>
      </w:pPr>
      <w:r w:rsidRPr="00A86F8D">
        <w:rPr>
          <w:rStyle w:val="EndnoteReference"/>
          <w:rFonts w:eastAsiaTheme="minorEastAsia"/>
          <w:sz w:val="20"/>
          <w:szCs w:val="20"/>
        </w:rPr>
        <w:endnoteRef/>
      </w:r>
      <w:r w:rsidRPr="00A86F8D">
        <w:rPr>
          <w:sz w:val="20"/>
          <w:szCs w:val="20"/>
        </w:rPr>
        <w:t xml:space="preserve"> Callaghan, W.M., MacDorman, M.F., Rasmussen, S.A., Qin, C., Lackritz, E.M. (2006, October 1). </w:t>
      </w:r>
      <w:r w:rsidRPr="00A86F8D">
        <w:rPr>
          <w:bCs/>
          <w:sz w:val="20"/>
          <w:szCs w:val="20"/>
        </w:rPr>
        <w:t xml:space="preserve">The Contribution of Preterm Birth to Infant Mortality Rates in the United States. </w:t>
      </w:r>
      <w:r w:rsidRPr="00A86F8D">
        <w:rPr>
          <w:i/>
          <w:iCs/>
          <w:sz w:val="20"/>
          <w:szCs w:val="20"/>
        </w:rPr>
        <w:t xml:space="preserve">Pediatrics, </w:t>
      </w:r>
      <w:r>
        <w:rPr>
          <w:i/>
          <w:sz w:val="20"/>
          <w:szCs w:val="20"/>
        </w:rPr>
        <w:t>118</w:t>
      </w:r>
      <w:r>
        <w:rPr>
          <w:sz w:val="20"/>
          <w:szCs w:val="20"/>
        </w:rPr>
        <w:t>(4):</w:t>
      </w:r>
      <w:r w:rsidRPr="00A86F8D">
        <w:rPr>
          <w:i/>
          <w:sz w:val="20"/>
          <w:szCs w:val="20"/>
        </w:rPr>
        <w:t xml:space="preserve"> </w:t>
      </w:r>
      <w:r w:rsidRPr="00A86F8D">
        <w:rPr>
          <w:sz w:val="20"/>
          <w:szCs w:val="20"/>
        </w:rPr>
        <w:t xml:space="preserve">1566-1573. Retrieved from </w:t>
      </w:r>
      <w:hyperlink r:id="rId43" w:history="1">
        <w:r w:rsidRPr="00A86F8D">
          <w:rPr>
            <w:rStyle w:val="Hyperlink"/>
            <w:sz w:val="20"/>
            <w:szCs w:val="20"/>
          </w:rPr>
          <w:t>http://pediatrics.aappublications.org/content/118/4/1566.abstract</w:t>
        </w:r>
      </w:hyperlink>
      <w:r w:rsidRPr="00A86F8D">
        <w:rPr>
          <w:sz w:val="20"/>
          <w:szCs w:val="20"/>
        </w:rPr>
        <w:t xml:space="preserve"> </w:t>
      </w:r>
    </w:p>
  </w:endnote>
  <w:endnote w:id="78">
    <w:p w14:paraId="4C82BAC2" w14:textId="77777777" w:rsidR="0099767E" w:rsidRPr="00A86F8D" w:rsidRDefault="0099767E" w:rsidP="00C5621C">
      <w:pPr>
        <w:pStyle w:val="EndnoteText"/>
        <w:spacing w:after="120"/>
        <w:ind w:left="720" w:hanging="720"/>
      </w:pPr>
      <w:r w:rsidRPr="00A86F8D">
        <w:rPr>
          <w:rStyle w:val="EndnoteReference"/>
        </w:rPr>
        <w:endnoteRef/>
      </w:r>
      <w:r w:rsidRPr="00A86F8D">
        <w:t xml:space="preserve"> Russell, R.B</w:t>
      </w:r>
      <w:r>
        <w:t>.</w:t>
      </w:r>
      <w:r w:rsidRPr="00A86F8D">
        <w:t xml:space="preserve">, Green, N.S., Steiner, C.A., Meikle, S., Howse, J.L., Poschman, K., Dias, T., Potetz. L., Davidoff, M.J., Damus, K., Petrini, J.R. (2007, </w:t>
      </w:r>
      <w:r>
        <w:t xml:space="preserve"> </w:t>
      </w:r>
      <w:r w:rsidRPr="00A86F8D">
        <w:t xml:space="preserve">July). </w:t>
      </w:r>
      <w:r w:rsidRPr="00A86F8D">
        <w:rPr>
          <w:bCs/>
        </w:rPr>
        <w:t xml:space="preserve">Cost of Hospitalization for Preterm and Low Birthweight Infants in the United States. </w:t>
      </w:r>
      <w:r w:rsidRPr="00A86F8D">
        <w:rPr>
          <w:i/>
          <w:iCs/>
        </w:rPr>
        <w:t xml:space="preserve">Pediatrics, </w:t>
      </w:r>
      <w:r w:rsidRPr="00A86F8D">
        <w:rPr>
          <w:i/>
        </w:rPr>
        <w:t>120</w:t>
      </w:r>
      <w:r w:rsidRPr="00A86F8D">
        <w:t xml:space="preserve">(1): e1-e9. </w:t>
      </w:r>
      <w:hyperlink r:id="rId44" w:history="1">
        <w:r w:rsidRPr="00A86F8D">
          <w:rPr>
            <w:rStyle w:val="Hyperlink"/>
          </w:rPr>
          <w:t>http://www.ncbi.nlm.nih.gov/pubmed/17606536</w:t>
        </w:r>
      </w:hyperlink>
      <w:r w:rsidRPr="00A86F8D">
        <w:t xml:space="preserve"> </w:t>
      </w:r>
    </w:p>
  </w:endnote>
  <w:endnote w:id="79">
    <w:p w14:paraId="4E438ECD" w14:textId="77777777" w:rsidR="0099767E" w:rsidRPr="00A86F8D" w:rsidRDefault="0099767E" w:rsidP="00C5621C">
      <w:pPr>
        <w:spacing w:after="120"/>
        <w:ind w:left="720" w:hanging="720"/>
        <w:rPr>
          <w:sz w:val="20"/>
          <w:szCs w:val="20"/>
        </w:rPr>
      </w:pPr>
      <w:r w:rsidRPr="00A86F8D">
        <w:rPr>
          <w:rStyle w:val="EndnoteReference"/>
          <w:rFonts w:eastAsiaTheme="minorEastAsia"/>
          <w:sz w:val="20"/>
          <w:szCs w:val="20"/>
        </w:rPr>
        <w:endnoteRef/>
      </w:r>
      <w:r w:rsidRPr="00A86F8D">
        <w:rPr>
          <w:sz w:val="20"/>
          <w:szCs w:val="20"/>
        </w:rPr>
        <w:t xml:space="preserve"> M</w:t>
      </w:r>
      <w:r w:rsidRPr="00A86F8D">
        <w:rPr>
          <w:color w:val="221E1F"/>
          <w:sz w:val="20"/>
          <w:szCs w:val="20"/>
        </w:rPr>
        <w:t>ac</w:t>
      </w:r>
      <w:r w:rsidRPr="00A86F8D">
        <w:rPr>
          <w:sz w:val="20"/>
          <w:szCs w:val="20"/>
        </w:rPr>
        <w:t>D</w:t>
      </w:r>
      <w:r>
        <w:rPr>
          <w:color w:val="221E1F"/>
          <w:sz w:val="20"/>
          <w:szCs w:val="20"/>
        </w:rPr>
        <w:t xml:space="preserve">orman, M.F., </w:t>
      </w:r>
      <w:r w:rsidRPr="00A86F8D">
        <w:rPr>
          <w:sz w:val="20"/>
          <w:szCs w:val="20"/>
        </w:rPr>
        <w:t>M</w:t>
      </w:r>
      <w:r w:rsidRPr="00A86F8D">
        <w:rPr>
          <w:color w:val="221E1F"/>
          <w:sz w:val="20"/>
          <w:szCs w:val="20"/>
        </w:rPr>
        <w:t>athews, T.J</w:t>
      </w:r>
      <w:r w:rsidRPr="00A86F8D">
        <w:rPr>
          <w:sz w:val="20"/>
          <w:szCs w:val="20"/>
        </w:rPr>
        <w:t>. (</w:t>
      </w:r>
      <w:r>
        <w:rPr>
          <w:sz w:val="20"/>
          <w:szCs w:val="20"/>
        </w:rPr>
        <w:t>2009</w:t>
      </w:r>
      <w:r w:rsidRPr="00A86F8D">
        <w:rPr>
          <w:sz w:val="20"/>
          <w:szCs w:val="20"/>
        </w:rPr>
        <w:t xml:space="preserve">, November). </w:t>
      </w:r>
      <w:r w:rsidRPr="00A86F8D">
        <w:rPr>
          <w:bCs/>
          <w:sz w:val="20"/>
          <w:szCs w:val="20"/>
        </w:rPr>
        <w:t>Behind International Rankings of Infant Mortality: How the United States Compares with Europe</w:t>
      </w:r>
      <w:r w:rsidRPr="00A86F8D">
        <w:rPr>
          <w:sz w:val="20"/>
          <w:szCs w:val="20"/>
        </w:rPr>
        <w:t xml:space="preserve">. </w:t>
      </w:r>
      <w:r>
        <w:rPr>
          <w:i/>
          <w:sz w:val="20"/>
          <w:szCs w:val="20"/>
        </w:rPr>
        <w:t>Centers for Disease Control and Prevention</w:t>
      </w:r>
      <w:r w:rsidRPr="00A86F8D">
        <w:rPr>
          <w:i/>
          <w:sz w:val="20"/>
          <w:szCs w:val="20"/>
        </w:rPr>
        <w:t>,</w:t>
      </w:r>
      <w:r>
        <w:rPr>
          <w:i/>
          <w:sz w:val="20"/>
          <w:szCs w:val="20"/>
        </w:rPr>
        <w:t xml:space="preserve"> National Center for Health Statistics,</w:t>
      </w:r>
      <w:r w:rsidRPr="00A86F8D">
        <w:rPr>
          <w:i/>
          <w:sz w:val="20"/>
          <w:szCs w:val="20"/>
        </w:rPr>
        <w:t xml:space="preserve"> 23</w:t>
      </w:r>
      <w:r w:rsidRPr="00A86F8D">
        <w:rPr>
          <w:sz w:val="20"/>
          <w:szCs w:val="20"/>
        </w:rPr>
        <w:t xml:space="preserve">. Retrieved from </w:t>
      </w:r>
      <w:hyperlink r:id="rId45" w:history="1">
        <w:r w:rsidRPr="00A86F8D">
          <w:rPr>
            <w:rStyle w:val="Hyperlink"/>
            <w:sz w:val="20"/>
            <w:szCs w:val="20"/>
          </w:rPr>
          <w:t>http://www.cdc.gov/nchs/data/databriefs/db23.pdf</w:t>
        </w:r>
      </w:hyperlink>
      <w:r w:rsidRPr="00A86F8D">
        <w:rPr>
          <w:sz w:val="20"/>
          <w:szCs w:val="20"/>
        </w:rPr>
        <w:t xml:space="preserve"> </w:t>
      </w:r>
    </w:p>
  </w:endnote>
  <w:endnote w:id="80">
    <w:p w14:paraId="10CA1EA6" w14:textId="77777777" w:rsidR="0099767E" w:rsidRPr="00A86F8D" w:rsidRDefault="0099767E" w:rsidP="00C5621C">
      <w:pPr>
        <w:pStyle w:val="EndnoteText"/>
        <w:spacing w:after="120"/>
        <w:ind w:left="720" w:hanging="720"/>
      </w:pPr>
      <w:r w:rsidRPr="00A86F8D">
        <w:rPr>
          <w:rStyle w:val="EndnoteReference"/>
        </w:rPr>
        <w:endnoteRef/>
      </w:r>
      <w:r w:rsidRPr="00A86F8D">
        <w:t xml:space="preserve"> </w:t>
      </w:r>
      <w:r w:rsidRPr="00A86F8D">
        <w:rPr>
          <w:lang w:val="en"/>
        </w:rPr>
        <w:t xml:space="preserve">Behrman, R.E., Butler, A.S., ed. (2006, July 13). Preterm Birth: Causes, Consequences, and Prevention. </w:t>
      </w:r>
      <w:r w:rsidRPr="00A86F8D">
        <w:rPr>
          <w:i/>
          <w:lang w:val="en"/>
        </w:rPr>
        <w:t>Institute of Medicine of the National Academies.</w:t>
      </w:r>
      <w:r w:rsidRPr="00A86F8D">
        <w:rPr>
          <w:lang w:val="en"/>
        </w:rPr>
        <w:t xml:space="preserve"> Retrieved from </w:t>
      </w:r>
      <w:hyperlink r:id="rId46" w:history="1">
        <w:r w:rsidRPr="00A86F8D">
          <w:rPr>
            <w:rStyle w:val="Hyperlink"/>
            <w:lang w:val="en"/>
          </w:rPr>
          <w:t>http://www.iom.edu/Reports/2006/Preterm-Birth-Causes-Consequences-and-Prevention.aspx</w:t>
        </w:r>
      </w:hyperlink>
      <w:r w:rsidRPr="00A86F8D">
        <w:rPr>
          <w:lang w:val="en"/>
        </w:rPr>
        <w:t xml:space="preserve"> </w:t>
      </w:r>
    </w:p>
  </w:endnote>
  <w:endnote w:id="81">
    <w:p w14:paraId="3506876B" w14:textId="77777777" w:rsidR="0099767E" w:rsidRPr="003A5A0E" w:rsidRDefault="0099767E" w:rsidP="00FD328A">
      <w:pPr>
        <w:pStyle w:val="References"/>
        <w:rPr>
          <w:rFonts w:asciiTheme="minorHAnsi" w:hAnsiTheme="minorHAnsi"/>
        </w:rPr>
      </w:pPr>
      <w:r w:rsidRPr="003A5A0E">
        <w:rPr>
          <w:rStyle w:val="EndnoteReference"/>
          <w:rFonts w:asciiTheme="minorHAnsi" w:hAnsiTheme="minorHAnsi"/>
        </w:rPr>
        <w:endnoteRef/>
      </w:r>
      <w:r w:rsidRPr="003A5A0E">
        <w:rPr>
          <w:rFonts w:asciiTheme="minorHAnsi" w:hAnsiTheme="minorHAnsi"/>
        </w:rPr>
        <w:t xml:space="preserve"> U.S. Department of Government Affairs. (2006, November). </w:t>
      </w:r>
      <w:r w:rsidRPr="003A5A0E">
        <w:rPr>
          <w:rFonts w:asciiTheme="minorHAnsi" w:hAnsiTheme="minorHAnsi"/>
          <w:i/>
        </w:rPr>
        <w:t>Routine Prenatal Care and Testing</w:t>
      </w:r>
      <w:r w:rsidRPr="003A5A0E">
        <w:rPr>
          <w:rFonts w:asciiTheme="minorHAnsi" w:hAnsiTheme="minorHAnsi"/>
        </w:rPr>
        <w:t xml:space="preserve">. American Congress of Obstetricians and Gynecologists. Retrieved from </w:t>
      </w:r>
      <w:hyperlink r:id="rId47" w:history="1">
        <w:r w:rsidRPr="003A5A0E">
          <w:rPr>
            <w:rStyle w:val="Hyperlink"/>
            <w:rFonts w:asciiTheme="minorHAnsi" w:hAnsiTheme="minorHAnsi"/>
          </w:rPr>
          <w:t>http://www.acog.org/~/media/Districts/District%20VIII%20Junior%20Fellows/jfpc.pdf?dmc=1&amp;ts=20130604T1844124564</w:t>
        </w:r>
      </w:hyperlink>
      <w:r w:rsidRPr="003A5A0E">
        <w:rPr>
          <w:rFonts w:asciiTheme="minorHAnsi" w:hAnsiTheme="minorHAnsi"/>
        </w:rPr>
        <w:t xml:space="preserve"> on 12/13/2013.</w:t>
      </w:r>
    </w:p>
  </w:endnote>
  <w:endnote w:id="82">
    <w:p w14:paraId="5685E7CA" w14:textId="77777777" w:rsidR="0099767E" w:rsidRPr="003A5A0E" w:rsidRDefault="0099767E" w:rsidP="00FD328A">
      <w:pPr>
        <w:pStyle w:val="References"/>
        <w:rPr>
          <w:rFonts w:asciiTheme="minorHAnsi" w:hAnsiTheme="minorHAnsi"/>
        </w:rPr>
      </w:pPr>
      <w:r w:rsidRPr="003A5A0E">
        <w:rPr>
          <w:rStyle w:val="EndnoteReference"/>
          <w:rFonts w:asciiTheme="minorHAnsi" w:hAnsiTheme="minorHAnsi"/>
        </w:rPr>
        <w:endnoteRef/>
      </w:r>
      <w:r w:rsidRPr="003A5A0E">
        <w:rPr>
          <w:rFonts w:asciiTheme="minorHAnsi" w:hAnsiTheme="minorHAnsi"/>
        </w:rPr>
        <w:t xml:space="preserve"> U.S. Department of Government Affairs. (2011, January). </w:t>
      </w:r>
      <w:r w:rsidRPr="003A5A0E">
        <w:rPr>
          <w:rFonts w:asciiTheme="minorHAnsi" w:hAnsiTheme="minorHAnsi"/>
          <w:i/>
        </w:rPr>
        <w:t>Maternity Care: By the Numbers</w:t>
      </w:r>
      <w:r w:rsidRPr="003A5A0E">
        <w:rPr>
          <w:rFonts w:asciiTheme="minorHAnsi" w:hAnsiTheme="minorHAnsi"/>
        </w:rPr>
        <w:t xml:space="preserve">. American Congress of Obstetricians and Gynecologists. Retrieved from </w:t>
      </w:r>
      <w:hyperlink r:id="rId48" w:history="1">
        <w:r w:rsidRPr="003A5A0E">
          <w:rPr>
            <w:rStyle w:val="Hyperlink"/>
            <w:rFonts w:asciiTheme="minorHAnsi" w:hAnsiTheme="minorHAnsi"/>
          </w:rPr>
          <w:t>http://www.acog.org/~/media/Departments/Government%20Relations%20and%20Outreach/momsMCBTH.pdf?dmc=1&amp;ts=20130506T1441345650</w:t>
        </w:r>
      </w:hyperlink>
      <w:r w:rsidRPr="003A5A0E">
        <w:rPr>
          <w:rFonts w:asciiTheme="minorHAnsi" w:hAnsiTheme="minorHAnsi"/>
        </w:rPr>
        <w:t xml:space="preserve"> on 12/13/2013.</w:t>
      </w:r>
    </w:p>
  </w:endnote>
  <w:endnote w:id="83">
    <w:p w14:paraId="6A1A1B01" w14:textId="77777777" w:rsidR="0099767E" w:rsidRPr="003A5A0E" w:rsidRDefault="0099767E" w:rsidP="00FD328A">
      <w:pPr>
        <w:pStyle w:val="References"/>
        <w:rPr>
          <w:rFonts w:asciiTheme="minorHAnsi" w:hAnsiTheme="minorHAnsi"/>
        </w:rPr>
      </w:pPr>
      <w:r w:rsidRPr="003A5A0E">
        <w:rPr>
          <w:rStyle w:val="EndnoteReference"/>
          <w:rFonts w:asciiTheme="minorHAnsi" w:hAnsiTheme="minorHAnsi"/>
        </w:rPr>
        <w:endnoteRef/>
      </w:r>
      <w:r w:rsidRPr="003A5A0E">
        <w:rPr>
          <w:rFonts w:asciiTheme="minorHAnsi" w:hAnsiTheme="minorHAnsi"/>
        </w:rPr>
        <w:t xml:space="preserve"> Wardlaw, et.al. (2004).</w:t>
      </w:r>
    </w:p>
  </w:endnote>
  <w:endnote w:id="84">
    <w:p w14:paraId="068AE16A" w14:textId="77777777" w:rsidR="0099767E" w:rsidRPr="003A5A0E" w:rsidRDefault="0099767E" w:rsidP="00FD328A">
      <w:pPr>
        <w:pStyle w:val="References"/>
        <w:rPr>
          <w:rFonts w:asciiTheme="minorHAnsi" w:hAnsiTheme="minorHAnsi"/>
        </w:rPr>
      </w:pPr>
      <w:r w:rsidRPr="003A5A0E">
        <w:rPr>
          <w:rStyle w:val="EndnoteReference"/>
          <w:rFonts w:asciiTheme="minorHAnsi" w:hAnsiTheme="minorHAnsi"/>
        </w:rPr>
        <w:endnoteRef/>
      </w:r>
      <w:r w:rsidRPr="003A5A0E">
        <w:rPr>
          <w:rFonts w:asciiTheme="minorHAnsi" w:hAnsiTheme="minorHAnsi"/>
        </w:rPr>
        <w:t xml:space="preserve"> Chandra, A., Martinez, G., Mosher, W., Abama, J., Jones, J. (2005, December). Fertility, Family Planning, and Reproductive Health of U.S. Women: Data from the 2002 National Survey of Family Growth. </w:t>
      </w:r>
      <w:r w:rsidRPr="003A5A0E">
        <w:rPr>
          <w:rFonts w:asciiTheme="minorHAnsi" w:hAnsiTheme="minorHAnsi"/>
          <w:i/>
        </w:rPr>
        <w:t xml:space="preserve">National Center for Health Statistics, Vol. 23 </w:t>
      </w:r>
      <w:r w:rsidRPr="003A5A0E">
        <w:rPr>
          <w:rFonts w:asciiTheme="minorHAnsi" w:hAnsiTheme="minorHAnsi"/>
        </w:rPr>
        <w:t>(Issue 25).</w:t>
      </w:r>
    </w:p>
  </w:endnote>
  <w:endnote w:id="85">
    <w:p w14:paraId="18F65024" w14:textId="77777777" w:rsidR="0099767E" w:rsidRPr="003A5A0E" w:rsidRDefault="0099767E" w:rsidP="00FD328A">
      <w:pPr>
        <w:pStyle w:val="References"/>
        <w:rPr>
          <w:rFonts w:asciiTheme="minorHAnsi" w:hAnsiTheme="minorHAnsi"/>
        </w:rPr>
      </w:pPr>
      <w:r w:rsidRPr="003A5A0E">
        <w:rPr>
          <w:rStyle w:val="EndnoteReference"/>
          <w:rFonts w:asciiTheme="minorHAnsi" w:hAnsiTheme="minorHAnsi"/>
        </w:rPr>
        <w:endnoteRef/>
      </w:r>
      <w:r w:rsidRPr="003A5A0E">
        <w:rPr>
          <w:rFonts w:asciiTheme="minorHAnsi" w:hAnsiTheme="minorHAnsi"/>
        </w:rPr>
        <w:t xml:space="preserve"> Epstein, A., Newhouse, J. (Summer 1998). Impact of Medicaid Expansion on Early Prenatal Care and Health Outcomes. </w:t>
      </w:r>
      <w:r w:rsidRPr="003A5A0E">
        <w:rPr>
          <w:rFonts w:asciiTheme="minorHAnsi" w:hAnsiTheme="minorHAnsi"/>
          <w:i/>
        </w:rPr>
        <w:t>Health Care Financing Review, Vol. 19</w:t>
      </w:r>
      <w:r w:rsidRPr="003A5A0E">
        <w:rPr>
          <w:rFonts w:asciiTheme="minorHAnsi" w:hAnsiTheme="minorHAnsi"/>
        </w:rPr>
        <w:t xml:space="preserve"> (Issue 4): 85-99.</w:t>
      </w:r>
    </w:p>
  </w:endnote>
  <w:endnote w:id="86">
    <w:p w14:paraId="3C6D2422" w14:textId="77777777" w:rsidR="0099767E" w:rsidRPr="003A5A0E" w:rsidRDefault="0099767E" w:rsidP="00FD328A">
      <w:pPr>
        <w:pStyle w:val="References"/>
        <w:rPr>
          <w:rFonts w:asciiTheme="minorHAnsi" w:hAnsiTheme="minorHAnsi"/>
        </w:rPr>
      </w:pPr>
      <w:r w:rsidRPr="003A5A0E">
        <w:rPr>
          <w:rStyle w:val="EndnoteReference"/>
          <w:rFonts w:asciiTheme="minorHAnsi" w:hAnsiTheme="minorHAnsi"/>
        </w:rPr>
        <w:endnoteRef/>
      </w:r>
      <w:r w:rsidRPr="003A5A0E">
        <w:rPr>
          <w:rFonts w:asciiTheme="minorHAnsi" w:hAnsiTheme="minorHAnsi"/>
        </w:rPr>
        <w:t xml:space="preserve"> Wardlaw, et.al. (2004)</w:t>
      </w:r>
    </w:p>
  </w:endnote>
  <w:endnote w:id="87">
    <w:p w14:paraId="421008E3" w14:textId="77777777" w:rsidR="0099767E" w:rsidRPr="003A5A0E" w:rsidRDefault="0099767E" w:rsidP="00FD328A">
      <w:pPr>
        <w:pStyle w:val="References"/>
        <w:rPr>
          <w:rFonts w:asciiTheme="minorHAnsi" w:hAnsiTheme="minorHAnsi"/>
        </w:rPr>
      </w:pPr>
      <w:r w:rsidRPr="003A5A0E">
        <w:rPr>
          <w:rStyle w:val="EndnoteReference"/>
          <w:rFonts w:asciiTheme="minorHAnsi" w:hAnsiTheme="minorHAnsi"/>
        </w:rPr>
        <w:endnoteRef/>
      </w:r>
      <w:r w:rsidRPr="003A5A0E">
        <w:rPr>
          <w:rFonts w:asciiTheme="minorHAnsi" w:hAnsiTheme="minorHAnsi"/>
        </w:rPr>
        <w:t xml:space="preserve"> Alexander, G., Kotelchuck, M. (2001, August). Assessing the Role of and Effectiveness of Prenatal Care: History, Challenges, and Directions for Future Research</w:t>
      </w:r>
      <w:r w:rsidRPr="003A5A0E">
        <w:rPr>
          <w:rFonts w:asciiTheme="minorHAnsi" w:hAnsiTheme="minorHAnsi"/>
          <w:i/>
        </w:rPr>
        <w:t>. Public Health Reports, Vol. 116</w:t>
      </w:r>
      <w:r w:rsidRPr="003A5A0E">
        <w:rPr>
          <w:rFonts w:asciiTheme="minorHAnsi" w:hAnsiTheme="minorHAnsi"/>
        </w:rPr>
        <w:t>: 306-316.</w:t>
      </w:r>
    </w:p>
  </w:endnote>
  <w:endnote w:id="88">
    <w:p w14:paraId="7C31D2D0" w14:textId="77777777" w:rsidR="0099767E" w:rsidRPr="003A5A0E" w:rsidRDefault="0099767E" w:rsidP="00FD328A">
      <w:pPr>
        <w:pStyle w:val="References"/>
        <w:rPr>
          <w:rFonts w:asciiTheme="minorHAnsi" w:hAnsiTheme="minorHAnsi"/>
        </w:rPr>
      </w:pPr>
      <w:r w:rsidRPr="003A5A0E">
        <w:rPr>
          <w:rStyle w:val="EndnoteReference"/>
          <w:rFonts w:asciiTheme="minorHAnsi" w:hAnsiTheme="minorHAnsi"/>
        </w:rPr>
        <w:endnoteRef/>
      </w:r>
      <w:r w:rsidRPr="003A5A0E">
        <w:rPr>
          <w:rFonts w:asciiTheme="minorHAnsi" w:hAnsiTheme="minorHAnsi"/>
        </w:rPr>
        <w:t xml:space="preserve"> Alexander and Kotelchuck. (2001, August)</w:t>
      </w:r>
    </w:p>
  </w:endnote>
  <w:endnote w:id="89">
    <w:p w14:paraId="1E717A6A" w14:textId="77777777" w:rsidR="0099767E" w:rsidRPr="00404075" w:rsidRDefault="0099767E" w:rsidP="00FD328A">
      <w:pPr>
        <w:pStyle w:val="References"/>
      </w:pPr>
      <w:r w:rsidRPr="003A5A0E">
        <w:rPr>
          <w:rStyle w:val="EndnoteReference"/>
          <w:rFonts w:asciiTheme="minorHAnsi" w:hAnsiTheme="minorHAnsi"/>
        </w:rPr>
        <w:endnoteRef/>
      </w:r>
      <w:r w:rsidRPr="003A5A0E">
        <w:rPr>
          <w:rFonts w:asciiTheme="minorHAnsi" w:hAnsiTheme="minorHAnsi"/>
        </w:rPr>
        <w:t xml:space="preserve"> Cook, C., Gohn-Baub, E., Selig, K., Wedge, B. (1999, March). Access Barriers and the Use of Prenatal Care by Low-Income, Inner-City Women. </w:t>
      </w:r>
      <w:r w:rsidRPr="003A5A0E">
        <w:rPr>
          <w:rFonts w:asciiTheme="minorHAnsi" w:hAnsiTheme="minorHAnsi"/>
          <w:i/>
        </w:rPr>
        <w:t>Social Work, Vol. 44</w:t>
      </w:r>
      <w:r w:rsidRPr="003A5A0E">
        <w:rPr>
          <w:rFonts w:asciiTheme="minorHAnsi" w:hAnsiTheme="minorHAnsi"/>
        </w:rPr>
        <w:t xml:space="preserve"> (Issue 2): 129-139.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bin">
    <w:altName w:val="Cabi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370356"/>
      <w:docPartObj>
        <w:docPartGallery w:val="Page Numbers (Bottom of Page)"/>
        <w:docPartUnique/>
      </w:docPartObj>
    </w:sdtPr>
    <w:sdtEndPr>
      <w:rPr>
        <w:noProof/>
      </w:rPr>
    </w:sdtEndPr>
    <w:sdtContent>
      <w:p w14:paraId="6624BD4F" w14:textId="2F127A62" w:rsidR="0099767E" w:rsidRDefault="0099767E">
        <w:pPr>
          <w:pStyle w:val="Footer"/>
          <w:jc w:val="center"/>
        </w:pPr>
        <w:r>
          <w:fldChar w:fldCharType="begin"/>
        </w:r>
        <w:r>
          <w:instrText xml:space="preserve"> PAGE   \* MERGEFORMAT </w:instrText>
        </w:r>
        <w:r>
          <w:fldChar w:fldCharType="separate"/>
        </w:r>
        <w:r w:rsidR="00716727">
          <w:rPr>
            <w:noProof/>
          </w:rPr>
          <w:t>144</w:t>
        </w:r>
        <w:r>
          <w:rPr>
            <w:noProof/>
          </w:rPr>
          <w:fldChar w:fldCharType="end"/>
        </w:r>
      </w:p>
    </w:sdtContent>
  </w:sdt>
  <w:p w14:paraId="2A7F7124" w14:textId="77777777" w:rsidR="0099767E" w:rsidRDefault="0099767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359753"/>
      <w:docPartObj>
        <w:docPartGallery w:val="Page Numbers (Bottom of Page)"/>
        <w:docPartUnique/>
      </w:docPartObj>
    </w:sdtPr>
    <w:sdtEndPr>
      <w:rPr>
        <w:noProof/>
      </w:rPr>
    </w:sdtEndPr>
    <w:sdtContent>
      <w:p w14:paraId="0E20C14A" w14:textId="474AB8D0" w:rsidR="0099767E" w:rsidRDefault="0099767E">
        <w:pPr>
          <w:pStyle w:val="Footer"/>
          <w:jc w:val="center"/>
        </w:pPr>
        <w:r>
          <w:fldChar w:fldCharType="begin"/>
        </w:r>
        <w:r>
          <w:instrText xml:space="preserve"> PAGE   \* MERGEFORMAT </w:instrText>
        </w:r>
        <w:r>
          <w:fldChar w:fldCharType="separate"/>
        </w:r>
        <w:r w:rsidR="00716727">
          <w:rPr>
            <w:noProof/>
          </w:rPr>
          <w:t>149</w:t>
        </w:r>
        <w:r>
          <w:rPr>
            <w:noProof/>
          </w:rPr>
          <w:fldChar w:fldCharType="end"/>
        </w:r>
      </w:p>
    </w:sdtContent>
  </w:sdt>
  <w:p w14:paraId="19A3F6B9" w14:textId="77777777" w:rsidR="0099767E" w:rsidRPr="007C6987" w:rsidRDefault="0099767E" w:rsidP="00900341">
    <w:pPr>
      <w:pStyle w:val="Footer"/>
      <w:jc w:val="center"/>
      <w:rPr>
        <w:rFonts w:asciiTheme="minorHAnsi" w:hAnsi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843554"/>
      <w:docPartObj>
        <w:docPartGallery w:val="Page Numbers (Bottom of Page)"/>
        <w:docPartUnique/>
      </w:docPartObj>
    </w:sdtPr>
    <w:sdtEndPr>
      <w:rPr>
        <w:noProof/>
      </w:rPr>
    </w:sdtEndPr>
    <w:sdtContent>
      <w:p w14:paraId="5E631D35" w14:textId="507D11A7" w:rsidR="0099767E" w:rsidRDefault="0099767E">
        <w:pPr>
          <w:pStyle w:val="Footer"/>
          <w:jc w:val="center"/>
        </w:pPr>
        <w:r>
          <w:fldChar w:fldCharType="begin"/>
        </w:r>
        <w:r>
          <w:instrText xml:space="preserve"> PAGE   \* MERGEFORMAT </w:instrText>
        </w:r>
        <w:r>
          <w:fldChar w:fldCharType="separate"/>
        </w:r>
        <w:r w:rsidR="00716727">
          <w:rPr>
            <w:noProof/>
          </w:rPr>
          <w:t>170</w:t>
        </w:r>
        <w:r>
          <w:rPr>
            <w:noProof/>
          </w:rPr>
          <w:fldChar w:fldCharType="end"/>
        </w:r>
      </w:p>
    </w:sdtContent>
  </w:sdt>
  <w:p w14:paraId="1B645A64" w14:textId="77777777" w:rsidR="0099767E" w:rsidRPr="007C6987" w:rsidRDefault="0099767E" w:rsidP="00900341">
    <w:pPr>
      <w:pStyle w:val="Footer"/>
      <w:jc w:val="center"/>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876A2" w14:textId="77777777" w:rsidR="00787773" w:rsidRDefault="00787773" w:rsidP="004B3564">
      <w:r>
        <w:separator/>
      </w:r>
    </w:p>
  </w:footnote>
  <w:footnote w:type="continuationSeparator" w:id="0">
    <w:p w14:paraId="55ABE4B1" w14:textId="77777777" w:rsidR="00787773" w:rsidRDefault="00787773" w:rsidP="004B3564">
      <w:r>
        <w:continuationSeparator/>
      </w:r>
    </w:p>
  </w:footnote>
  <w:footnote w:id="1">
    <w:p w14:paraId="3E712AD9" w14:textId="77777777" w:rsidR="0099767E" w:rsidRPr="00ED5F7E" w:rsidRDefault="0099767E">
      <w:pPr>
        <w:pStyle w:val="FootnoteText"/>
        <w:rPr>
          <w:rFonts w:asciiTheme="minorHAnsi" w:hAnsiTheme="minorHAnsi"/>
        </w:rPr>
      </w:pPr>
      <w:r w:rsidRPr="00ED5F7E">
        <w:rPr>
          <w:rStyle w:val="FootnoteReference"/>
          <w:rFonts w:asciiTheme="minorHAnsi" w:hAnsiTheme="minorHAnsi"/>
        </w:rPr>
        <w:footnoteRef/>
      </w:r>
      <w:r w:rsidRPr="00ED5F7E">
        <w:rPr>
          <w:rFonts w:asciiTheme="minorHAnsi" w:hAnsiTheme="minorHAnsi"/>
        </w:rPr>
        <w:t xml:space="preserve"> In order to become “certif</w:t>
      </w:r>
      <w:r>
        <w:rPr>
          <w:rFonts w:asciiTheme="minorHAnsi" w:hAnsiTheme="minorHAnsi"/>
        </w:rPr>
        <w:t>ied eligible,” beneficiaries must</w:t>
      </w:r>
      <w:r w:rsidRPr="00ED5F7E">
        <w:rPr>
          <w:rFonts w:asciiTheme="minorHAnsi" w:hAnsiTheme="minorHAnsi"/>
        </w:rPr>
        <w:t xml:space="preserve"> qualify for the program through a valid eligibility determination and be actively enrolled.</w:t>
      </w:r>
    </w:p>
  </w:footnote>
  <w:footnote w:id="2">
    <w:p w14:paraId="1685AACA" w14:textId="77777777" w:rsidR="0099767E" w:rsidRDefault="0099767E" w:rsidP="00EC2753">
      <w:pPr>
        <w:pStyle w:val="FootnoteText"/>
        <w:rPr>
          <w:rStyle w:val="Hyperlink"/>
          <w:rFonts w:asciiTheme="minorHAnsi" w:hAnsiTheme="minorHAnsi"/>
        </w:rPr>
      </w:pPr>
      <w:r w:rsidRPr="002C128B">
        <w:rPr>
          <w:rStyle w:val="FootnoteReference"/>
          <w:rFonts w:asciiTheme="minorHAnsi" w:hAnsiTheme="minorHAnsi"/>
        </w:rPr>
        <w:footnoteRef/>
      </w:r>
      <w:r w:rsidRPr="002C128B">
        <w:rPr>
          <w:rFonts w:asciiTheme="minorHAnsi" w:hAnsiTheme="minorHAnsi"/>
        </w:rPr>
        <w:t xml:space="preserve"> Detailed definitions of </w:t>
      </w:r>
      <w:r>
        <w:rPr>
          <w:rFonts w:asciiTheme="minorHAnsi" w:hAnsiTheme="minorHAnsi"/>
        </w:rPr>
        <w:t xml:space="preserve">each </w:t>
      </w:r>
      <w:r w:rsidRPr="002C128B">
        <w:rPr>
          <w:rFonts w:asciiTheme="minorHAnsi" w:hAnsiTheme="minorHAnsi"/>
        </w:rPr>
        <w:t xml:space="preserve">Medi-Cal managed care model are available at: </w:t>
      </w:r>
      <w:hyperlink r:id="rId1" w:history="1">
        <w:r w:rsidRPr="002C128B">
          <w:rPr>
            <w:rStyle w:val="Hyperlink"/>
            <w:rFonts w:asciiTheme="minorHAnsi" w:hAnsiTheme="minorHAnsi"/>
          </w:rPr>
          <w:t>http://www.dhcs.ca.gov/provgovpart/Documents/MMCDModelFactSheet.pdf</w:t>
        </w:r>
      </w:hyperlink>
    </w:p>
    <w:p w14:paraId="20F5C6B3" w14:textId="77777777" w:rsidR="0099767E" w:rsidRPr="00DE5E3B" w:rsidRDefault="0099767E" w:rsidP="00EC2753">
      <w:pPr>
        <w:pStyle w:val="FootnoteText"/>
        <w:rPr>
          <w:rFonts w:asciiTheme="minorHAnsi" w:hAnsiTheme="minorHAnsi"/>
          <w:color w:val="0000FF" w:themeColor="hyperlink"/>
          <w:u w:val="single"/>
        </w:rPr>
      </w:pPr>
    </w:p>
  </w:footnote>
  <w:footnote w:id="3">
    <w:p w14:paraId="0FD4872A" w14:textId="77777777" w:rsidR="0099767E" w:rsidRPr="00E569C8" w:rsidRDefault="0099767E" w:rsidP="0016789F">
      <w:pPr>
        <w:pStyle w:val="FootnoteText"/>
        <w:rPr>
          <w:rFonts w:asciiTheme="minorHAnsi" w:hAnsiTheme="minorHAnsi"/>
        </w:rPr>
      </w:pPr>
      <w:r w:rsidRPr="00E569C8">
        <w:rPr>
          <w:rStyle w:val="FootnoteReference"/>
          <w:rFonts w:asciiTheme="minorHAnsi" w:hAnsiTheme="minorHAnsi"/>
        </w:rPr>
        <w:footnoteRef/>
      </w:r>
      <w:r w:rsidRPr="00E569C8">
        <w:rPr>
          <w:rFonts w:asciiTheme="minorHAnsi" w:hAnsiTheme="minorHAnsi"/>
        </w:rPr>
        <w:t xml:space="preserve"> AB 1467, the health omnibus budget trailer bill, authorized the expansion of Medi-Cal managed care to Medi-Cal beneficiaries residing in 28 rural California counties.</w:t>
      </w:r>
      <w:r w:rsidRPr="00E569C8">
        <w:rPr>
          <w:rFonts w:asciiTheme="minorHAnsi" w:hAnsiTheme="minorHAnsi" w:cs="Arial"/>
          <w:color w:val="000000"/>
        </w:rPr>
        <w:t xml:space="preserve"> </w:t>
      </w:r>
      <w:r w:rsidRPr="00E569C8">
        <w:rPr>
          <w:rFonts w:asciiTheme="minorHAnsi" w:hAnsiTheme="minorHAnsi"/>
        </w:rPr>
        <w:t xml:space="preserve">Previously, the Budget Act of 2005 authorized expansion of Medi-Cal managed care into 13 new counties. The counties of El Dorado, Imperial, Lake, Placer, and San Benito were part of this 13 county expansion effort. As a result, these counties </w:t>
      </w:r>
      <w:r w:rsidRPr="00E569C8">
        <w:rPr>
          <w:rFonts w:asciiTheme="minorHAnsi" w:hAnsiTheme="minorHAnsi"/>
          <w:iCs/>
        </w:rPr>
        <w:t>became</w:t>
      </w:r>
      <w:r w:rsidRPr="00E569C8">
        <w:rPr>
          <w:rFonts w:asciiTheme="minorHAnsi" w:hAnsiTheme="minorHAnsi"/>
          <w:i/>
          <w:iCs/>
        </w:rPr>
        <w:t xml:space="preserve"> </w:t>
      </w:r>
      <w:r w:rsidRPr="00E569C8">
        <w:rPr>
          <w:rFonts w:asciiTheme="minorHAnsi" w:hAnsiTheme="minorHAnsi"/>
        </w:rPr>
        <w:t>part of the 28 rural county expansion efforts</w:t>
      </w:r>
      <w:r w:rsidRPr="00E569C8">
        <w:rPr>
          <w:rFonts w:asciiTheme="minorHAnsi" w:hAnsiTheme="minorHAnsi"/>
          <w:i/>
        </w:rPr>
        <w:t xml:space="preserve">. DHCS </w:t>
      </w:r>
      <w:r w:rsidRPr="00E569C8">
        <w:rPr>
          <w:rFonts w:asciiTheme="minorHAnsi" w:hAnsiTheme="minorHAnsi"/>
          <w:bCs/>
          <w:i/>
        </w:rPr>
        <w:t>Quarterly Update Medi-Cal Managed Healthcare Expansion into Rural Counties and the Medi-Cal Managed Care Program</w:t>
      </w:r>
      <w:r w:rsidRPr="00E569C8">
        <w:rPr>
          <w:rFonts w:asciiTheme="minorHAnsi" w:hAnsiTheme="minorHAnsi"/>
          <w:bCs/>
        </w:rPr>
        <w:t xml:space="preserve"> </w:t>
      </w:r>
      <w:r w:rsidRPr="00E569C8">
        <w:rPr>
          <w:rFonts w:asciiTheme="minorHAnsi" w:hAnsiTheme="minorHAnsi"/>
          <w:bCs/>
          <w:i/>
        </w:rPr>
        <w:t>(July - September 2014)</w:t>
      </w:r>
      <w:r w:rsidRPr="00E569C8">
        <w:rPr>
          <w:rFonts w:asciiTheme="minorHAnsi" w:hAnsiTheme="minorHAnsi"/>
          <w:bCs/>
        </w:rPr>
        <w:t xml:space="preserve"> (2015, February). Retrieved from</w:t>
      </w:r>
    </w:p>
    <w:p w14:paraId="67520A55" w14:textId="77777777" w:rsidR="0099767E" w:rsidRDefault="00716727" w:rsidP="0016789F">
      <w:pPr>
        <w:pStyle w:val="FootnoteText"/>
      </w:pPr>
      <w:hyperlink r:id="rId2" w:history="1">
        <w:r w:rsidR="0099767E" w:rsidRPr="00E569C8">
          <w:rPr>
            <w:rStyle w:val="Hyperlink"/>
            <w:rFonts w:asciiTheme="minorHAnsi" w:hAnsiTheme="minorHAnsi"/>
          </w:rPr>
          <w:t>http://www.dhcs.ca.gov/formsandpubs/Documents/Legislative%20Reports/Managed%20Care%20Quarterly/MgdCare_Rural_Expansion.pdf</w:t>
        </w:r>
      </w:hyperlink>
      <w:r w:rsidR="0099767E" w:rsidRPr="00E569C8">
        <w:rPr>
          <w:rFonts w:asciiTheme="minorHAnsi" w:hAnsiTheme="minorHAnsi"/>
          <w:sz w:val="18"/>
          <w:szCs w:val="23"/>
        </w:rPr>
        <w:t xml:space="preserve"> </w:t>
      </w:r>
    </w:p>
  </w:footnote>
  <w:footnote w:id="4">
    <w:p w14:paraId="516341EF" w14:textId="77777777" w:rsidR="0099767E" w:rsidRPr="004874B8" w:rsidRDefault="0099767E" w:rsidP="00206F94">
      <w:pPr>
        <w:pStyle w:val="FootnoteText"/>
        <w:rPr>
          <w:rFonts w:asciiTheme="minorHAnsi" w:hAnsiTheme="minorHAnsi"/>
        </w:rPr>
      </w:pPr>
      <w:r w:rsidRPr="004874B8">
        <w:rPr>
          <w:rStyle w:val="FootnoteReference"/>
          <w:rFonts w:asciiTheme="minorHAnsi" w:hAnsiTheme="minorHAnsi"/>
        </w:rPr>
        <w:footnoteRef/>
      </w:r>
      <w:r w:rsidRPr="004874B8">
        <w:rPr>
          <w:rFonts w:asciiTheme="minorHAnsi" w:hAnsiTheme="minorHAnsi"/>
        </w:rPr>
        <w:t xml:space="preserve"> On June 28, 2012, the United States Supreme Court </w:t>
      </w:r>
      <w:r>
        <w:rPr>
          <w:rFonts w:asciiTheme="minorHAnsi" w:hAnsiTheme="minorHAnsi"/>
        </w:rPr>
        <w:t>held</w:t>
      </w:r>
      <w:r w:rsidRPr="004874B8">
        <w:rPr>
          <w:rFonts w:asciiTheme="minorHAnsi" w:hAnsiTheme="minorHAnsi"/>
        </w:rPr>
        <w:t xml:space="preserve"> in </w:t>
      </w:r>
      <w:r w:rsidRPr="00F83D0E">
        <w:rPr>
          <w:rFonts w:asciiTheme="minorHAnsi" w:hAnsiTheme="minorHAnsi"/>
          <w:i/>
        </w:rPr>
        <w:t>National Federation of Independent Business v. Sebelius</w:t>
      </w:r>
      <w:r w:rsidRPr="004874B8">
        <w:rPr>
          <w:rFonts w:asciiTheme="minorHAnsi" w:hAnsiTheme="minorHAnsi"/>
        </w:rPr>
        <w:t xml:space="preserve"> </w:t>
      </w:r>
      <w:r>
        <w:rPr>
          <w:rFonts w:asciiTheme="minorHAnsi" w:hAnsiTheme="minorHAnsi"/>
        </w:rPr>
        <w:t>(132 S. Ct. 2566)</w:t>
      </w:r>
      <w:r w:rsidRPr="004874B8">
        <w:rPr>
          <w:rFonts w:asciiTheme="minorHAnsi" w:hAnsiTheme="minorHAnsi"/>
        </w:rPr>
        <w:t xml:space="preserve"> </w:t>
      </w:r>
      <w:r>
        <w:rPr>
          <w:rFonts w:asciiTheme="minorHAnsi" w:hAnsiTheme="minorHAnsi"/>
        </w:rPr>
        <w:t xml:space="preserve">that </w:t>
      </w:r>
      <w:r w:rsidRPr="004874B8">
        <w:rPr>
          <w:rFonts w:asciiTheme="minorHAnsi" w:hAnsiTheme="minorHAnsi"/>
        </w:rPr>
        <w:t xml:space="preserve">the mandatory expansion of states’ Medicaid eligibility rules to include childless adults </w:t>
      </w:r>
      <w:r>
        <w:rPr>
          <w:rFonts w:asciiTheme="minorHAnsi" w:hAnsiTheme="minorHAnsi"/>
        </w:rPr>
        <w:t>exceeded congressional authority under the Spending Clause of the US Constitution</w:t>
      </w:r>
      <w:r w:rsidRPr="004874B8">
        <w:rPr>
          <w:rFonts w:asciiTheme="minorHAnsi" w:hAnsiTheme="minorHAnsi"/>
        </w:rPr>
        <w:t xml:space="preserve">. </w:t>
      </w:r>
      <w:r>
        <w:rPr>
          <w:rFonts w:asciiTheme="minorHAnsi" w:hAnsiTheme="minorHAnsi"/>
        </w:rPr>
        <w:t xml:space="preserve">This effectively made the expansion of eligibility optional, and </w:t>
      </w:r>
      <w:r w:rsidRPr="004874B8">
        <w:rPr>
          <w:rFonts w:asciiTheme="minorHAnsi" w:hAnsiTheme="minorHAnsi"/>
        </w:rPr>
        <w:t xml:space="preserve">California </w:t>
      </w:r>
      <w:r>
        <w:rPr>
          <w:rFonts w:asciiTheme="minorHAnsi" w:hAnsiTheme="minorHAnsi"/>
        </w:rPr>
        <w:t>is</w:t>
      </w:r>
      <w:r w:rsidRPr="004874B8">
        <w:rPr>
          <w:rFonts w:asciiTheme="minorHAnsi" w:hAnsiTheme="minorHAnsi"/>
        </w:rPr>
        <w:t xml:space="preserve"> one of 32 states to date, including the District of Columbia, to exercise th</w:t>
      </w:r>
      <w:r>
        <w:rPr>
          <w:rFonts w:asciiTheme="minorHAnsi" w:hAnsiTheme="minorHAnsi"/>
        </w:rPr>
        <w:t>is option</w:t>
      </w:r>
      <w:r w:rsidRPr="004874B8">
        <w:rPr>
          <w:rFonts w:asciiTheme="minorHAnsi" w:hAnsiTheme="minorHAnsi"/>
        </w:rPr>
        <w:t>.</w:t>
      </w:r>
    </w:p>
  </w:footnote>
  <w:footnote w:id="5">
    <w:p w14:paraId="67E54C9B" w14:textId="77777777" w:rsidR="0099767E" w:rsidRPr="00777C10" w:rsidRDefault="0099767E">
      <w:pPr>
        <w:pStyle w:val="FootnoteText"/>
        <w:rPr>
          <w:rFonts w:asciiTheme="minorHAnsi" w:hAnsiTheme="minorHAnsi"/>
        </w:rPr>
      </w:pPr>
      <w:r w:rsidRPr="00777C10">
        <w:rPr>
          <w:rStyle w:val="FootnoteReference"/>
          <w:rFonts w:asciiTheme="minorHAnsi" w:hAnsiTheme="minorHAnsi"/>
        </w:rPr>
        <w:footnoteRef/>
      </w:r>
      <w:r w:rsidRPr="00777C10">
        <w:rPr>
          <w:rFonts w:asciiTheme="minorHAnsi" w:hAnsiTheme="minorHAnsi"/>
        </w:rPr>
        <w:t xml:space="preserve"> Medicare covers the first 100 days of inpatient care. After the first 20 days, a co-payment applies and is covered by Medi-Cal.</w:t>
      </w:r>
    </w:p>
  </w:footnote>
  <w:footnote w:id="6">
    <w:p w14:paraId="62B8CDE4" w14:textId="77777777" w:rsidR="0099767E" w:rsidRPr="00777C10" w:rsidRDefault="0099767E">
      <w:pPr>
        <w:pStyle w:val="FootnoteText"/>
        <w:rPr>
          <w:rFonts w:asciiTheme="minorHAnsi" w:hAnsiTheme="minorHAnsi"/>
        </w:rPr>
      </w:pPr>
      <w:r w:rsidRPr="00777C10">
        <w:rPr>
          <w:rFonts w:asciiTheme="minorHAnsi" w:hAnsiTheme="minorHAnsi"/>
        </w:rPr>
        <w:footnoteRef/>
      </w:r>
      <w:r w:rsidRPr="00777C10">
        <w:rPr>
          <w:rFonts w:asciiTheme="minorHAnsi" w:hAnsiTheme="minorHAnsi"/>
        </w:rPr>
        <w:t xml:space="preserve"> Medically necessary skilled nursing facility care includes services such as the changing of sterile dressing. Custodial care includes services such as aid with activities of daily living (bathing, dressing, etc.).</w:t>
      </w:r>
    </w:p>
  </w:footnote>
  <w:footnote w:id="7">
    <w:p w14:paraId="66BFA022" w14:textId="77777777" w:rsidR="0099767E" w:rsidRDefault="0099767E">
      <w:pPr>
        <w:pStyle w:val="FootnoteText"/>
      </w:pPr>
      <w:r>
        <w:rPr>
          <w:rStyle w:val="FootnoteReference"/>
        </w:rPr>
        <w:footnoteRef/>
      </w:r>
      <w:r>
        <w:t xml:space="preserve"> </w:t>
      </w:r>
      <w:r w:rsidRPr="00991D6A">
        <w:rPr>
          <w:rFonts w:cs="Arial"/>
        </w:rPr>
        <w:t>Provides for the pre-enrollment of children into the Medi-Cal program who are screened as probable for Medi-Cal eligibility.  Provides temporary full-scope Medi-Cal benefits with no SOC</w:t>
      </w:r>
      <w:r w:rsidRPr="00991D6A">
        <w:rPr>
          <w:bCs/>
        </w:rPr>
        <w:t>.</w:t>
      </w:r>
    </w:p>
  </w:footnote>
  <w:footnote w:id="8">
    <w:p w14:paraId="606F1F4D" w14:textId="77777777" w:rsidR="0099767E" w:rsidRDefault="0099767E">
      <w:pPr>
        <w:pStyle w:val="FootnoteText"/>
      </w:pPr>
      <w:r>
        <w:rPr>
          <w:rStyle w:val="FootnoteReference"/>
        </w:rPr>
        <w:footnoteRef/>
      </w:r>
      <w:r>
        <w:t xml:space="preserve"> </w:t>
      </w:r>
      <w:r w:rsidRPr="00462EF2">
        <w:rPr>
          <w:bCs/>
        </w:rPr>
        <w:t xml:space="preserve">Provides immediate, temporary, </w:t>
      </w:r>
      <w:r>
        <w:rPr>
          <w:bCs/>
        </w:rPr>
        <w:t>FFS</w:t>
      </w:r>
      <w:r w:rsidRPr="00462EF2">
        <w:rPr>
          <w:bCs/>
        </w:rPr>
        <w:t>, full-scope Medi-Cal benefits.</w:t>
      </w:r>
    </w:p>
  </w:footnote>
  <w:footnote w:id="9">
    <w:p w14:paraId="2210BCD8" w14:textId="77777777" w:rsidR="0099767E" w:rsidRDefault="0099767E">
      <w:pPr>
        <w:pStyle w:val="FootnoteText"/>
      </w:pPr>
      <w:r>
        <w:rPr>
          <w:rStyle w:val="FootnoteReference"/>
        </w:rPr>
        <w:footnoteRef/>
      </w:r>
      <w:r>
        <w:t xml:space="preserve"> </w:t>
      </w:r>
      <w:r>
        <w:rPr>
          <w:rFonts w:cs="Arial"/>
        </w:rPr>
        <w:t>Deemed Infant.  Provides full-scope, no SOC Medi-Cal benefits for infants born to mothers who were enrolled in Medi-Cal with no SOC in the month of the infant’s birth.</w:t>
      </w:r>
    </w:p>
  </w:footnote>
  <w:footnote w:id="10">
    <w:p w14:paraId="77296536" w14:textId="77777777" w:rsidR="0099767E" w:rsidRPr="00B508C0" w:rsidRDefault="0099767E">
      <w:pPr>
        <w:pStyle w:val="FootnoteText"/>
      </w:pPr>
      <w:r>
        <w:rPr>
          <w:rStyle w:val="FootnoteReference"/>
        </w:rPr>
        <w:footnoteRef/>
      </w:r>
      <w:r>
        <w:t xml:space="preserve"> </w:t>
      </w:r>
      <w:r w:rsidRPr="00541A16">
        <w:rPr>
          <w:rFonts w:cs="Arial"/>
        </w:rPr>
        <w:t xml:space="preserve">Covers children receiving federal cash grants under Title </w:t>
      </w:r>
      <w:r w:rsidRPr="00EC0D33">
        <w:rPr>
          <w:rFonts w:ascii="Times New Roman" w:hAnsi="Times New Roman"/>
          <w:sz w:val="22"/>
          <w:szCs w:val="22"/>
        </w:rPr>
        <w:t>IV</w:t>
      </w:r>
      <w:r w:rsidRPr="00541A16">
        <w:rPr>
          <w:rFonts w:cs="Arial"/>
        </w:rPr>
        <w:t xml:space="preserve">-E to facilitate the adoption of </w:t>
      </w:r>
      <w:r>
        <w:rPr>
          <w:rFonts w:cs="Arial"/>
        </w:rPr>
        <w:br/>
      </w:r>
      <w:r w:rsidRPr="00541A16">
        <w:rPr>
          <w:rFonts w:cs="Arial"/>
        </w:rPr>
        <w:t xml:space="preserve">hard-to-place children who would require permanent foster </w:t>
      </w:r>
      <w:r w:rsidRPr="00B508C0">
        <w:rPr>
          <w:rFonts w:cs="Arial"/>
        </w:rPr>
        <w:t xml:space="preserve">care </w:t>
      </w:r>
      <w:r w:rsidRPr="00B508C0">
        <w:rPr>
          <w:rFonts w:cs="Arial"/>
          <w:u w:val="single"/>
        </w:rPr>
        <w:t>(FC)</w:t>
      </w:r>
      <w:r w:rsidRPr="00B508C0">
        <w:rPr>
          <w:rFonts w:cs="Arial"/>
        </w:rPr>
        <w:t xml:space="preserve"> placement without such assistance.</w:t>
      </w:r>
    </w:p>
  </w:footnote>
  <w:footnote w:id="11">
    <w:p w14:paraId="0A1CB20B" w14:textId="77777777" w:rsidR="0099767E" w:rsidRPr="00B508C0" w:rsidRDefault="0099767E">
      <w:pPr>
        <w:pStyle w:val="FootnoteText"/>
      </w:pPr>
      <w:r w:rsidRPr="00B508C0">
        <w:rPr>
          <w:rStyle w:val="FootnoteReference"/>
        </w:rPr>
        <w:footnoteRef/>
      </w:r>
      <w:r w:rsidRPr="00B508C0">
        <w:t xml:space="preserve"> </w:t>
      </w:r>
      <w:r w:rsidRPr="00B508C0">
        <w:rPr>
          <w:bCs/>
        </w:rPr>
        <w:t>Covers children on whose behalf financial assistance is provided for federal FC placement.</w:t>
      </w:r>
    </w:p>
  </w:footnote>
  <w:footnote w:id="12">
    <w:p w14:paraId="09E7195B" w14:textId="77777777" w:rsidR="0099767E" w:rsidRDefault="0099767E">
      <w:pPr>
        <w:pStyle w:val="FootnoteText"/>
      </w:pPr>
      <w:r w:rsidRPr="00B508C0">
        <w:rPr>
          <w:rStyle w:val="FootnoteReference"/>
        </w:rPr>
        <w:footnoteRef/>
      </w:r>
      <w:r w:rsidRPr="00B508C0">
        <w:t xml:space="preserve"> </w:t>
      </w:r>
      <w:r w:rsidRPr="00B508C0">
        <w:rPr>
          <w:rFonts w:cs="Arial"/>
        </w:rPr>
        <w:t>Targeted Low-Income FPL for Children (</w:t>
      </w:r>
      <w:r w:rsidRPr="00B508C0">
        <w:rPr>
          <w:rFonts w:cs="Arial"/>
          <w:u w:val="single"/>
        </w:rPr>
        <w:t>Medicaid-Children’s Health Insurance Program</w:t>
      </w:r>
      <w:r w:rsidRPr="00B508C0">
        <w:rPr>
          <w:rFonts w:cs="Arial"/>
        </w:rPr>
        <w:t xml:space="preserve"> Title </w:t>
      </w:r>
      <w:r w:rsidRPr="00B508C0">
        <w:rPr>
          <w:rFonts w:ascii="Times New Roman" w:hAnsi="Times New Roman"/>
          <w:sz w:val="22"/>
        </w:rPr>
        <w:t>XXI</w:t>
      </w:r>
      <w:r w:rsidRPr="00B508C0">
        <w:rPr>
          <w:rFonts w:cs="Arial"/>
        </w:rPr>
        <w:t>)</w:t>
      </w:r>
      <w:r w:rsidRPr="00B508C0">
        <w:rPr>
          <w:rFonts w:cs="Arial"/>
          <w:color w:val="000080"/>
        </w:rPr>
        <w:t xml:space="preserve">.  </w:t>
      </w:r>
      <w:r w:rsidRPr="00B508C0">
        <w:rPr>
          <w:rFonts w:cs="Arial"/>
        </w:rPr>
        <w:t>Provides for the pre-enrollment of children into the Medi-Cal program who are screened</w:t>
      </w:r>
      <w:r w:rsidRPr="0077729A">
        <w:rPr>
          <w:rFonts w:cs="Arial"/>
        </w:rPr>
        <w:t xml:space="preserve"> as probable for Medi-Cal eligibility</w:t>
      </w:r>
      <w:r>
        <w:rPr>
          <w:rFonts w:cs="Arial"/>
        </w:rPr>
        <w:t>.  Provides temporary full-scope Medi-Cal benefits with no SOC.</w:t>
      </w:r>
    </w:p>
  </w:footnote>
  <w:footnote w:id="13">
    <w:p w14:paraId="01C464DF" w14:textId="77777777" w:rsidR="0099767E" w:rsidRDefault="0099767E">
      <w:pPr>
        <w:pStyle w:val="FootnoteText"/>
      </w:pPr>
      <w:r>
        <w:rPr>
          <w:rStyle w:val="FootnoteReference"/>
        </w:rPr>
        <w:footnoteRef/>
      </w:r>
      <w:r>
        <w:t xml:space="preserve"> </w:t>
      </w:r>
      <w:r w:rsidRPr="00A8078F">
        <w:rPr>
          <w:rFonts w:cs="Arial"/>
          <w:bCs/>
        </w:rPr>
        <w:t>Provides full-scope, no cost Medi-Cal coverage for parent-caretakers with income at 0 to 109 percent of the FPL.</w:t>
      </w:r>
    </w:p>
  </w:footnote>
  <w:footnote w:id="14">
    <w:p w14:paraId="665E63F3" w14:textId="77777777" w:rsidR="0099767E" w:rsidRDefault="0099767E">
      <w:pPr>
        <w:pStyle w:val="FootnoteText"/>
      </w:pPr>
      <w:r>
        <w:rPr>
          <w:rStyle w:val="FootnoteReference"/>
        </w:rPr>
        <w:footnoteRef/>
      </w:r>
      <w:r>
        <w:t xml:space="preserve"> </w:t>
      </w:r>
      <w:r w:rsidRPr="00541A16">
        <w:rPr>
          <w:bCs/>
        </w:rPr>
        <w:t xml:space="preserve">Covers children on whose behalf financial assistance is provided for state only </w:t>
      </w:r>
      <w:r>
        <w:rPr>
          <w:bCs/>
        </w:rPr>
        <w:t xml:space="preserve">FC </w:t>
      </w:r>
      <w:r w:rsidRPr="00541A16">
        <w:rPr>
          <w:bCs/>
        </w:rPr>
        <w:t>placement.</w:t>
      </w:r>
    </w:p>
  </w:footnote>
  <w:footnote w:id="15">
    <w:p w14:paraId="4E2D502C" w14:textId="77777777" w:rsidR="0099767E" w:rsidRDefault="0099767E" w:rsidP="00DA02D4">
      <w:pPr>
        <w:pStyle w:val="FootnoteText"/>
      </w:pPr>
      <w:r>
        <w:rPr>
          <w:rStyle w:val="FootnoteReference"/>
        </w:rPr>
        <w:footnoteRef/>
      </w:r>
      <w:r>
        <w:t xml:space="preserve"> </w:t>
      </w:r>
      <w:hyperlink r:id="rId3" w:history="1">
        <w:r w:rsidRPr="0058760B">
          <w:rPr>
            <w:rStyle w:val="Hyperlink"/>
          </w:rPr>
          <w:t>http://www.denti-cal.ca.gov/WSI/Bene.jsp?fname=MedicalAdultDentalBeneInfo</w:t>
        </w:r>
      </w:hyperlink>
    </w:p>
  </w:footnote>
  <w:footnote w:id="16">
    <w:p w14:paraId="3B69923C" w14:textId="77777777" w:rsidR="0099767E" w:rsidRPr="00680992" w:rsidRDefault="0099767E" w:rsidP="00E301F7">
      <w:pPr>
        <w:pStyle w:val="FootnoteText"/>
        <w:rPr>
          <w:rFonts w:asciiTheme="minorHAnsi" w:hAnsiTheme="minorHAnsi"/>
        </w:rPr>
      </w:pPr>
      <w:r w:rsidRPr="00680992">
        <w:rPr>
          <w:rStyle w:val="FootnoteReference"/>
          <w:rFonts w:asciiTheme="minorHAnsi" w:hAnsiTheme="minorHAnsi"/>
        </w:rPr>
        <w:footnoteRef/>
      </w:r>
      <w:r w:rsidRPr="00680992">
        <w:rPr>
          <w:rFonts w:asciiTheme="minorHAnsi" w:hAnsiTheme="minorHAnsi"/>
        </w:rPr>
        <w:t xml:space="preserve"> Readers should not confuse help-line interventions with access monitoring as discussed here. It is understood that help-line or call centers are designed to resolve specific patient access barriers so that proper health care can be ascertained. In terms of system-wide access to health care services, information from these help-line calls is used to inform the “system,” allowing those responsible for </w:t>
      </w:r>
      <w:r>
        <w:rPr>
          <w:rFonts w:asciiTheme="minorHAnsi" w:hAnsiTheme="minorHAnsi"/>
        </w:rPr>
        <w:t>providing</w:t>
      </w:r>
      <w:r w:rsidRPr="00680992">
        <w:rPr>
          <w:rFonts w:asciiTheme="minorHAnsi" w:hAnsiTheme="minorHAnsi"/>
        </w:rPr>
        <w:t xml:space="preserve"> access to health care services to identify systematic patterns. This information will then be used in further research to possibly identify systemic access barriers and design/implement interventions.</w:t>
      </w:r>
    </w:p>
  </w:footnote>
  <w:footnote w:id="17">
    <w:p w14:paraId="5C1BD100" w14:textId="77777777" w:rsidR="0099767E" w:rsidRPr="00EA4ED3" w:rsidRDefault="0099767E" w:rsidP="00EA4ED3">
      <w:pPr>
        <w:pStyle w:val="FootnoteText"/>
        <w:rPr>
          <w:rFonts w:asciiTheme="minorHAnsi" w:eastAsiaTheme="minorHAnsi" w:hAnsiTheme="minorHAnsi" w:cs="Tahoma"/>
          <w:sz w:val="16"/>
          <w:szCs w:val="16"/>
        </w:rPr>
      </w:pPr>
      <w:r w:rsidRPr="00EA4ED3">
        <w:rPr>
          <w:rStyle w:val="FootnoteReference"/>
          <w:sz w:val="16"/>
          <w:szCs w:val="16"/>
        </w:rPr>
        <w:footnoteRef/>
      </w:r>
      <w:r w:rsidRPr="00EA4ED3">
        <w:rPr>
          <w:rFonts w:asciiTheme="minorHAnsi" w:eastAsiaTheme="minorHAnsi" w:hAnsiTheme="minorHAnsi" w:cs="Tahoma"/>
          <w:sz w:val="16"/>
          <w:szCs w:val="16"/>
        </w:rPr>
        <w:t xml:space="preserve">The Pre-Post-natal service category includes services for women ages 15-44 enrolled in FFS for any length of period. It is not limited to only those women with at least 11 months of enrollment in FFS. </w:t>
      </w:r>
    </w:p>
  </w:footnote>
  <w:footnote w:id="18">
    <w:p w14:paraId="322DD899" w14:textId="77777777" w:rsidR="0099767E" w:rsidRPr="006A6FF8" w:rsidRDefault="0099767E" w:rsidP="00EA4ED3">
      <w:pPr>
        <w:pStyle w:val="FootnoteText"/>
        <w:rPr>
          <w:sz w:val="16"/>
          <w:szCs w:val="16"/>
        </w:rPr>
      </w:pPr>
      <w:r w:rsidRPr="00EA4ED3">
        <w:rPr>
          <w:rFonts w:asciiTheme="minorHAnsi" w:eastAsiaTheme="minorHAnsi" w:hAnsiTheme="minorHAnsi" w:cs="Tahoma"/>
          <w:vertAlign w:val="superscript"/>
        </w:rPr>
        <w:footnoteRef/>
      </w:r>
      <w:r w:rsidRPr="00EA4ED3">
        <w:rPr>
          <w:rFonts w:asciiTheme="minorHAnsi" w:eastAsiaTheme="minorHAnsi" w:hAnsiTheme="minorHAnsi" w:cs="Tahoma"/>
          <w:sz w:val="16"/>
          <w:szCs w:val="16"/>
        </w:rPr>
        <w:t>Pre-and Post-Natal Obstetric services includes services by providers categorized in Gynecology, Obstetrics, Obstetrics-Gynecology Neonatal, Certified Nurse Midwife, Birthing Centers, Alternative Birthing Centers, and may include services other than pre-and post-natal care.</w:t>
      </w:r>
      <w:r>
        <w:rPr>
          <w:sz w:val="16"/>
          <w:szCs w:val="16"/>
        </w:rPr>
        <w:t xml:space="preserve"> </w:t>
      </w:r>
    </w:p>
  </w:footnote>
  <w:footnote w:id="19">
    <w:p w14:paraId="23DB3921" w14:textId="77777777" w:rsidR="0099767E" w:rsidRDefault="0099767E" w:rsidP="00407705">
      <w:pPr>
        <w:pStyle w:val="FootnoteText"/>
      </w:pPr>
      <w:r>
        <w:rPr>
          <w:rStyle w:val="FootnoteReference"/>
        </w:rPr>
        <w:footnoteRef/>
      </w:r>
      <w:r>
        <w:t xml:space="preserve"> </w:t>
      </w:r>
      <w:hyperlink r:id="rId4" w:history="1">
        <w:r w:rsidRPr="0058760B">
          <w:rPr>
            <w:rStyle w:val="Hyperlink"/>
          </w:rPr>
          <w:t>http://www.denti-cal.ca.gov/WSI/Bene.jsp?fname=MedicalAdultDentalBeneInfo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90EC8" w14:textId="77777777" w:rsidR="0099767E" w:rsidRPr="00231E70" w:rsidRDefault="0099767E" w:rsidP="001975FD">
    <w:pPr>
      <w:pStyle w:val="Header"/>
      <w:jc w:val="right"/>
      <w:rPr>
        <w:rFonts w:ascii="Calibri" w:hAnsi="Calibri"/>
      </w:rPr>
    </w:pPr>
    <w:r w:rsidRPr="00231E70">
      <w:rPr>
        <w:rFonts w:ascii="Calibri" w:hAnsi="Calibri"/>
      </w:rPr>
      <w:t>Monitoring Plan</w:t>
    </w:r>
    <w:r>
      <w:rPr>
        <w:rFonts w:ascii="Calibri" w:hAnsi="Calibri"/>
      </w:rPr>
      <w:t xml:space="preserve"> – Draft for Public Review &amp; Comment</w:t>
    </w:r>
  </w:p>
  <w:p w14:paraId="1D98EF8A" w14:textId="77777777" w:rsidR="0099767E" w:rsidRDefault="0099767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707C8" w14:textId="77777777" w:rsidR="0099767E" w:rsidRDefault="0099767E" w:rsidP="00FA7092">
    <w:pPr>
      <w:pStyle w:val="Header"/>
      <w:jc w:val="right"/>
    </w:pPr>
    <w:r w:rsidRPr="00231E70">
      <w:rPr>
        <w:rFonts w:ascii="Calibri" w:hAnsi="Calibri"/>
      </w:rPr>
      <w:t>Monitoring Plan</w:t>
    </w:r>
    <w:r>
      <w:rPr>
        <w:rFonts w:ascii="Calibri" w:hAnsi="Calibri"/>
      </w:rPr>
      <w:t xml:space="preserve"> – Draft for Public Review &amp; Comment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E7FE7" w14:textId="77777777" w:rsidR="0099767E" w:rsidRDefault="0099767E" w:rsidP="00FA7092">
    <w:pPr>
      <w:pStyle w:val="Header"/>
      <w:jc w:val="right"/>
    </w:pPr>
    <w:r w:rsidRPr="00231E70">
      <w:rPr>
        <w:rFonts w:ascii="Calibri" w:hAnsi="Calibri"/>
      </w:rPr>
      <w:t>Monitoring Plan</w:t>
    </w:r>
    <w:r>
      <w:rPr>
        <w:rFonts w:ascii="Calibri" w:hAnsi="Calibri"/>
      </w:rPr>
      <w:t xml:space="preserve"> – Draft for Public Review &amp; Comment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01819" w14:textId="77777777" w:rsidR="0099767E" w:rsidRDefault="0099767E" w:rsidP="00FA7092">
    <w:pPr>
      <w:pStyle w:val="Header"/>
      <w:jc w:val="right"/>
    </w:pPr>
    <w:r w:rsidRPr="00231E70">
      <w:rPr>
        <w:rFonts w:ascii="Calibri" w:hAnsi="Calibri"/>
      </w:rPr>
      <w:t>Monitoring Plan</w:t>
    </w:r>
    <w:r>
      <w:rPr>
        <w:rFonts w:ascii="Calibri" w:hAnsi="Calibri"/>
      </w:rPr>
      <w:t xml:space="preserve"> – Draft for Public Review &amp; Comment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7B2C"/>
    <w:multiLevelType w:val="hybridMultilevel"/>
    <w:tmpl w:val="23AA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B2D56"/>
    <w:multiLevelType w:val="hybridMultilevel"/>
    <w:tmpl w:val="CAB8B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C5E23"/>
    <w:multiLevelType w:val="hybridMultilevel"/>
    <w:tmpl w:val="50125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A755B"/>
    <w:multiLevelType w:val="hybridMultilevel"/>
    <w:tmpl w:val="5296AC9C"/>
    <w:lvl w:ilvl="0" w:tplc="6366A40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87031C"/>
    <w:multiLevelType w:val="hybridMultilevel"/>
    <w:tmpl w:val="E246484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12173E22"/>
    <w:multiLevelType w:val="hybridMultilevel"/>
    <w:tmpl w:val="37C28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F1967"/>
    <w:multiLevelType w:val="hybridMultilevel"/>
    <w:tmpl w:val="87263CC0"/>
    <w:lvl w:ilvl="0" w:tplc="F5DC9636">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E04BAA"/>
    <w:multiLevelType w:val="hybridMultilevel"/>
    <w:tmpl w:val="B82E4FC4"/>
    <w:lvl w:ilvl="0" w:tplc="4C04C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93A60"/>
    <w:multiLevelType w:val="hybridMultilevel"/>
    <w:tmpl w:val="FA645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D7A6F7A">
      <w:start w:val="1"/>
      <w:numFmt w:val="decimal"/>
      <w:lvlText w:val="%3."/>
      <w:lvlJc w:val="right"/>
      <w:pPr>
        <w:ind w:left="2160" w:hanging="180"/>
      </w:pPr>
      <w:rPr>
        <w:rFonts w:asciiTheme="minorHAnsi" w:eastAsiaTheme="minorHAnsi"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B1D39"/>
    <w:multiLevelType w:val="hybridMultilevel"/>
    <w:tmpl w:val="9FFAC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514520"/>
    <w:multiLevelType w:val="hybridMultilevel"/>
    <w:tmpl w:val="E1CE2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3255E1"/>
    <w:multiLevelType w:val="hybridMultilevel"/>
    <w:tmpl w:val="C2DE3FE0"/>
    <w:lvl w:ilvl="0" w:tplc="C43E09F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362C21"/>
    <w:multiLevelType w:val="hybridMultilevel"/>
    <w:tmpl w:val="3A86855E"/>
    <w:lvl w:ilvl="0" w:tplc="F5DC9636">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9653A"/>
    <w:multiLevelType w:val="hybridMultilevel"/>
    <w:tmpl w:val="3B106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ED4BBE"/>
    <w:multiLevelType w:val="hybridMultilevel"/>
    <w:tmpl w:val="1A522ADE"/>
    <w:lvl w:ilvl="0" w:tplc="F5DC9636">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B1FEA"/>
    <w:multiLevelType w:val="hybridMultilevel"/>
    <w:tmpl w:val="4A1461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23484D"/>
    <w:multiLevelType w:val="hybridMultilevel"/>
    <w:tmpl w:val="8DD4A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B76A75"/>
    <w:multiLevelType w:val="hybridMultilevel"/>
    <w:tmpl w:val="BB262EE8"/>
    <w:lvl w:ilvl="0" w:tplc="F5DC9636">
      <w:start w:val="1"/>
      <w:numFmt w:val="bullet"/>
      <w:lvlText w:val=""/>
      <w:lvlJc w:val="left"/>
      <w:pPr>
        <w:ind w:left="360" w:hanging="360"/>
      </w:pPr>
      <w:rPr>
        <w:rFonts w:ascii="Symbol" w:hAnsi="Symbo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4E16B3E"/>
    <w:multiLevelType w:val="hybridMultilevel"/>
    <w:tmpl w:val="CC72D5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E4460"/>
    <w:multiLevelType w:val="hybridMultilevel"/>
    <w:tmpl w:val="AE989660"/>
    <w:lvl w:ilvl="0" w:tplc="F5DC9636">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2B7F7F"/>
    <w:multiLevelType w:val="hybridMultilevel"/>
    <w:tmpl w:val="16DE9B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93313F2"/>
    <w:multiLevelType w:val="hybridMultilevel"/>
    <w:tmpl w:val="1606291E"/>
    <w:lvl w:ilvl="0" w:tplc="4B2094B0">
      <w:start w:val="1"/>
      <w:numFmt w:val="decimal"/>
      <w:lvlText w:val="%1."/>
      <w:lvlJc w:val="left"/>
      <w:pPr>
        <w:ind w:left="720" w:hanging="360"/>
      </w:pPr>
      <w:rPr>
        <w:rFonts w:cs="Times New Roman" w:hint="default"/>
        <w:b w:val="0"/>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CF830E1"/>
    <w:multiLevelType w:val="hybridMultilevel"/>
    <w:tmpl w:val="AA02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07C74"/>
    <w:multiLevelType w:val="hybridMultilevel"/>
    <w:tmpl w:val="80D4D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7F1303"/>
    <w:multiLevelType w:val="hybridMultilevel"/>
    <w:tmpl w:val="36FA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0E6C64"/>
    <w:multiLevelType w:val="hybridMultilevel"/>
    <w:tmpl w:val="6AAA8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F03328"/>
    <w:multiLevelType w:val="hybridMultilevel"/>
    <w:tmpl w:val="90104270"/>
    <w:lvl w:ilvl="0" w:tplc="8124B05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C4363"/>
    <w:multiLevelType w:val="hybridMultilevel"/>
    <w:tmpl w:val="DA0EE8FC"/>
    <w:lvl w:ilvl="0" w:tplc="F5DC9636">
      <w:start w:val="1"/>
      <w:numFmt w:val="bullet"/>
      <w:lvlText w:val=""/>
      <w:lvlJc w:val="left"/>
      <w:pPr>
        <w:ind w:left="420" w:hanging="360"/>
      </w:pPr>
      <w:rPr>
        <w:rFonts w:ascii="Symbol" w:hAnsi="Symbol" w:hint="default"/>
        <w:sz w:val="24"/>
        <w:szCs w:val="24"/>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C301DFB"/>
    <w:multiLevelType w:val="hybridMultilevel"/>
    <w:tmpl w:val="677EA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93669C"/>
    <w:multiLevelType w:val="hybridMultilevel"/>
    <w:tmpl w:val="FA645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D7A6F7A">
      <w:start w:val="1"/>
      <w:numFmt w:val="decimal"/>
      <w:lvlText w:val="%3."/>
      <w:lvlJc w:val="right"/>
      <w:pPr>
        <w:ind w:left="2160" w:hanging="180"/>
      </w:pPr>
      <w:rPr>
        <w:rFonts w:asciiTheme="minorHAnsi" w:eastAsiaTheme="minorHAnsi"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0218F1"/>
    <w:multiLevelType w:val="hybridMultilevel"/>
    <w:tmpl w:val="21F0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2371A4"/>
    <w:multiLevelType w:val="hybridMultilevel"/>
    <w:tmpl w:val="1CB0CB3E"/>
    <w:lvl w:ilvl="0" w:tplc="84A66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3B68D0"/>
    <w:multiLevelType w:val="hybridMultilevel"/>
    <w:tmpl w:val="9E98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892C7E"/>
    <w:multiLevelType w:val="hybridMultilevel"/>
    <w:tmpl w:val="4742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D861FA"/>
    <w:multiLevelType w:val="hybridMultilevel"/>
    <w:tmpl w:val="62388834"/>
    <w:lvl w:ilvl="0" w:tplc="F5DC9636">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9F7DA0"/>
    <w:multiLevelType w:val="hybridMultilevel"/>
    <w:tmpl w:val="1F7C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663848"/>
    <w:multiLevelType w:val="hybridMultilevel"/>
    <w:tmpl w:val="D592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9B009B"/>
    <w:multiLevelType w:val="hybridMultilevel"/>
    <w:tmpl w:val="EAA8C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5C04B7"/>
    <w:multiLevelType w:val="hybridMultilevel"/>
    <w:tmpl w:val="24647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6077AF"/>
    <w:multiLevelType w:val="hybridMultilevel"/>
    <w:tmpl w:val="957C2330"/>
    <w:lvl w:ilvl="0" w:tplc="F5DC9636">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121F02"/>
    <w:multiLevelType w:val="hybridMultilevel"/>
    <w:tmpl w:val="847AD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A06928"/>
    <w:multiLevelType w:val="hybridMultilevel"/>
    <w:tmpl w:val="1CB0CB3E"/>
    <w:lvl w:ilvl="0" w:tplc="84A66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812FC7"/>
    <w:multiLevelType w:val="hybridMultilevel"/>
    <w:tmpl w:val="1E642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014C07"/>
    <w:multiLevelType w:val="hybridMultilevel"/>
    <w:tmpl w:val="C5CCD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5"/>
  </w:num>
  <w:num w:numId="3">
    <w:abstractNumId w:val="5"/>
  </w:num>
  <w:num w:numId="4">
    <w:abstractNumId w:val="42"/>
  </w:num>
  <w:num w:numId="5">
    <w:abstractNumId w:val="37"/>
  </w:num>
  <w:num w:numId="6">
    <w:abstractNumId w:val="26"/>
  </w:num>
  <w:num w:numId="7">
    <w:abstractNumId w:val="23"/>
  </w:num>
  <w:num w:numId="8">
    <w:abstractNumId w:val="38"/>
  </w:num>
  <w:num w:numId="9">
    <w:abstractNumId w:val="10"/>
  </w:num>
  <w:num w:numId="10">
    <w:abstractNumId w:val="13"/>
  </w:num>
  <w:num w:numId="11">
    <w:abstractNumId w:val="2"/>
  </w:num>
  <w:num w:numId="12">
    <w:abstractNumId w:val="1"/>
  </w:num>
  <w:num w:numId="13">
    <w:abstractNumId w:val="28"/>
  </w:num>
  <w:num w:numId="14">
    <w:abstractNumId w:val="20"/>
  </w:num>
  <w:num w:numId="15">
    <w:abstractNumId w:val="29"/>
  </w:num>
  <w:num w:numId="16">
    <w:abstractNumId w:val="16"/>
  </w:num>
  <w:num w:numId="17">
    <w:abstractNumId w:val="8"/>
  </w:num>
  <w:num w:numId="18">
    <w:abstractNumId w:val="25"/>
  </w:num>
  <w:num w:numId="19">
    <w:abstractNumId w:val="31"/>
  </w:num>
  <w:num w:numId="20">
    <w:abstractNumId w:val="7"/>
  </w:num>
  <w:num w:numId="21">
    <w:abstractNumId w:val="17"/>
  </w:num>
  <w:num w:numId="22">
    <w:abstractNumId w:val="4"/>
  </w:num>
  <w:num w:numId="23">
    <w:abstractNumId w:val="43"/>
  </w:num>
  <w:num w:numId="24">
    <w:abstractNumId w:val="11"/>
  </w:num>
  <w:num w:numId="25">
    <w:abstractNumId w:val="6"/>
  </w:num>
  <w:num w:numId="26">
    <w:abstractNumId w:val="12"/>
  </w:num>
  <w:num w:numId="27">
    <w:abstractNumId w:val="39"/>
  </w:num>
  <w:num w:numId="28">
    <w:abstractNumId w:val="27"/>
  </w:num>
  <w:num w:numId="29">
    <w:abstractNumId w:val="34"/>
  </w:num>
  <w:num w:numId="30">
    <w:abstractNumId w:val="19"/>
  </w:num>
  <w:num w:numId="31">
    <w:abstractNumId w:val="14"/>
  </w:num>
  <w:num w:numId="32">
    <w:abstractNumId w:val="9"/>
  </w:num>
  <w:num w:numId="33">
    <w:abstractNumId w:val="33"/>
  </w:num>
  <w:num w:numId="34">
    <w:abstractNumId w:val="36"/>
  </w:num>
  <w:num w:numId="35">
    <w:abstractNumId w:val="0"/>
  </w:num>
  <w:num w:numId="36">
    <w:abstractNumId w:val="18"/>
  </w:num>
  <w:num w:numId="37">
    <w:abstractNumId w:val="35"/>
  </w:num>
  <w:num w:numId="38">
    <w:abstractNumId w:val="22"/>
  </w:num>
  <w:num w:numId="39">
    <w:abstractNumId w:val="3"/>
  </w:num>
  <w:num w:numId="40">
    <w:abstractNumId w:val="41"/>
  </w:num>
  <w:num w:numId="41">
    <w:abstractNumId w:val="32"/>
  </w:num>
  <w:num w:numId="42">
    <w:abstractNumId w:val="24"/>
  </w:num>
  <w:num w:numId="43">
    <w:abstractNumId w:val="30"/>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0"/>
  <w:documentProtection w:edit="comments" w:enforcement="1" w:cryptProviderType="rsaAES" w:cryptAlgorithmClass="hash" w:cryptAlgorithmType="typeAny" w:cryptAlgorithmSid="14" w:cryptSpinCount="100000" w:hash="aKH1NDqlJHBnDeveIuEk7W45B285DW2GIDd8jQSNm50zs7CI8rrJUmWpPW781S988m+KjN/BYftRJkCyOQ93cQ==" w:salt="UhaFT7undoArPz51F/4WYQ=="/>
  <w:defaultTabStop w:val="720"/>
  <w:characterSpacingControl w:val="doNotCompress"/>
  <w:hdrShapeDefaults>
    <o:shapedefaults v:ext="edit" spidmax="4097"/>
  </w:hdrShapeDefaults>
  <w:footnotePr>
    <w:numFmt w:val="lowerRoman"/>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9B9"/>
    <w:rsid w:val="00000936"/>
    <w:rsid w:val="00005FA6"/>
    <w:rsid w:val="000066E4"/>
    <w:rsid w:val="00015604"/>
    <w:rsid w:val="00015FE9"/>
    <w:rsid w:val="00022579"/>
    <w:rsid w:val="00022E72"/>
    <w:rsid w:val="00024027"/>
    <w:rsid w:val="0002452F"/>
    <w:rsid w:val="00025BBF"/>
    <w:rsid w:val="00030948"/>
    <w:rsid w:val="00032652"/>
    <w:rsid w:val="000328A5"/>
    <w:rsid w:val="000353C3"/>
    <w:rsid w:val="000359F9"/>
    <w:rsid w:val="00035AE5"/>
    <w:rsid w:val="00040C21"/>
    <w:rsid w:val="00041458"/>
    <w:rsid w:val="00042767"/>
    <w:rsid w:val="00045EC3"/>
    <w:rsid w:val="000465A5"/>
    <w:rsid w:val="000468AD"/>
    <w:rsid w:val="00047142"/>
    <w:rsid w:val="00053011"/>
    <w:rsid w:val="00062995"/>
    <w:rsid w:val="00064270"/>
    <w:rsid w:val="00067336"/>
    <w:rsid w:val="00070296"/>
    <w:rsid w:val="00070877"/>
    <w:rsid w:val="00071A72"/>
    <w:rsid w:val="000739EB"/>
    <w:rsid w:val="00073BFC"/>
    <w:rsid w:val="000761C4"/>
    <w:rsid w:val="00077297"/>
    <w:rsid w:val="00077795"/>
    <w:rsid w:val="00082036"/>
    <w:rsid w:val="00082395"/>
    <w:rsid w:val="00085BCA"/>
    <w:rsid w:val="00085E11"/>
    <w:rsid w:val="00086FF8"/>
    <w:rsid w:val="000905CE"/>
    <w:rsid w:val="00090EB2"/>
    <w:rsid w:val="00091A39"/>
    <w:rsid w:val="00092374"/>
    <w:rsid w:val="00092860"/>
    <w:rsid w:val="00093665"/>
    <w:rsid w:val="000A0F79"/>
    <w:rsid w:val="000A1695"/>
    <w:rsid w:val="000A294E"/>
    <w:rsid w:val="000A331F"/>
    <w:rsid w:val="000A3D2C"/>
    <w:rsid w:val="000A3DAE"/>
    <w:rsid w:val="000A77D0"/>
    <w:rsid w:val="000B04CE"/>
    <w:rsid w:val="000B354E"/>
    <w:rsid w:val="000B39FA"/>
    <w:rsid w:val="000B432D"/>
    <w:rsid w:val="000B5D4F"/>
    <w:rsid w:val="000C386E"/>
    <w:rsid w:val="000C72D3"/>
    <w:rsid w:val="000D1262"/>
    <w:rsid w:val="000D19AC"/>
    <w:rsid w:val="000D2B74"/>
    <w:rsid w:val="000D5865"/>
    <w:rsid w:val="000D5FD8"/>
    <w:rsid w:val="000D6C4B"/>
    <w:rsid w:val="000D70C9"/>
    <w:rsid w:val="000E1B8E"/>
    <w:rsid w:val="000E575A"/>
    <w:rsid w:val="000E6E3C"/>
    <w:rsid w:val="000F06D1"/>
    <w:rsid w:val="000F6C36"/>
    <w:rsid w:val="000F7F91"/>
    <w:rsid w:val="001006AC"/>
    <w:rsid w:val="00101364"/>
    <w:rsid w:val="00105FFC"/>
    <w:rsid w:val="00111087"/>
    <w:rsid w:val="001118E3"/>
    <w:rsid w:val="00116854"/>
    <w:rsid w:val="00116CB2"/>
    <w:rsid w:val="00116D8C"/>
    <w:rsid w:val="00120236"/>
    <w:rsid w:val="0012474A"/>
    <w:rsid w:val="00125C7B"/>
    <w:rsid w:val="00126461"/>
    <w:rsid w:val="00126CA8"/>
    <w:rsid w:val="001275EF"/>
    <w:rsid w:val="00130388"/>
    <w:rsid w:val="001304A3"/>
    <w:rsid w:val="00132BED"/>
    <w:rsid w:val="00135138"/>
    <w:rsid w:val="001358AE"/>
    <w:rsid w:val="00137F7B"/>
    <w:rsid w:val="00144443"/>
    <w:rsid w:val="00144BD2"/>
    <w:rsid w:val="00145CA4"/>
    <w:rsid w:val="00146F6F"/>
    <w:rsid w:val="001504FC"/>
    <w:rsid w:val="00151524"/>
    <w:rsid w:val="00153BA1"/>
    <w:rsid w:val="00154DA6"/>
    <w:rsid w:val="00160440"/>
    <w:rsid w:val="001637EA"/>
    <w:rsid w:val="001641BD"/>
    <w:rsid w:val="00164521"/>
    <w:rsid w:val="00166100"/>
    <w:rsid w:val="0016789F"/>
    <w:rsid w:val="00167AD0"/>
    <w:rsid w:val="00174757"/>
    <w:rsid w:val="00174B40"/>
    <w:rsid w:val="001777D6"/>
    <w:rsid w:val="001803BB"/>
    <w:rsid w:val="00180BC7"/>
    <w:rsid w:val="00183863"/>
    <w:rsid w:val="001848DB"/>
    <w:rsid w:val="00186BB7"/>
    <w:rsid w:val="0018703A"/>
    <w:rsid w:val="00190413"/>
    <w:rsid w:val="0019409F"/>
    <w:rsid w:val="00194D59"/>
    <w:rsid w:val="00196479"/>
    <w:rsid w:val="001975FD"/>
    <w:rsid w:val="001A3F08"/>
    <w:rsid w:val="001A3FEB"/>
    <w:rsid w:val="001A412E"/>
    <w:rsid w:val="001A6BB4"/>
    <w:rsid w:val="001B44E1"/>
    <w:rsid w:val="001B4E6F"/>
    <w:rsid w:val="001B7879"/>
    <w:rsid w:val="001C0084"/>
    <w:rsid w:val="001C2014"/>
    <w:rsid w:val="001C4A8E"/>
    <w:rsid w:val="001C5CEE"/>
    <w:rsid w:val="001C6128"/>
    <w:rsid w:val="001C7AD9"/>
    <w:rsid w:val="001D01DC"/>
    <w:rsid w:val="001D378B"/>
    <w:rsid w:val="001D6E99"/>
    <w:rsid w:val="001E0013"/>
    <w:rsid w:val="001E1ACA"/>
    <w:rsid w:val="001E334A"/>
    <w:rsid w:val="001E5040"/>
    <w:rsid w:val="001E5163"/>
    <w:rsid w:val="001E5D31"/>
    <w:rsid w:val="001E7390"/>
    <w:rsid w:val="001F2D87"/>
    <w:rsid w:val="001F66E4"/>
    <w:rsid w:val="001F6FA8"/>
    <w:rsid w:val="0020494F"/>
    <w:rsid w:val="00205EF2"/>
    <w:rsid w:val="00206139"/>
    <w:rsid w:val="0020617B"/>
    <w:rsid w:val="00206D06"/>
    <w:rsid w:val="00206F94"/>
    <w:rsid w:val="00210A86"/>
    <w:rsid w:val="002113FE"/>
    <w:rsid w:val="0021209B"/>
    <w:rsid w:val="00212433"/>
    <w:rsid w:val="00215A48"/>
    <w:rsid w:val="0021763B"/>
    <w:rsid w:val="00217B5D"/>
    <w:rsid w:val="002201F5"/>
    <w:rsid w:val="00220506"/>
    <w:rsid w:val="00222EA9"/>
    <w:rsid w:val="0022519F"/>
    <w:rsid w:val="00226EC2"/>
    <w:rsid w:val="00231E70"/>
    <w:rsid w:val="00232F5D"/>
    <w:rsid w:val="00233EC1"/>
    <w:rsid w:val="002374C0"/>
    <w:rsid w:val="00237A67"/>
    <w:rsid w:val="002446FC"/>
    <w:rsid w:val="00246FA9"/>
    <w:rsid w:val="0025181D"/>
    <w:rsid w:val="00253453"/>
    <w:rsid w:val="002546ED"/>
    <w:rsid w:val="00254EEE"/>
    <w:rsid w:val="00255FAF"/>
    <w:rsid w:val="00256F0A"/>
    <w:rsid w:val="0025749B"/>
    <w:rsid w:val="002603EB"/>
    <w:rsid w:val="00261539"/>
    <w:rsid w:val="00261EEE"/>
    <w:rsid w:val="002628D5"/>
    <w:rsid w:val="00263B6F"/>
    <w:rsid w:val="002643A5"/>
    <w:rsid w:val="00266A5A"/>
    <w:rsid w:val="00267B7D"/>
    <w:rsid w:val="00267FDC"/>
    <w:rsid w:val="00270FE9"/>
    <w:rsid w:val="00271F99"/>
    <w:rsid w:val="0027351A"/>
    <w:rsid w:val="00281174"/>
    <w:rsid w:val="00283FBF"/>
    <w:rsid w:val="0029070E"/>
    <w:rsid w:val="00290B8A"/>
    <w:rsid w:val="00290F5B"/>
    <w:rsid w:val="0029169E"/>
    <w:rsid w:val="00291AFD"/>
    <w:rsid w:val="00292FAF"/>
    <w:rsid w:val="002960F7"/>
    <w:rsid w:val="002A1066"/>
    <w:rsid w:val="002A36AD"/>
    <w:rsid w:val="002A3F45"/>
    <w:rsid w:val="002A5112"/>
    <w:rsid w:val="002B1661"/>
    <w:rsid w:val="002B2B12"/>
    <w:rsid w:val="002C128B"/>
    <w:rsid w:val="002D04DA"/>
    <w:rsid w:val="002D06C9"/>
    <w:rsid w:val="002D1CAE"/>
    <w:rsid w:val="002D36FF"/>
    <w:rsid w:val="002D45B8"/>
    <w:rsid w:val="002E1BAF"/>
    <w:rsid w:val="002E355A"/>
    <w:rsid w:val="002E3A30"/>
    <w:rsid w:val="002E4F15"/>
    <w:rsid w:val="002E5BCA"/>
    <w:rsid w:val="002F06C9"/>
    <w:rsid w:val="002F7077"/>
    <w:rsid w:val="00300C03"/>
    <w:rsid w:val="00302B8D"/>
    <w:rsid w:val="003053C3"/>
    <w:rsid w:val="0031127D"/>
    <w:rsid w:val="003124AC"/>
    <w:rsid w:val="00314976"/>
    <w:rsid w:val="00316360"/>
    <w:rsid w:val="00316F6D"/>
    <w:rsid w:val="00320AD0"/>
    <w:rsid w:val="00322F5B"/>
    <w:rsid w:val="0032460D"/>
    <w:rsid w:val="00326234"/>
    <w:rsid w:val="00326E86"/>
    <w:rsid w:val="003300F3"/>
    <w:rsid w:val="003315AB"/>
    <w:rsid w:val="00334FB5"/>
    <w:rsid w:val="00336367"/>
    <w:rsid w:val="003440B4"/>
    <w:rsid w:val="003443B9"/>
    <w:rsid w:val="00353025"/>
    <w:rsid w:val="00354630"/>
    <w:rsid w:val="00354685"/>
    <w:rsid w:val="00355C3F"/>
    <w:rsid w:val="00356E55"/>
    <w:rsid w:val="003573F7"/>
    <w:rsid w:val="00361026"/>
    <w:rsid w:val="003649AC"/>
    <w:rsid w:val="00365565"/>
    <w:rsid w:val="00366B73"/>
    <w:rsid w:val="0037334C"/>
    <w:rsid w:val="00374BF0"/>
    <w:rsid w:val="00375D8E"/>
    <w:rsid w:val="00376F3D"/>
    <w:rsid w:val="00380CF0"/>
    <w:rsid w:val="003830A8"/>
    <w:rsid w:val="00386595"/>
    <w:rsid w:val="00391EFC"/>
    <w:rsid w:val="00397EDE"/>
    <w:rsid w:val="003A0824"/>
    <w:rsid w:val="003A16E6"/>
    <w:rsid w:val="003A375E"/>
    <w:rsid w:val="003A50C6"/>
    <w:rsid w:val="003A549F"/>
    <w:rsid w:val="003A5A0E"/>
    <w:rsid w:val="003A6229"/>
    <w:rsid w:val="003A76AD"/>
    <w:rsid w:val="003B20E9"/>
    <w:rsid w:val="003B2561"/>
    <w:rsid w:val="003B2B86"/>
    <w:rsid w:val="003B75A1"/>
    <w:rsid w:val="003C212A"/>
    <w:rsid w:val="003C3BCE"/>
    <w:rsid w:val="003C4B15"/>
    <w:rsid w:val="003C4C69"/>
    <w:rsid w:val="003C7793"/>
    <w:rsid w:val="003D1831"/>
    <w:rsid w:val="003D2020"/>
    <w:rsid w:val="003D23C3"/>
    <w:rsid w:val="003D2E90"/>
    <w:rsid w:val="003D4594"/>
    <w:rsid w:val="003D6FC1"/>
    <w:rsid w:val="003E0D4C"/>
    <w:rsid w:val="003E7629"/>
    <w:rsid w:val="003F1AF3"/>
    <w:rsid w:val="003F6219"/>
    <w:rsid w:val="003F7154"/>
    <w:rsid w:val="003F71FF"/>
    <w:rsid w:val="003F7A11"/>
    <w:rsid w:val="00402B52"/>
    <w:rsid w:val="00402F8B"/>
    <w:rsid w:val="004038F0"/>
    <w:rsid w:val="00407705"/>
    <w:rsid w:val="00407F20"/>
    <w:rsid w:val="0041079A"/>
    <w:rsid w:val="00411777"/>
    <w:rsid w:val="004151DF"/>
    <w:rsid w:val="00417E26"/>
    <w:rsid w:val="00421B5C"/>
    <w:rsid w:val="00424206"/>
    <w:rsid w:val="004249DC"/>
    <w:rsid w:val="004259E4"/>
    <w:rsid w:val="00427631"/>
    <w:rsid w:val="00431989"/>
    <w:rsid w:val="00431C99"/>
    <w:rsid w:val="00437BCA"/>
    <w:rsid w:val="0044176A"/>
    <w:rsid w:val="00441962"/>
    <w:rsid w:val="004435AE"/>
    <w:rsid w:val="00443762"/>
    <w:rsid w:val="00445885"/>
    <w:rsid w:val="00451B17"/>
    <w:rsid w:val="00454A31"/>
    <w:rsid w:val="00455A54"/>
    <w:rsid w:val="00462FC3"/>
    <w:rsid w:val="00464DB8"/>
    <w:rsid w:val="00466044"/>
    <w:rsid w:val="004739A1"/>
    <w:rsid w:val="00474C34"/>
    <w:rsid w:val="00474CF5"/>
    <w:rsid w:val="004774FD"/>
    <w:rsid w:val="0048338B"/>
    <w:rsid w:val="0048348A"/>
    <w:rsid w:val="0048468D"/>
    <w:rsid w:val="00484F8E"/>
    <w:rsid w:val="00486512"/>
    <w:rsid w:val="004874B8"/>
    <w:rsid w:val="0049070E"/>
    <w:rsid w:val="00491278"/>
    <w:rsid w:val="00491526"/>
    <w:rsid w:val="00492515"/>
    <w:rsid w:val="00493FE0"/>
    <w:rsid w:val="00496493"/>
    <w:rsid w:val="004966B7"/>
    <w:rsid w:val="00497E5F"/>
    <w:rsid w:val="004A09E8"/>
    <w:rsid w:val="004A7372"/>
    <w:rsid w:val="004A7AD3"/>
    <w:rsid w:val="004B2AD1"/>
    <w:rsid w:val="004B3564"/>
    <w:rsid w:val="004B5EA1"/>
    <w:rsid w:val="004B6902"/>
    <w:rsid w:val="004C390B"/>
    <w:rsid w:val="004D14D5"/>
    <w:rsid w:val="004D1780"/>
    <w:rsid w:val="004D1914"/>
    <w:rsid w:val="004D363F"/>
    <w:rsid w:val="004D371B"/>
    <w:rsid w:val="004D5130"/>
    <w:rsid w:val="004E28DA"/>
    <w:rsid w:val="004E3B31"/>
    <w:rsid w:val="004E42FD"/>
    <w:rsid w:val="004E4BDD"/>
    <w:rsid w:val="004E5A11"/>
    <w:rsid w:val="004E632D"/>
    <w:rsid w:val="004F2F92"/>
    <w:rsid w:val="004F430D"/>
    <w:rsid w:val="004F47FB"/>
    <w:rsid w:val="004F4EFA"/>
    <w:rsid w:val="00500099"/>
    <w:rsid w:val="005014EF"/>
    <w:rsid w:val="00502615"/>
    <w:rsid w:val="00504EBC"/>
    <w:rsid w:val="00520434"/>
    <w:rsid w:val="005205BB"/>
    <w:rsid w:val="0052305F"/>
    <w:rsid w:val="00523796"/>
    <w:rsid w:val="005238F4"/>
    <w:rsid w:val="00523D03"/>
    <w:rsid w:val="005246D7"/>
    <w:rsid w:val="00525557"/>
    <w:rsid w:val="00525FDC"/>
    <w:rsid w:val="005265D4"/>
    <w:rsid w:val="00537E2D"/>
    <w:rsid w:val="0054066A"/>
    <w:rsid w:val="005408F4"/>
    <w:rsid w:val="0054173F"/>
    <w:rsid w:val="00543514"/>
    <w:rsid w:val="00543D1A"/>
    <w:rsid w:val="00550B76"/>
    <w:rsid w:val="00566C84"/>
    <w:rsid w:val="0057032E"/>
    <w:rsid w:val="005723F9"/>
    <w:rsid w:val="00572994"/>
    <w:rsid w:val="00574A88"/>
    <w:rsid w:val="00580AD0"/>
    <w:rsid w:val="00581549"/>
    <w:rsid w:val="00581724"/>
    <w:rsid w:val="00587E71"/>
    <w:rsid w:val="005907BA"/>
    <w:rsid w:val="00591B8E"/>
    <w:rsid w:val="0059234D"/>
    <w:rsid w:val="0059760A"/>
    <w:rsid w:val="005A0C04"/>
    <w:rsid w:val="005A1332"/>
    <w:rsid w:val="005A2CA5"/>
    <w:rsid w:val="005A2D69"/>
    <w:rsid w:val="005A350D"/>
    <w:rsid w:val="005A392C"/>
    <w:rsid w:val="005A4F65"/>
    <w:rsid w:val="005B36D1"/>
    <w:rsid w:val="005C001E"/>
    <w:rsid w:val="005C10FA"/>
    <w:rsid w:val="005C1613"/>
    <w:rsid w:val="005C1C1E"/>
    <w:rsid w:val="005C3440"/>
    <w:rsid w:val="005C4520"/>
    <w:rsid w:val="005C7435"/>
    <w:rsid w:val="005C74E7"/>
    <w:rsid w:val="005D58BC"/>
    <w:rsid w:val="005D757F"/>
    <w:rsid w:val="005D7B8C"/>
    <w:rsid w:val="005E34D8"/>
    <w:rsid w:val="005E369A"/>
    <w:rsid w:val="005E6196"/>
    <w:rsid w:val="005E7B92"/>
    <w:rsid w:val="005F0188"/>
    <w:rsid w:val="005F1492"/>
    <w:rsid w:val="005F2AD1"/>
    <w:rsid w:val="005F404F"/>
    <w:rsid w:val="005F5BFC"/>
    <w:rsid w:val="005F625D"/>
    <w:rsid w:val="005F6F8B"/>
    <w:rsid w:val="00602297"/>
    <w:rsid w:val="00603D47"/>
    <w:rsid w:val="00604560"/>
    <w:rsid w:val="00604A69"/>
    <w:rsid w:val="006115BC"/>
    <w:rsid w:val="00613EB9"/>
    <w:rsid w:val="00614B68"/>
    <w:rsid w:val="00614C3A"/>
    <w:rsid w:val="00615997"/>
    <w:rsid w:val="00616035"/>
    <w:rsid w:val="006162D6"/>
    <w:rsid w:val="006163F4"/>
    <w:rsid w:val="006167B5"/>
    <w:rsid w:val="006175E5"/>
    <w:rsid w:val="00617B51"/>
    <w:rsid w:val="00621AE6"/>
    <w:rsid w:val="00625BED"/>
    <w:rsid w:val="00630E73"/>
    <w:rsid w:val="00630FD6"/>
    <w:rsid w:val="0063127E"/>
    <w:rsid w:val="00633C97"/>
    <w:rsid w:val="006368CC"/>
    <w:rsid w:val="00637296"/>
    <w:rsid w:val="00643197"/>
    <w:rsid w:val="00643542"/>
    <w:rsid w:val="00647D38"/>
    <w:rsid w:val="00654AF1"/>
    <w:rsid w:val="006554CF"/>
    <w:rsid w:val="00656290"/>
    <w:rsid w:val="0066051E"/>
    <w:rsid w:val="00661687"/>
    <w:rsid w:val="00661A9D"/>
    <w:rsid w:val="00661B1F"/>
    <w:rsid w:val="00664D5F"/>
    <w:rsid w:val="00664F3D"/>
    <w:rsid w:val="00666BDC"/>
    <w:rsid w:val="006670B3"/>
    <w:rsid w:val="00670B6D"/>
    <w:rsid w:val="00672302"/>
    <w:rsid w:val="0067407F"/>
    <w:rsid w:val="006761DD"/>
    <w:rsid w:val="00677870"/>
    <w:rsid w:val="006800B1"/>
    <w:rsid w:val="00680992"/>
    <w:rsid w:val="00681EB8"/>
    <w:rsid w:val="00687B0F"/>
    <w:rsid w:val="00692E1D"/>
    <w:rsid w:val="00693080"/>
    <w:rsid w:val="006944F3"/>
    <w:rsid w:val="00694D28"/>
    <w:rsid w:val="006950A2"/>
    <w:rsid w:val="00695347"/>
    <w:rsid w:val="00695A70"/>
    <w:rsid w:val="006A29FF"/>
    <w:rsid w:val="006A3E19"/>
    <w:rsid w:val="006A50C0"/>
    <w:rsid w:val="006A6A0F"/>
    <w:rsid w:val="006A7AEE"/>
    <w:rsid w:val="006B10DC"/>
    <w:rsid w:val="006B35EF"/>
    <w:rsid w:val="006B65DE"/>
    <w:rsid w:val="006B7F23"/>
    <w:rsid w:val="006C1A32"/>
    <w:rsid w:val="006C3EA4"/>
    <w:rsid w:val="006C5D98"/>
    <w:rsid w:val="006C630F"/>
    <w:rsid w:val="006D36A9"/>
    <w:rsid w:val="006D400C"/>
    <w:rsid w:val="006D422B"/>
    <w:rsid w:val="006D5BE0"/>
    <w:rsid w:val="006F1EA3"/>
    <w:rsid w:val="006F207B"/>
    <w:rsid w:val="006F2133"/>
    <w:rsid w:val="006F24B7"/>
    <w:rsid w:val="006F7144"/>
    <w:rsid w:val="0070676F"/>
    <w:rsid w:val="007068C3"/>
    <w:rsid w:val="00707AEA"/>
    <w:rsid w:val="007125E9"/>
    <w:rsid w:val="007165C6"/>
    <w:rsid w:val="00716727"/>
    <w:rsid w:val="007224B1"/>
    <w:rsid w:val="00726101"/>
    <w:rsid w:val="007310C8"/>
    <w:rsid w:val="0073619B"/>
    <w:rsid w:val="007362D1"/>
    <w:rsid w:val="007401D6"/>
    <w:rsid w:val="00750F0B"/>
    <w:rsid w:val="007576E6"/>
    <w:rsid w:val="007611A4"/>
    <w:rsid w:val="00761CC6"/>
    <w:rsid w:val="00761E77"/>
    <w:rsid w:val="00762A2D"/>
    <w:rsid w:val="00763679"/>
    <w:rsid w:val="0077327F"/>
    <w:rsid w:val="007744F0"/>
    <w:rsid w:val="00774675"/>
    <w:rsid w:val="007767A6"/>
    <w:rsid w:val="00777952"/>
    <w:rsid w:val="00777C10"/>
    <w:rsid w:val="00780E50"/>
    <w:rsid w:val="007821B6"/>
    <w:rsid w:val="00785BE6"/>
    <w:rsid w:val="00787564"/>
    <w:rsid w:val="00787773"/>
    <w:rsid w:val="00792634"/>
    <w:rsid w:val="00792727"/>
    <w:rsid w:val="00792CC7"/>
    <w:rsid w:val="00796B5E"/>
    <w:rsid w:val="007A1E2C"/>
    <w:rsid w:val="007A40A7"/>
    <w:rsid w:val="007A4F4F"/>
    <w:rsid w:val="007A7014"/>
    <w:rsid w:val="007B048B"/>
    <w:rsid w:val="007B3D77"/>
    <w:rsid w:val="007B4434"/>
    <w:rsid w:val="007B73FE"/>
    <w:rsid w:val="007B7A80"/>
    <w:rsid w:val="007B7EA9"/>
    <w:rsid w:val="007C0399"/>
    <w:rsid w:val="007C3E93"/>
    <w:rsid w:val="007C5EBF"/>
    <w:rsid w:val="007C6987"/>
    <w:rsid w:val="007C7A06"/>
    <w:rsid w:val="007D0743"/>
    <w:rsid w:val="007D29F5"/>
    <w:rsid w:val="007D3741"/>
    <w:rsid w:val="007D39B1"/>
    <w:rsid w:val="007D3B49"/>
    <w:rsid w:val="007D42CD"/>
    <w:rsid w:val="007D5D05"/>
    <w:rsid w:val="007E2169"/>
    <w:rsid w:val="007E5A24"/>
    <w:rsid w:val="007E6885"/>
    <w:rsid w:val="007E777F"/>
    <w:rsid w:val="007F03B4"/>
    <w:rsid w:val="007F2CBD"/>
    <w:rsid w:val="00801D0E"/>
    <w:rsid w:val="00802F4A"/>
    <w:rsid w:val="008039CA"/>
    <w:rsid w:val="00804CD3"/>
    <w:rsid w:val="008051EB"/>
    <w:rsid w:val="0080541E"/>
    <w:rsid w:val="00805CFC"/>
    <w:rsid w:val="00812C0A"/>
    <w:rsid w:val="00812EA8"/>
    <w:rsid w:val="008149B7"/>
    <w:rsid w:val="00817778"/>
    <w:rsid w:val="00821A36"/>
    <w:rsid w:val="008227BA"/>
    <w:rsid w:val="008229BC"/>
    <w:rsid w:val="00823A32"/>
    <w:rsid w:val="00825B87"/>
    <w:rsid w:val="00825F5D"/>
    <w:rsid w:val="008277EF"/>
    <w:rsid w:val="00833BD8"/>
    <w:rsid w:val="00835DCB"/>
    <w:rsid w:val="0083677B"/>
    <w:rsid w:val="0083679A"/>
    <w:rsid w:val="008374DE"/>
    <w:rsid w:val="00840793"/>
    <w:rsid w:val="00844C3B"/>
    <w:rsid w:val="0084562F"/>
    <w:rsid w:val="0084754E"/>
    <w:rsid w:val="00853255"/>
    <w:rsid w:val="00854001"/>
    <w:rsid w:val="0085402D"/>
    <w:rsid w:val="0085630F"/>
    <w:rsid w:val="00857061"/>
    <w:rsid w:val="0086221F"/>
    <w:rsid w:val="008625C6"/>
    <w:rsid w:val="00862B2A"/>
    <w:rsid w:val="0086362E"/>
    <w:rsid w:val="00864C5D"/>
    <w:rsid w:val="008659D4"/>
    <w:rsid w:val="00866479"/>
    <w:rsid w:val="008677A6"/>
    <w:rsid w:val="008734A9"/>
    <w:rsid w:val="00874667"/>
    <w:rsid w:val="008819B2"/>
    <w:rsid w:val="00884E37"/>
    <w:rsid w:val="00890E63"/>
    <w:rsid w:val="00891081"/>
    <w:rsid w:val="008939FF"/>
    <w:rsid w:val="008A0DA6"/>
    <w:rsid w:val="008A14B4"/>
    <w:rsid w:val="008A3C76"/>
    <w:rsid w:val="008A3C91"/>
    <w:rsid w:val="008A64CE"/>
    <w:rsid w:val="008B4A4A"/>
    <w:rsid w:val="008B5505"/>
    <w:rsid w:val="008B6377"/>
    <w:rsid w:val="008C08AE"/>
    <w:rsid w:val="008C1CDC"/>
    <w:rsid w:val="008C4506"/>
    <w:rsid w:val="008C7882"/>
    <w:rsid w:val="008D19CB"/>
    <w:rsid w:val="008D2D5D"/>
    <w:rsid w:val="008D3218"/>
    <w:rsid w:val="008D4190"/>
    <w:rsid w:val="008D4B6C"/>
    <w:rsid w:val="008D5476"/>
    <w:rsid w:val="008E47E8"/>
    <w:rsid w:val="008E69CF"/>
    <w:rsid w:val="008F0CAD"/>
    <w:rsid w:val="008F1285"/>
    <w:rsid w:val="008F4D05"/>
    <w:rsid w:val="008F6A00"/>
    <w:rsid w:val="008F73D7"/>
    <w:rsid w:val="008F7DCD"/>
    <w:rsid w:val="00900341"/>
    <w:rsid w:val="00901F1D"/>
    <w:rsid w:val="0090257F"/>
    <w:rsid w:val="009025A1"/>
    <w:rsid w:val="009060AD"/>
    <w:rsid w:val="009076DC"/>
    <w:rsid w:val="0091211B"/>
    <w:rsid w:val="00913834"/>
    <w:rsid w:val="00915481"/>
    <w:rsid w:val="009161D9"/>
    <w:rsid w:val="009174EF"/>
    <w:rsid w:val="00917543"/>
    <w:rsid w:val="009175A7"/>
    <w:rsid w:val="00920CC4"/>
    <w:rsid w:val="009229E5"/>
    <w:rsid w:val="009234E6"/>
    <w:rsid w:val="009239E8"/>
    <w:rsid w:val="00924AFF"/>
    <w:rsid w:val="009258DF"/>
    <w:rsid w:val="00925CD2"/>
    <w:rsid w:val="00926057"/>
    <w:rsid w:val="009315D4"/>
    <w:rsid w:val="00932120"/>
    <w:rsid w:val="00932399"/>
    <w:rsid w:val="00932E5C"/>
    <w:rsid w:val="009427E2"/>
    <w:rsid w:val="00944564"/>
    <w:rsid w:val="00944F29"/>
    <w:rsid w:val="00946970"/>
    <w:rsid w:val="00946B26"/>
    <w:rsid w:val="00947F20"/>
    <w:rsid w:val="0095148D"/>
    <w:rsid w:val="00953943"/>
    <w:rsid w:val="009547AA"/>
    <w:rsid w:val="00956485"/>
    <w:rsid w:val="00957E1E"/>
    <w:rsid w:val="0096540D"/>
    <w:rsid w:val="00967330"/>
    <w:rsid w:val="00971183"/>
    <w:rsid w:val="00974383"/>
    <w:rsid w:val="00974B0E"/>
    <w:rsid w:val="0098096D"/>
    <w:rsid w:val="00984063"/>
    <w:rsid w:val="009851C3"/>
    <w:rsid w:val="009906F6"/>
    <w:rsid w:val="00991D6A"/>
    <w:rsid w:val="00992A9F"/>
    <w:rsid w:val="009970E4"/>
    <w:rsid w:val="0099767E"/>
    <w:rsid w:val="009A0E86"/>
    <w:rsid w:val="009A3294"/>
    <w:rsid w:val="009A37B6"/>
    <w:rsid w:val="009A5CE7"/>
    <w:rsid w:val="009B0E46"/>
    <w:rsid w:val="009B15A1"/>
    <w:rsid w:val="009B4646"/>
    <w:rsid w:val="009B730A"/>
    <w:rsid w:val="009C0BAE"/>
    <w:rsid w:val="009C15BA"/>
    <w:rsid w:val="009C3267"/>
    <w:rsid w:val="009C3754"/>
    <w:rsid w:val="009C614B"/>
    <w:rsid w:val="009C7205"/>
    <w:rsid w:val="009C7626"/>
    <w:rsid w:val="009D1D38"/>
    <w:rsid w:val="009D36CD"/>
    <w:rsid w:val="009D51C9"/>
    <w:rsid w:val="009D63E3"/>
    <w:rsid w:val="009D6A58"/>
    <w:rsid w:val="009D72C9"/>
    <w:rsid w:val="009E446B"/>
    <w:rsid w:val="009E5FCA"/>
    <w:rsid w:val="009F0F06"/>
    <w:rsid w:val="009F23F3"/>
    <w:rsid w:val="009F6463"/>
    <w:rsid w:val="009F6483"/>
    <w:rsid w:val="00A011DF"/>
    <w:rsid w:val="00A013D7"/>
    <w:rsid w:val="00A01797"/>
    <w:rsid w:val="00A11089"/>
    <w:rsid w:val="00A13734"/>
    <w:rsid w:val="00A1544F"/>
    <w:rsid w:val="00A1643E"/>
    <w:rsid w:val="00A164CD"/>
    <w:rsid w:val="00A20289"/>
    <w:rsid w:val="00A2200A"/>
    <w:rsid w:val="00A36A3B"/>
    <w:rsid w:val="00A40A2D"/>
    <w:rsid w:val="00A41242"/>
    <w:rsid w:val="00A44565"/>
    <w:rsid w:val="00A45719"/>
    <w:rsid w:val="00A465B1"/>
    <w:rsid w:val="00A477F9"/>
    <w:rsid w:val="00A50DBB"/>
    <w:rsid w:val="00A5398A"/>
    <w:rsid w:val="00A541CE"/>
    <w:rsid w:val="00A54BD2"/>
    <w:rsid w:val="00A57516"/>
    <w:rsid w:val="00A61B13"/>
    <w:rsid w:val="00A634A9"/>
    <w:rsid w:val="00A646ED"/>
    <w:rsid w:val="00A65569"/>
    <w:rsid w:val="00A70146"/>
    <w:rsid w:val="00A704BD"/>
    <w:rsid w:val="00A7091F"/>
    <w:rsid w:val="00A72C95"/>
    <w:rsid w:val="00A73617"/>
    <w:rsid w:val="00A77636"/>
    <w:rsid w:val="00A77645"/>
    <w:rsid w:val="00A80DD2"/>
    <w:rsid w:val="00A8303E"/>
    <w:rsid w:val="00A84511"/>
    <w:rsid w:val="00A84A29"/>
    <w:rsid w:val="00A84D24"/>
    <w:rsid w:val="00A87CA3"/>
    <w:rsid w:val="00A87F41"/>
    <w:rsid w:val="00A9377E"/>
    <w:rsid w:val="00A95967"/>
    <w:rsid w:val="00A96353"/>
    <w:rsid w:val="00A97B47"/>
    <w:rsid w:val="00AA0AA8"/>
    <w:rsid w:val="00AA1483"/>
    <w:rsid w:val="00AA2EFA"/>
    <w:rsid w:val="00AA5E00"/>
    <w:rsid w:val="00AB10B5"/>
    <w:rsid w:val="00AB26B0"/>
    <w:rsid w:val="00AB2BD7"/>
    <w:rsid w:val="00AB7480"/>
    <w:rsid w:val="00AB77BC"/>
    <w:rsid w:val="00AB7FC5"/>
    <w:rsid w:val="00AC0351"/>
    <w:rsid w:val="00AC1AC1"/>
    <w:rsid w:val="00AC29E3"/>
    <w:rsid w:val="00AC33CB"/>
    <w:rsid w:val="00AC4B6F"/>
    <w:rsid w:val="00AD0536"/>
    <w:rsid w:val="00AD078F"/>
    <w:rsid w:val="00AD633A"/>
    <w:rsid w:val="00AE103C"/>
    <w:rsid w:val="00AE13A8"/>
    <w:rsid w:val="00AE250E"/>
    <w:rsid w:val="00AE53DB"/>
    <w:rsid w:val="00AE6D70"/>
    <w:rsid w:val="00AE73E2"/>
    <w:rsid w:val="00AF096B"/>
    <w:rsid w:val="00AF10E8"/>
    <w:rsid w:val="00AF1CCC"/>
    <w:rsid w:val="00AF2210"/>
    <w:rsid w:val="00AF49B9"/>
    <w:rsid w:val="00AF60DA"/>
    <w:rsid w:val="00AF6179"/>
    <w:rsid w:val="00AF7F03"/>
    <w:rsid w:val="00B01F15"/>
    <w:rsid w:val="00B02AB1"/>
    <w:rsid w:val="00B03934"/>
    <w:rsid w:val="00B04F0F"/>
    <w:rsid w:val="00B0548C"/>
    <w:rsid w:val="00B05631"/>
    <w:rsid w:val="00B07650"/>
    <w:rsid w:val="00B10F7C"/>
    <w:rsid w:val="00B155C0"/>
    <w:rsid w:val="00B21173"/>
    <w:rsid w:val="00B23527"/>
    <w:rsid w:val="00B23D75"/>
    <w:rsid w:val="00B24A61"/>
    <w:rsid w:val="00B25D7D"/>
    <w:rsid w:val="00B25F9A"/>
    <w:rsid w:val="00B3007B"/>
    <w:rsid w:val="00B31523"/>
    <w:rsid w:val="00B34CF8"/>
    <w:rsid w:val="00B373FD"/>
    <w:rsid w:val="00B403B6"/>
    <w:rsid w:val="00B421D3"/>
    <w:rsid w:val="00B43BB5"/>
    <w:rsid w:val="00B445F8"/>
    <w:rsid w:val="00B447B1"/>
    <w:rsid w:val="00B47A37"/>
    <w:rsid w:val="00B508C0"/>
    <w:rsid w:val="00B574CE"/>
    <w:rsid w:val="00B618BA"/>
    <w:rsid w:val="00B62AD1"/>
    <w:rsid w:val="00B66533"/>
    <w:rsid w:val="00B724FB"/>
    <w:rsid w:val="00B76948"/>
    <w:rsid w:val="00B8041D"/>
    <w:rsid w:val="00B81322"/>
    <w:rsid w:val="00B86F8C"/>
    <w:rsid w:val="00B913C7"/>
    <w:rsid w:val="00B923AA"/>
    <w:rsid w:val="00B925B5"/>
    <w:rsid w:val="00B931BF"/>
    <w:rsid w:val="00B95652"/>
    <w:rsid w:val="00B97DFA"/>
    <w:rsid w:val="00BA00D5"/>
    <w:rsid w:val="00BA0A97"/>
    <w:rsid w:val="00BA1F61"/>
    <w:rsid w:val="00BA3B3A"/>
    <w:rsid w:val="00BA5239"/>
    <w:rsid w:val="00BB7651"/>
    <w:rsid w:val="00BB7C40"/>
    <w:rsid w:val="00BC75FA"/>
    <w:rsid w:val="00BC78F7"/>
    <w:rsid w:val="00BD3F43"/>
    <w:rsid w:val="00BD44D4"/>
    <w:rsid w:val="00BD58C8"/>
    <w:rsid w:val="00BD6AA1"/>
    <w:rsid w:val="00BE59FF"/>
    <w:rsid w:val="00BF2A5D"/>
    <w:rsid w:val="00BF43B6"/>
    <w:rsid w:val="00BF6611"/>
    <w:rsid w:val="00BF684A"/>
    <w:rsid w:val="00BF6D60"/>
    <w:rsid w:val="00BF7E63"/>
    <w:rsid w:val="00C004B0"/>
    <w:rsid w:val="00C06086"/>
    <w:rsid w:val="00C06A9B"/>
    <w:rsid w:val="00C10C7B"/>
    <w:rsid w:val="00C126F0"/>
    <w:rsid w:val="00C12CF0"/>
    <w:rsid w:val="00C14DCC"/>
    <w:rsid w:val="00C153A5"/>
    <w:rsid w:val="00C17E0C"/>
    <w:rsid w:val="00C20634"/>
    <w:rsid w:val="00C209D6"/>
    <w:rsid w:val="00C2376A"/>
    <w:rsid w:val="00C24E3F"/>
    <w:rsid w:val="00C24E58"/>
    <w:rsid w:val="00C309D7"/>
    <w:rsid w:val="00C30C32"/>
    <w:rsid w:val="00C33365"/>
    <w:rsid w:val="00C33944"/>
    <w:rsid w:val="00C370F0"/>
    <w:rsid w:val="00C419D0"/>
    <w:rsid w:val="00C41C35"/>
    <w:rsid w:val="00C55BF3"/>
    <w:rsid w:val="00C5621C"/>
    <w:rsid w:val="00C61B55"/>
    <w:rsid w:val="00C61CA1"/>
    <w:rsid w:val="00C632CC"/>
    <w:rsid w:val="00C70F6A"/>
    <w:rsid w:val="00C74983"/>
    <w:rsid w:val="00C8300D"/>
    <w:rsid w:val="00C830CF"/>
    <w:rsid w:val="00C83E48"/>
    <w:rsid w:val="00C92DD9"/>
    <w:rsid w:val="00C93DB8"/>
    <w:rsid w:val="00CA15A9"/>
    <w:rsid w:val="00CA175F"/>
    <w:rsid w:val="00CA4E97"/>
    <w:rsid w:val="00CB07BE"/>
    <w:rsid w:val="00CB2727"/>
    <w:rsid w:val="00CB2A6A"/>
    <w:rsid w:val="00CB3C1B"/>
    <w:rsid w:val="00CB75E6"/>
    <w:rsid w:val="00CC03A3"/>
    <w:rsid w:val="00CC11C5"/>
    <w:rsid w:val="00CC1816"/>
    <w:rsid w:val="00CC19C5"/>
    <w:rsid w:val="00CC2398"/>
    <w:rsid w:val="00CC3D97"/>
    <w:rsid w:val="00CC4AB7"/>
    <w:rsid w:val="00CC7FD6"/>
    <w:rsid w:val="00CD129F"/>
    <w:rsid w:val="00CD2706"/>
    <w:rsid w:val="00CD2A36"/>
    <w:rsid w:val="00CD4302"/>
    <w:rsid w:val="00CD61D2"/>
    <w:rsid w:val="00CD698B"/>
    <w:rsid w:val="00CD6E46"/>
    <w:rsid w:val="00CE1F3D"/>
    <w:rsid w:val="00CE2EC7"/>
    <w:rsid w:val="00CE3049"/>
    <w:rsid w:val="00CE3128"/>
    <w:rsid w:val="00CE4E1C"/>
    <w:rsid w:val="00CE55BD"/>
    <w:rsid w:val="00CE6492"/>
    <w:rsid w:val="00CE6A38"/>
    <w:rsid w:val="00CE79E8"/>
    <w:rsid w:val="00CF03F8"/>
    <w:rsid w:val="00CF1307"/>
    <w:rsid w:val="00CF2B32"/>
    <w:rsid w:val="00CF3B52"/>
    <w:rsid w:val="00CF3FF7"/>
    <w:rsid w:val="00CF4233"/>
    <w:rsid w:val="00CF6C42"/>
    <w:rsid w:val="00D03CB2"/>
    <w:rsid w:val="00D04B63"/>
    <w:rsid w:val="00D058F7"/>
    <w:rsid w:val="00D07A07"/>
    <w:rsid w:val="00D10F1C"/>
    <w:rsid w:val="00D13725"/>
    <w:rsid w:val="00D22900"/>
    <w:rsid w:val="00D23DF8"/>
    <w:rsid w:val="00D254D7"/>
    <w:rsid w:val="00D31B8A"/>
    <w:rsid w:val="00D32D08"/>
    <w:rsid w:val="00D344A0"/>
    <w:rsid w:val="00D347BE"/>
    <w:rsid w:val="00D44301"/>
    <w:rsid w:val="00D45FC7"/>
    <w:rsid w:val="00D506A0"/>
    <w:rsid w:val="00D509E4"/>
    <w:rsid w:val="00D519F6"/>
    <w:rsid w:val="00D54A05"/>
    <w:rsid w:val="00D56502"/>
    <w:rsid w:val="00D56D2B"/>
    <w:rsid w:val="00D60121"/>
    <w:rsid w:val="00D611CB"/>
    <w:rsid w:val="00D62B7B"/>
    <w:rsid w:val="00D665F6"/>
    <w:rsid w:val="00D66826"/>
    <w:rsid w:val="00D6729B"/>
    <w:rsid w:val="00D75025"/>
    <w:rsid w:val="00D75F8D"/>
    <w:rsid w:val="00D80425"/>
    <w:rsid w:val="00D81EB7"/>
    <w:rsid w:val="00D82233"/>
    <w:rsid w:val="00D82AB0"/>
    <w:rsid w:val="00D85078"/>
    <w:rsid w:val="00D85851"/>
    <w:rsid w:val="00D8598D"/>
    <w:rsid w:val="00D85A0B"/>
    <w:rsid w:val="00D90CF3"/>
    <w:rsid w:val="00D92511"/>
    <w:rsid w:val="00DA02D4"/>
    <w:rsid w:val="00DA0405"/>
    <w:rsid w:val="00DA0F18"/>
    <w:rsid w:val="00DA298E"/>
    <w:rsid w:val="00DA3264"/>
    <w:rsid w:val="00DA41EA"/>
    <w:rsid w:val="00DA58F4"/>
    <w:rsid w:val="00DB0096"/>
    <w:rsid w:val="00DB05DD"/>
    <w:rsid w:val="00DB3E05"/>
    <w:rsid w:val="00DB4089"/>
    <w:rsid w:val="00DC0E57"/>
    <w:rsid w:val="00DC35FB"/>
    <w:rsid w:val="00DC53C0"/>
    <w:rsid w:val="00DC6911"/>
    <w:rsid w:val="00DD110F"/>
    <w:rsid w:val="00DD497A"/>
    <w:rsid w:val="00DE4EA7"/>
    <w:rsid w:val="00DE5E3B"/>
    <w:rsid w:val="00DF2619"/>
    <w:rsid w:val="00DF33AA"/>
    <w:rsid w:val="00DF3F64"/>
    <w:rsid w:val="00DF47E6"/>
    <w:rsid w:val="00DF4F68"/>
    <w:rsid w:val="00DF6438"/>
    <w:rsid w:val="00E0287B"/>
    <w:rsid w:val="00E028EB"/>
    <w:rsid w:val="00E03092"/>
    <w:rsid w:val="00E03D57"/>
    <w:rsid w:val="00E04C0E"/>
    <w:rsid w:val="00E10BBE"/>
    <w:rsid w:val="00E13574"/>
    <w:rsid w:val="00E1440C"/>
    <w:rsid w:val="00E166F6"/>
    <w:rsid w:val="00E205B7"/>
    <w:rsid w:val="00E22410"/>
    <w:rsid w:val="00E2434F"/>
    <w:rsid w:val="00E247EC"/>
    <w:rsid w:val="00E278ED"/>
    <w:rsid w:val="00E301F7"/>
    <w:rsid w:val="00E30C36"/>
    <w:rsid w:val="00E34E39"/>
    <w:rsid w:val="00E352ED"/>
    <w:rsid w:val="00E36ECA"/>
    <w:rsid w:val="00E37A08"/>
    <w:rsid w:val="00E41567"/>
    <w:rsid w:val="00E430A0"/>
    <w:rsid w:val="00E50DA6"/>
    <w:rsid w:val="00E516BE"/>
    <w:rsid w:val="00E516D9"/>
    <w:rsid w:val="00E52A40"/>
    <w:rsid w:val="00E5692A"/>
    <w:rsid w:val="00E569C8"/>
    <w:rsid w:val="00E57678"/>
    <w:rsid w:val="00E57C6A"/>
    <w:rsid w:val="00E600B6"/>
    <w:rsid w:val="00E621A2"/>
    <w:rsid w:val="00E65D6B"/>
    <w:rsid w:val="00E65EFB"/>
    <w:rsid w:val="00E764D1"/>
    <w:rsid w:val="00E81124"/>
    <w:rsid w:val="00E81799"/>
    <w:rsid w:val="00E81E1D"/>
    <w:rsid w:val="00E8272B"/>
    <w:rsid w:val="00E83D28"/>
    <w:rsid w:val="00E845E7"/>
    <w:rsid w:val="00E86179"/>
    <w:rsid w:val="00E86F14"/>
    <w:rsid w:val="00E8773C"/>
    <w:rsid w:val="00E9210A"/>
    <w:rsid w:val="00E92ED2"/>
    <w:rsid w:val="00E96824"/>
    <w:rsid w:val="00E9770A"/>
    <w:rsid w:val="00EA0EE2"/>
    <w:rsid w:val="00EA10ED"/>
    <w:rsid w:val="00EA2492"/>
    <w:rsid w:val="00EA39E9"/>
    <w:rsid w:val="00EA4ED3"/>
    <w:rsid w:val="00EA67D7"/>
    <w:rsid w:val="00EA6C3B"/>
    <w:rsid w:val="00EB6683"/>
    <w:rsid w:val="00EC2753"/>
    <w:rsid w:val="00EC282E"/>
    <w:rsid w:val="00EC317E"/>
    <w:rsid w:val="00EC7C45"/>
    <w:rsid w:val="00EC7FC9"/>
    <w:rsid w:val="00ED5F7E"/>
    <w:rsid w:val="00EE21D3"/>
    <w:rsid w:val="00EE28B1"/>
    <w:rsid w:val="00EE3FFF"/>
    <w:rsid w:val="00EE456A"/>
    <w:rsid w:val="00EE49C3"/>
    <w:rsid w:val="00EE5001"/>
    <w:rsid w:val="00EE5891"/>
    <w:rsid w:val="00EE6853"/>
    <w:rsid w:val="00EF10A7"/>
    <w:rsid w:val="00EF1EE9"/>
    <w:rsid w:val="00EF2A6D"/>
    <w:rsid w:val="00EF500A"/>
    <w:rsid w:val="00EF5676"/>
    <w:rsid w:val="00F13682"/>
    <w:rsid w:val="00F13F83"/>
    <w:rsid w:val="00F14CC3"/>
    <w:rsid w:val="00F152B4"/>
    <w:rsid w:val="00F157EC"/>
    <w:rsid w:val="00F15D92"/>
    <w:rsid w:val="00F16AA0"/>
    <w:rsid w:val="00F207BE"/>
    <w:rsid w:val="00F2291B"/>
    <w:rsid w:val="00F23229"/>
    <w:rsid w:val="00F23C0B"/>
    <w:rsid w:val="00F267AC"/>
    <w:rsid w:val="00F26CC4"/>
    <w:rsid w:val="00F26ED2"/>
    <w:rsid w:val="00F30797"/>
    <w:rsid w:val="00F36F86"/>
    <w:rsid w:val="00F37214"/>
    <w:rsid w:val="00F405EA"/>
    <w:rsid w:val="00F40889"/>
    <w:rsid w:val="00F42E51"/>
    <w:rsid w:val="00F439C7"/>
    <w:rsid w:val="00F45CD7"/>
    <w:rsid w:val="00F45D5B"/>
    <w:rsid w:val="00F50294"/>
    <w:rsid w:val="00F506BC"/>
    <w:rsid w:val="00F52551"/>
    <w:rsid w:val="00F5264D"/>
    <w:rsid w:val="00F52AA3"/>
    <w:rsid w:val="00F54255"/>
    <w:rsid w:val="00F57E2B"/>
    <w:rsid w:val="00F6148F"/>
    <w:rsid w:val="00F6287E"/>
    <w:rsid w:val="00F659E9"/>
    <w:rsid w:val="00F66B89"/>
    <w:rsid w:val="00F747F1"/>
    <w:rsid w:val="00F77263"/>
    <w:rsid w:val="00F82510"/>
    <w:rsid w:val="00F845D2"/>
    <w:rsid w:val="00F84CA0"/>
    <w:rsid w:val="00F85796"/>
    <w:rsid w:val="00F85C1A"/>
    <w:rsid w:val="00F869F1"/>
    <w:rsid w:val="00F87472"/>
    <w:rsid w:val="00F9361C"/>
    <w:rsid w:val="00F93D43"/>
    <w:rsid w:val="00F97C68"/>
    <w:rsid w:val="00FA0C4E"/>
    <w:rsid w:val="00FA0E5D"/>
    <w:rsid w:val="00FA1A37"/>
    <w:rsid w:val="00FA3E83"/>
    <w:rsid w:val="00FA7092"/>
    <w:rsid w:val="00FB0367"/>
    <w:rsid w:val="00FB7A47"/>
    <w:rsid w:val="00FC6CBF"/>
    <w:rsid w:val="00FD061D"/>
    <w:rsid w:val="00FD328A"/>
    <w:rsid w:val="00FD3A44"/>
    <w:rsid w:val="00FD411A"/>
    <w:rsid w:val="00FD41D0"/>
    <w:rsid w:val="00FD5FF6"/>
    <w:rsid w:val="00FD7DA5"/>
    <w:rsid w:val="00FE00B5"/>
    <w:rsid w:val="00FE10B2"/>
    <w:rsid w:val="00FE1684"/>
    <w:rsid w:val="00FE2B5F"/>
    <w:rsid w:val="00FE7486"/>
    <w:rsid w:val="00FE7D00"/>
    <w:rsid w:val="00FF2541"/>
    <w:rsid w:val="00FF3F54"/>
    <w:rsid w:val="00FF5978"/>
    <w:rsid w:val="00FF7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4A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E3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FD7DA5"/>
    <w:pPr>
      <w:keepNext/>
      <w:keepLines/>
      <w:spacing w:before="480"/>
      <w:outlineLvl w:val="0"/>
    </w:pPr>
    <w:rPr>
      <w:rFonts w:asciiTheme="minorHAnsi" w:eastAsiaTheme="majorEastAsia" w:hAnsiTheme="minorHAnsi" w:cstheme="majorBidi"/>
      <w:b/>
      <w:bCs/>
      <w:color w:val="000000" w:themeColor="text1"/>
      <w:sz w:val="36"/>
      <w:szCs w:val="28"/>
    </w:rPr>
  </w:style>
  <w:style w:type="paragraph" w:styleId="Heading2">
    <w:name w:val="heading 2"/>
    <w:basedOn w:val="Normal"/>
    <w:next w:val="Normal"/>
    <w:link w:val="Heading2Char"/>
    <w:uiPriority w:val="9"/>
    <w:unhideWhenUsed/>
    <w:qFormat/>
    <w:rsid w:val="001975FD"/>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707AEA"/>
    <w:pPr>
      <w:keepNext/>
      <w:keepLines/>
      <w:spacing w:before="200"/>
      <w:outlineLvl w:val="2"/>
    </w:pPr>
    <w:rPr>
      <w:rFonts w:asciiTheme="minorHAnsi" w:eastAsiaTheme="majorEastAsia" w:hAnsiTheme="minorHAnsi" w:cstheme="majorBidi"/>
      <w:b/>
      <w:bCs/>
      <w:color w:val="000000" w:themeColor="text1"/>
      <w:sz w:val="28"/>
    </w:rPr>
  </w:style>
  <w:style w:type="paragraph" w:styleId="Heading4">
    <w:name w:val="heading 4"/>
    <w:basedOn w:val="Normal"/>
    <w:next w:val="Normal"/>
    <w:link w:val="Heading4Char"/>
    <w:uiPriority w:val="9"/>
    <w:unhideWhenUsed/>
    <w:qFormat/>
    <w:rsid w:val="00FD7DA5"/>
    <w:pPr>
      <w:keepNext/>
      <w:keepLines/>
      <w:spacing w:before="200"/>
      <w:outlineLvl w:val="3"/>
    </w:pPr>
    <w:rPr>
      <w:rFonts w:asciiTheme="minorHAnsi" w:eastAsiaTheme="majorEastAsia" w:hAnsiTheme="minorHAnsi" w:cstheme="majorBidi"/>
      <w:b/>
      <w:bCs/>
      <w:iCs/>
      <w:color w:val="000000" w:themeColor="text1"/>
    </w:rPr>
  </w:style>
  <w:style w:type="paragraph" w:styleId="Heading5">
    <w:name w:val="heading 5"/>
    <w:basedOn w:val="Normal"/>
    <w:next w:val="Normal"/>
    <w:link w:val="Heading5Char"/>
    <w:uiPriority w:val="9"/>
    <w:unhideWhenUsed/>
    <w:qFormat/>
    <w:rsid w:val="00FD7DA5"/>
    <w:pPr>
      <w:keepNext/>
      <w:keepLines/>
      <w:spacing w:before="200"/>
      <w:outlineLvl w:val="4"/>
    </w:pPr>
    <w:rPr>
      <w:rFonts w:asciiTheme="minorHAnsi" w:eastAsiaTheme="majorEastAsia" w:hAnsiTheme="minorHAnsi" w:cstheme="majorBidi"/>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AF49B9"/>
    <w:rPr>
      <w:rFonts w:cs="Times New Roman"/>
      <w:sz w:val="16"/>
    </w:rPr>
  </w:style>
  <w:style w:type="paragraph" w:styleId="CommentText">
    <w:name w:val="annotation text"/>
    <w:basedOn w:val="Normal"/>
    <w:link w:val="CommentTextChar"/>
    <w:uiPriority w:val="99"/>
    <w:semiHidden/>
    <w:rsid w:val="00AF49B9"/>
    <w:rPr>
      <w:sz w:val="20"/>
      <w:szCs w:val="20"/>
    </w:rPr>
  </w:style>
  <w:style w:type="character" w:customStyle="1" w:styleId="CommentTextChar">
    <w:name w:val="Comment Text Char"/>
    <w:basedOn w:val="DefaultParagraphFont"/>
    <w:link w:val="CommentText"/>
    <w:uiPriority w:val="99"/>
    <w:rsid w:val="00AF49B9"/>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AF49B9"/>
    <w:rPr>
      <w:rFonts w:ascii="Tahoma" w:hAnsi="Tahoma" w:cs="Tahoma"/>
      <w:sz w:val="16"/>
      <w:szCs w:val="16"/>
    </w:rPr>
  </w:style>
  <w:style w:type="character" w:customStyle="1" w:styleId="BalloonTextChar">
    <w:name w:val="Balloon Text Char"/>
    <w:basedOn w:val="DefaultParagraphFont"/>
    <w:link w:val="BalloonText"/>
    <w:uiPriority w:val="99"/>
    <w:semiHidden/>
    <w:rsid w:val="00AF49B9"/>
    <w:rPr>
      <w:rFonts w:ascii="Tahoma" w:eastAsia="Times New Roman" w:hAnsi="Tahoma" w:cs="Tahoma"/>
      <w:sz w:val="16"/>
      <w:szCs w:val="16"/>
    </w:rPr>
  </w:style>
  <w:style w:type="paragraph" w:styleId="Header">
    <w:name w:val="header"/>
    <w:basedOn w:val="Normal"/>
    <w:link w:val="HeaderChar"/>
    <w:uiPriority w:val="99"/>
    <w:unhideWhenUsed/>
    <w:rsid w:val="004B3564"/>
    <w:pPr>
      <w:tabs>
        <w:tab w:val="center" w:pos="4680"/>
        <w:tab w:val="right" w:pos="9360"/>
      </w:tabs>
    </w:pPr>
  </w:style>
  <w:style w:type="character" w:customStyle="1" w:styleId="HeaderChar">
    <w:name w:val="Header Char"/>
    <w:basedOn w:val="DefaultParagraphFont"/>
    <w:link w:val="Header"/>
    <w:uiPriority w:val="99"/>
    <w:rsid w:val="004B3564"/>
    <w:rPr>
      <w:rFonts w:ascii="Arial" w:eastAsia="Times New Roman" w:hAnsi="Arial" w:cs="Times New Roman"/>
      <w:sz w:val="24"/>
      <w:szCs w:val="24"/>
    </w:rPr>
  </w:style>
  <w:style w:type="paragraph" w:styleId="Footer">
    <w:name w:val="footer"/>
    <w:basedOn w:val="Normal"/>
    <w:link w:val="FooterChar"/>
    <w:uiPriority w:val="99"/>
    <w:unhideWhenUsed/>
    <w:rsid w:val="004B3564"/>
    <w:pPr>
      <w:tabs>
        <w:tab w:val="center" w:pos="4680"/>
        <w:tab w:val="right" w:pos="9360"/>
      </w:tabs>
    </w:pPr>
  </w:style>
  <w:style w:type="character" w:customStyle="1" w:styleId="FooterChar">
    <w:name w:val="Footer Char"/>
    <w:basedOn w:val="DefaultParagraphFont"/>
    <w:link w:val="Footer"/>
    <w:uiPriority w:val="99"/>
    <w:rsid w:val="004B3564"/>
    <w:rPr>
      <w:rFonts w:ascii="Arial" w:eastAsia="Times New Roman" w:hAnsi="Arial" w:cs="Times New Roman"/>
      <w:sz w:val="24"/>
      <w:szCs w:val="24"/>
    </w:rPr>
  </w:style>
  <w:style w:type="paragraph" w:styleId="ListParagraph">
    <w:name w:val="List Paragraph"/>
    <w:basedOn w:val="Normal"/>
    <w:uiPriority w:val="34"/>
    <w:qFormat/>
    <w:rsid w:val="00322F5B"/>
    <w:pPr>
      <w:ind w:left="720"/>
    </w:pPr>
  </w:style>
  <w:style w:type="character" w:customStyle="1" w:styleId="Heading1Char">
    <w:name w:val="Heading 1 Char"/>
    <w:basedOn w:val="DefaultParagraphFont"/>
    <w:link w:val="Heading1"/>
    <w:uiPriority w:val="9"/>
    <w:rsid w:val="00FD7DA5"/>
    <w:rPr>
      <w:rFonts w:eastAsiaTheme="majorEastAsia" w:cstheme="majorBidi"/>
      <w:b/>
      <w:bCs/>
      <w:color w:val="000000" w:themeColor="text1"/>
      <w:sz w:val="36"/>
      <w:szCs w:val="28"/>
    </w:rPr>
  </w:style>
  <w:style w:type="character" w:customStyle="1" w:styleId="Heading2Char">
    <w:name w:val="Heading 2 Char"/>
    <w:basedOn w:val="DefaultParagraphFont"/>
    <w:link w:val="Heading2"/>
    <w:uiPriority w:val="9"/>
    <w:rsid w:val="001975FD"/>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707AEA"/>
    <w:rPr>
      <w:rFonts w:eastAsiaTheme="majorEastAsia" w:cstheme="majorBidi"/>
      <w:b/>
      <w:bCs/>
      <w:color w:val="000000" w:themeColor="text1"/>
      <w:sz w:val="28"/>
      <w:szCs w:val="24"/>
    </w:rPr>
  </w:style>
  <w:style w:type="paragraph" w:styleId="FootnoteText">
    <w:name w:val="footnote text"/>
    <w:basedOn w:val="Normal"/>
    <w:link w:val="FootnoteTextChar"/>
    <w:uiPriority w:val="99"/>
    <w:semiHidden/>
    <w:unhideWhenUsed/>
    <w:rsid w:val="00F23229"/>
    <w:rPr>
      <w:sz w:val="20"/>
      <w:szCs w:val="20"/>
    </w:rPr>
  </w:style>
  <w:style w:type="character" w:customStyle="1" w:styleId="FootnoteTextChar">
    <w:name w:val="Footnote Text Char"/>
    <w:basedOn w:val="DefaultParagraphFont"/>
    <w:link w:val="FootnoteText"/>
    <w:uiPriority w:val="99"/>
    <w:semiHidden/>
    <w:rsid w:val="00F23229"/>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F23229"/>
    <w:rPr>
      <w:vertAlign w:val="superscript"/>
    </w:rPr>
  </w:style>
  <w:style w:type="character" w:styleId="Hyperlink">
    <w:name w:val="Hyperlink"/>
    <w:basedOn w:val="DefaultParagraphFont"/>
    <w:uiPriority w:val="99"/>
    <w:unhideWhenUsed/>
    <w:rsid w:val="00F23229"/>
    <w:rPr>
      <w:color w:val="0000FF" w:themeColor="hyperlink"/>
      <w:u w:val="single"/>
    </w:rPr>
  </w:style>
  <w:style w:type="paragraph" w:styleId="Caption">
    <w:name w:val="caption"/>
    <w:basedOn w:val="Normal"/>
    <w:next w:val="Normal"/>
    <w:uiPriority w:val="35"/>
    <w:unhideWhenUsed/>
    <w:qFormat/>
    <w:rsid w:val="00625BED"/>
    <w:pPr>
      <w:spacing w:after="200"/>
    </w:pPr>
    <w:rPr>
      <w:b/>
      <w:bCs/>
      <w:color w:val="4F81BD" w:themeColor="accent1"/>
      <w:sz w:val="18"/>
      <w:szCs w:val="18"/>
    </w:rPr>
  </w:style>
  <w:style w:type="paragraph" w:customStyle="1" w:styleId="Source">
    <w:name w:val="Source"/>
    <w:basedOn w:val="Normal"/>
    <w:link w:val="SourceChar"/>
    <w:qFormat/>
    <w:rsid w:val="007744F0"/>
    <w:pPr>
      <w:spacing w:after="120"/>
    </w:pPr>
    <w:rPr>
      <w:rFonts w:ascii="Tahoma" w:eastAsiaTheme="minorHAnsi" w:hAnsi="Tahoma" w:cs="Arial"/>
      <w:color w:val="000000" w:themeColor="text1"/>
      <w:sz w:val="16"/>
    </w:rPr>
  </w:style>
  <w:style w:type="character" w:customStyle="1" w:styleId="SourceChar">
    <w:name w:val="Source Char"/>
    <w:basedOn w:val="DefaultParagraphFont"/>
    <w:link w:val="Source"/>
    <w:rsid w:val="007744F0"/>
    <w:rPr>
      <w:rFonts w:ascii="Tahoma" w:hAnsi="Tahoma" w:cs="Arial"/>
      <w:color w:val="000000" w:themeColor="text1"/>
      <w:sz w:val="16"/>
      <w:szCs w:val="24"/>
    </w:rPr>
  </w:style>
  <w:style w:type="table" w:styleId="TableGrid">
    <w:name w:val="Table Grid"/>
    <w:basedOn w:val="TableNormal"/>
    <w:uiPriority w:val="59"/>
    <w:rsid w:val="00053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7E688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Char">
    <w:name w:val="Heading 4 Char"/>
    <w:basedOn w:val="DefaultParagraphFont"/>
    <w:link w:val="Heading4"/>
    <w:uiPriority w:val="9"/>
    <w:rsid w:val="00FD7DA5"/>
    <w:rPr>
      <w:rFonts w:eastAsiaTheme="majorEastAsia" w:cstheme="majorBidi"/>
      <w:b/>
      <w:bCs/>
      <w:iCs/>
      <w:color w:val="000000" w:themeColor="text1"/>
      <w:sz w:val="24"/>
      <w:szCs w:val="24"/>
    </w:rPr>
  </w:style>
  <w:style w:type="table" w:styleId="LightGrid-Accent1">
    <w:name w:val="Light Grid Accent 1"/>
    <w:basedOn w:val="TableNormal"/>
    <w:uiPriority w:val="62"/>
    <w:rsid w:val="005C1C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8B637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8B6377"/>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8B6377"/>
    <w:rPr>
      <w:sz w:val="20"/>
      <w:szCs w:val="20"/>
    </w:rPr>
  </w:style>
  <w:style w:type="character" w:styleId="EndnoteReference">
    <w:name w:val="endnote reference"/>
    <w:basedOn w:val="DefaultParagraphFont"/>
    <w:uiPriority w:val="99"/>
    <w:unhideWhenUsed/>
    <w:rsid w:val="008B6377"/>
    <w:rPr>
      <w:vertAlign w:val="superscript"/>
    </w:rPr>
  </w:style>
  <w:style w:type="paragraph" w:customStyle="1" w:styleId="authors">
    <w:name w:val="authors"/>
    <w:basedOn w:val="Normal"/>
    <w:rsid w:val="00C8300D"/>
    <w:pPr>
      <w:spacing w:before="100" w:beforeAutospacing="1" w:after="100" w:afterAutospacing="1" w:line="336" w:lineRule="atLeast"/>
    </w:pPr>
    <w:rPr>
      <w:rFonts w:ascii="Times New Roman" w:hAnsi="Times New Roman"/>
      <w:sz w:val="17"/>
      <w:szCs w:val="17"/>
    </w:rPr>
  </w:style>
  <w:style w:type="character" w:customStyle="1" w:styleId="citation">
    <w:name w:val="citation"/>
    <w:basedOn w:val="DefaultParagraphFont"/>
    <w:rsid w:val="00C8300D"/>
  </w:style>
  <w:style w:type="paragraph" w:customStyle="1" w:styleId="Default">
    <w:name w:val="Default"/>
    <w:rsid w:val="00C8300D"/>
    <w:pPr>
      <w:autoSpaceDE w:val="0"/>
      <w:autoSpaceDN w:val="0"/>
      <w:adjustRightInd w:val="0"/>
      <w:spacing w:after="0" w:line="240" w:lineRule="auto"/>
    </w:pPr>
    <w:rPr>
      <w:rFonts w:ascii="Cabin" w:eastAsia="Times New Roman" w:hAnsi="Cabin" w:cs="Cabin"/>
      <w:color w:val="000000"/>
      <w:sz w:val="24"/>
      <w:szCs w:val="24"/>
    </w:rPr>
  </w:style>
  <w:style w:type="character" w:customStyle="1" w:styleId="maintitle">
    <w:name w:val="maintitle"/>
    <w:basedOn w:val="DefaultParagraphFont"/>
    <w:rsid w:val="00C8300D"/>
  </w:style>
  <w:style w:type="character" w:customStyle="1" w:styleId="Heading5Char">
    <w:name w:val="Heading 5 Char"/>
    <w:basedOn w:val="DefaultParagraphFont"/>
    <w:link w:val="Heading5"/>
    <w:uiPriority w:val="9"/>
    <w:rsid w:val="00FD7DA5"/>
    <w:rPr>
      <w:rFonts w:eastAsiaTheme="majorEastAsia" w:cstheme="majorBidi"/>
      <w:color w:val="000000" w:themeColor="text1"/>
      <w:sz w:val="24"/>
      <w:szCs w:val="24"/>
      <w:u w:val="single"/>
    </w:rPr>
  </w:style>
  <w:style w:type="paragraph" w:styleId="TOC1">
    <w:name w:val="toc 1"/>
    <w:basedOn w:val="Normal"/>
    <w:next w:val="Normal"/>
    <w:autoRedefine/>
    <w:uiPriority w:val="39"/>
    <w:unhideWhenUsed/>
    <w:rsid w:val="00D22900"/>
    <w:pPr>
      <w:spacing w:after="100"/>
    </w:pPr>
  </w:style>
  <w:style w:type="paragraph" w:styleId="TOC2">
    <w:name w:val="toc 2"/>
    <w:basedOn w:val="Normal"/>
    <w:next w:val="Normal"/>
    <w:autoRedefine/>
    <w:uiPriority w:val="39"/>
    <w:unhideWhenUsed/>
    <w:rsid w:val="00D22900"/>
    <w:pPr>
      <w:spacing w:after="100"/>
      <w:ind w:left="240"/>
    </w:pPr>
  </w:style>
  <w:style w:type="paragraph" w:styleId="TOC3">
    <w:name w:val="toc 3"/>
    <w:basedOn w:val="Normal"/>
    <w:next w:val="Normal"/>
    <w:autoRedefine/>
    <w:uiPriority w:val="39"/>
    <w:unhideWhenUsed/>
    <w:rsid w:val="00D22900"/>
    <w:pPr>
      <w:spacing w:after="100"/>
      <w:ind w:left="480"/>
    </w:pPr>
  </w:style>
  <w:style w:type="table" w:styleId="MediumList1-Accent1">
    <w:name w:val="Medium List 1 Accent 1"/>
    <w:basedOn w:val="TableNormal"/>
    <w:uiPriority w:val="65"/>
    <w:rsid w:val="00C419D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5">
    <w:name w:val="Light List Accent 5"/>
    <w:basedOn w:val="TableNormal"/>
    <w:uiPriority w:val="61"/>
    <w:rsid w:val="0057299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ableofFigures">
    <w:name w:val="table of figures"/>
    <w:basedOn w:val="Normal"/>
    <w:next w:val="Normal"/>
    <w:uiPriority w:val="99"/>
    <w:unhideWhenUsed/>
    <w:rsid w:val="00070296"/>
  </w:style>
  <w:style w:type="character" w:styleId="FollowedHyperlink">
    <w:name w:val="FollowedHyperlink"/>
    <w:basedOn w:val="DefaultParagraphFont"/>
    <w:uiPriority w:val="99"/>
    <w:semiHidden/>
    <w:unhideWhenUsed/>
    <w:rsid w:val="003F71FF"/>
    <w:rPr>
      <w:color w:val="800080" w:themeColor="followedHyperlink"/>
      <w:u w:val="single"/>
    </w:rPr>
  </w:style>
  <w:style w:type="paragraph" w:styleId="NormalWeb">
    <w:name w:val="Normal (Web)"/>
    <w:basedOn w:val="Normal"/>
    <w:uiPriority w:val="99"/>
    <w:semiHidden/>
    <w:unhideWhenUsed/>
    <w:rsid w:val="00206F94"/>
    <w:pPr>
      <w:spacing w:before="100" w:beforeAutospacing="1" w:after="100" w:afterAutospacing="1"/>
    </w:pPr>
    <w:rPr>
      <w:rFonts w:ascii="Calibri" w:eastAsiaTheme="minorEastAsia" w:hAnsi="Calibri" w:cstheme="minorHAnsi"/>
      <w:sz w:val="22"/>
      <w:szCs w:val="22"/>
    </w:rPr>
  </w:style>
  <w:style w:type="table" w:customStyle="1" w:styleId="TableGrid1">
    <w:name w:val="Table Grid1"/>
    <w:basedOn w:val="TableNormal"/>
    <w:next w:val="TableGrid"/>
    <w:uiPriority w:val="59"/>
    <w:rsid w:val="00A54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14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73BFC"/>
  </w:style>
  <w:style w:type="numbering" w:customStyle="1" w:styleId="NoList2">
    <w:name w:val="No List2"/>
    <w:next w:val="NoList"/>
    <w:uiPriority w:val="99"/>
    <w:semiHidden/>
    <w:unhideWhenUsed/>
    <w:rsid w:val="00073BFC"/>
  </w:style>
  <w:style w:type="numbering" w:customStyle="1" w:styleId="NoList3">
    <w:name w:val="No List3"/>
    <w:next w:val="NoList"/>
    <w:uiPriority w:val="99"/>
    <w:semiHidden/>
    <w:unhideWhenUsed/>
    <w:rsid w:val="00073BFC"/>
  </w:style>
  <w:style w:type="table" w:customStyle="1" w:styleId="TableGrid3">
    <w:name w:val="Table Grid3"/>
    <w:basedOn w:val="TableNormal"/>
    <w:next w:val="TableGrid"/>
    <w:uiPriority w:val="59"/>
    <w:rsid w:val="00073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C317E"/>
  </w:style>
  <w:style w:type="paragraph" w:customStyle="1" w:styleId="References">
    <w:name w:val="References"/>
    <w:basedOn w:val="EndnoteText"/>
    <w:link w:val="ReferencesChar"/>
    <w:qFormat/>
    <w:rsid w:val="00314976"/>
    <w:pPr>
      <w:spacing w:after="120"/>
    </w:pPr>
    <w:rPr>
      <w:rFonts w:ascii="Tahoma" w:hAnsi="Tahoma" w:cs="Tahoma"/>
      <w:color w:val="231F20"/>
    </w:rPr>
  </w:style>
  <w:style w:type="character" w:customStyle="1" w:styleId="ReferencesChar">
    <w:name w:val="References Char"/>
    <w:basedOn w:val="EndnoteTextChar"/>
    <w:link w:val="References"/>
    <w:rsid w:val="00314976"/>
    <w:rPr>
      <w:rFonts w:ascii="Tahoma" w:hAnsi="Tahoma" w:cs="Tahoma"/>
      <w:color w:val="231F20"/>
      <w:sz w:val="20"/>
      <w:szCs w:val="20"/>
    </w:rPr>
  </w:style>
  <w:style w:type="table" w:customStyle="1" w:styleId="ListTable1Light-Accent11">
    <w:name w:val="List Table 1 Light - Accent 11"/>
    <w:basedOn w:val="TableNormal"/>
    <w:uiPriority w:val="46"/>
    <w:rsid w:val="006F7144"/>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next w:val="Normal"/>
    <w:link w:val="TitleChar"/>
    <w:uiPriority w:val="99"/>
    <w:qFormat/>
    <w:rsid w:val="00EE21D3"/>
    <w:pPr>
      <w:pBdr>
        <w:bottom w:val="single" w:sz="8" w:space="4" w:color="4F81BD"/>
      </w:pBdr>
      <w:spacing w:after="300"/>
    </w:pPr>
    <w:rPr>
      <w:rFonts w:ascii="Cambria" w:hAnsi="Cambria"/>
      <w:color w:val="17365D"/>
      <w:spacing w:val="5"/>
      <w:kern w:val="28"/>
      <w:sz w:val="52"/>
      <w:szCs w:val="52"/>
    </w:rPr>
  </w:style>
  <w:style w:type="character" w:customStyle="1" w:styleId="TitleChar">
    <w:name w:val="Title Char"/>
    <w:basedOn w:val="DefaultParagraphFont"/>
    <w:link w:val="Title"/>
    <w:uiPriority w:val="99"/>
    <w:rsid w:val="00EE21D3"/>
    <w:rPr>
      <w:rFonts w:ascii="Cambria" w:eastAsia="Times New Roman" w:hAnsi="Cambria" w:cs="Times New Roman"/>
      <w:color w:val="17365D"/>
      <w:spacing w:val="5"/>
      <w:kern w:val="28"/>
      <w:sz w:val="52"/>
      <w:szCs w:val="52"/>
    </w:rPr>
  </w:style>
  <w:style w:type="paragraph" w:styleId="TOC4">
    <w:name w:val="toc 4"/>
    <w:basedOn w:val="Normal"/>
    <w:next w:val="Normal"/>
    <w:autoRedefine/>
    <w:uiPriority w:val="39"/>
    <w:unhideWhenUsed/>
    <w:rsid w:val="00E2434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2434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2434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2434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2434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2434F"/>
    <w:pPr>
      <w:spacing w:after="100" w:line="259" w:lineRule="auto"/>
      <w:ind w:left="1760"/>
    </w:pPr>
    <w:rPr>
      <w:rFonts w:asciiTheme="minorHAnsi" w:eastAsiaTheme="minorEastAsia" w:hAnsiTheme="minorHAnsi" w:cstheme="minorBidi"/>
      <w:sz w:val="22"/>
      <w:szCs w:val="22"/>
    </w:rPr>
  </w:style>
  <w:style w:type="table" w:customStyle="1" w:styleId="GridTable6Colorful-Accent11">
    <w:name w:val="Grid Table 6 Colorful - Accent 11"/>
    <w:basedOn w:val="TableNormal"/>
    <w:uiPriority w:val="51"/>
    <w:rsid w:val="0067407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E8272B"/>
    <w:pPr>
      <w:spacing w:after="0" w:line="240" w:lineRule="auto"/>
    </w:pPr>
    <w:rPr>
      <w:rFonts w:ascii="Arial" w:eastAsia="Times New Roman" w:hAnsi="Arial" w:cs="Times New Roman"/>
      <w:sz w:val="24"/>
      <w:szCs w:val="24"/>
    </w:rPr>
  </w:style>
  <w:style w:type="paragraph" w:styleId="CommentSubject">
    <w:name w:val="annotation subject"/>
    <w:basedOn w:val="CommentText"/>
    <w:next w:val="CommentText"/>
    <w:link w:val="CommentSubjectChar"/>
    <w:uiPriority w:val="99"/>
    <w:semiHidden/>
    <w:unhideWhenUsed/>
    <w:rsid w:val="00E8272B"/>
    <w:rPr>
      <w:b/>
      <w:bCs/>
    </w:rPr>
  </w:style>
  <w:style w:type="character" w:customStyle="1" w:styleId="CommentSubjectChar">
    <w:name w:val="Comment Subject Char"/>
    <w:basedOn w:val="CommentTextChar"/>
    <w:link w:val="CommentSubject"/>
    <w:uiPriority w:val="99"/>
    <w:semiHidden/>
    <w:rsid w:val="00E8272B"/>
    <w:rPr>
      <w:rFonts w:ascii="Arial" w:eastAsia="Times New Roman" w:hAnsi="Arial" w:cs="Times New Roman"/>
      <w:b/>
      <w:bCs/>
      <w:sz w:val="20"/>
      <w:szCs w:val="20"/>
    </w:rPr>
  </w:style>
  <w:style w:type="numbering" w:customStyle="1" w:styleId="NoList5">
    <w:name w:val="No List5"/>
    <w:next w:val="NoList"/>
    <w:uiPriority w:val="99"/>
    <w:semiHidden/>
    <w:unhideWhenUsed/>
    <w:rsid w:val="00407705"/>
  </w:style>
  <w:style w:type="paragraph" w:customStyle="1" w:styleId="msonormal0">
    <w:name w:val="msonormal"/>
    <w:basedOn w:val="Normal"/>
    <w:rsid w:val="00493FE0"/>
    <w:pPr>
      <w:spacing w:before="100" w:beforeAutospacing="1" w:after="100" w:afterAutospacing="1"/>
    </w:pPr>
    <w:rPr>
      <w:rFonts w:ascii="Times New Roman" w:hAnsi="Times New Roman"/>
    </w:rPr>
  </w:style>
  <w:style w:type="paragraph" w:customStyle="1" w:styleId="xl65">
    <w:name w:val="xl65"/>
    <w:basedOn w:val="Normal"/>
    <w:rsid w:val="00493F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6">
    <w:name w:val="xl66"/>
    <w:basedOn w:val="Normal"/>
    <w:rsid w:val="00493F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7">
    <w:name w:val="xl67"/>
    <w:basedOn w:val="Normal"/>
    <w:rsid w:val="00493FE0"/>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pPr>
    <w:rPr>
      <w:rFonts w:ascii="Times New Roman" w:hAnsi="Times New Roman"/>
      <w:b/>
      <w:bCs/>
    </w:rPr>
  </w:style>
  <w:style w:type="paragraph" w:customStyle="1" w:styleId="xl68">
    <w:name w:val="xl68"/>
    <w:basedOn w:val="Normal"/>
    <w:rsid w:val="00493FE0"/>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pPr>
    <w:rPr>
      <w:rFonts w:ascii="Times New Roman" w:hAnsi="Times New Roman"/>
      <w:b/>
      <w:bCs/>
    </w:rPr>
  </w:style>
  <w:style w:type="paragraph" w:customStyle="1" w:styleId="xl69">
    <w:name w:val="xl69"/>
    <w:basedOn w:val="Normal"/>
    <w:rsid w:val="00493FE0"/>
    <w:pPr>
      <w:spacing w:before="100" w:beforeAutospacing="1" w:after="100" w:afterAutospacing="1"/>
    </w:pPr>
    <w:rPr>
      <w:rFonts w:ascii="Times New Roman" w:hAnsi="Times New Roman"/>
      <w:b/>
      <w:bCs/>
    </w:rPr>
  </w:style>
  <w:style w:type="paragraph" w:customStyle="1" w:styleId="xl70">
    <w:name w:val="xl70"/>
    <w:basedOn w:val="Normal"/>
    <w:rsid w:val="00493FE0"/>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pPr>
    <w:rPr>
      <w:rFonts w:ascii="Times New Roman" w:hAnsi="Times New Roman"/>
      <w:b/>
      <w:bCs/>
    </w:rPr>
  </w:style>
  <w:style w:type="paragraph" w:customStyle="1" w:styleId="xl71">
    <w:name w:val="xl71"/>
    <w:basedOn w:val="Normal"/>
    <w:rsid w:val="00493FE0"/>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pPr>
    <w:rPr>
      <w:rFonts w:ascii="Times New Roman" w:hAnsi="Times New Roman"/>
      <w:b/>
      <w:bCs/>
    </w:rPr>
  </w:style>
  <w:style w:type="paragraph" w:customStyle="1" w:styleId="xl72">
    <w:name w:val="xl72"/>
    <w:basedOn w:val="Normal"/>
    <w:rsid w:val="00493F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3">
    <w:name w:val="xl73"/>
    <w:basedOn w:val="Normal"/>
    <w:rsid w:val="00493F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4">
    <w:name w:val="xl74"/>
    <w:basedOn w:val="Normal"/>
    <w:rsid w:val="00493F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5">
    <w:name w:val="xl75"/>
    <w:basedOn w:val="Normal"/>
    <w:rsid w:val="00493FE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New Roman" w:hAnsi="Times New Roman"/>
    </w:rPr>
  </w:style>
  <w:style w:type="paragraph" w:customStyle="1" w:styleId="xl76">
    <w:name w:val="xl76"/>
    <w:basedOn w:val="Normal"/>
    <w:rsid w:val="00493F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7">
    <w:name w:val="xl77"/>
    <w:basedOn w:val="Normal"/>
    <w:rsid w:val="00493FE0"/>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jc w:val="center"/>
    </w:pPr>
    <w:rPr>
      <w:rFonts w:ascii="Times New Roman" w:hAnsi="Times New Roman"/>
      <w:b/>
      <w:bCs/>
    </w:rPr>
  </w:style>
  <w:style w:type="paragraph" w:customStyle="1" w:styleId="xl78">
    <w:name w:val="xl78"/>
    <w:basedOn w:val="Normal"/>
    <w:rsid w:val="00493FE0"/>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jc w:val="center"/>
    </w:pPr>
    <w:rPr>
      <w:rFonts w:ascii="Times New Roman" w:hAnsi="Times New Roman"/>
      <w:b/>
      <w:bCs/>
    </w:rPr>
  </w:style>
  <w:style w:type="paragraph" w:customStyle="1" w:styleId="xl79">
    <w:name w:val="xl79"/>
    <w:basedOn w:val="Normal"/>
    <w:rsid w:val="00493F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80">
    <w:name w:val="xl80"/>
    <w:basedOn w:val="Normal"/>
    <w:rsid w:val="00493F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1">
    <w:name w:val="xl81"/>
    <w:basedOn w:val="Normal"/>
    <w:rsid w:val="00493F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2">
    <w:name w:val="xl82"/>
    <w:basedOn w:val="Normal"/>
    <w:rsid w:val="00493FE0"/>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pPr>
    <w:rPr>
      <w:rFonts w:ascii="Times New Roman" w:hAnsi="Times New Roman"/>
      <w:b/>
      <w:bCs/>
    </w:rPr>
  </w:style>
  <w:style w:type="paragraph" w:customStyle="1" w:styleId="xl83">
    <w:name w:val="xl83"/>
    <w:basedOn w:val="Normal"/>
    <w:rsid w:val="00493FE0"/>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pPr>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09177">
      <w:bodyDiv w:val="1"/>
      <w:marLeft w:val="0"/>
      <w:marRight w:val="0"/>
      <w:marTop w:val="0"/>
      <w:marBottom w:val="0"/>
      <w:divBdr>
        <w:top w:val="none" w:sz="0" w:space="0" w:color="auto"/>
        <w:left w:val="none" w:sz="0" w:space="0" w:color="auto"/>
        <w:bottom w:val="none" w:sz="0" w:space="0" w:color="auto"/>
        <w:right w:val="none" w:sz="0" w:space="0" w:color="auto"/>
      </w:divBdr>
    </w:div>
    <w:div w:id="149953281">
      <w:bodyDiv w:val="1"/>
      <w:marLeft w:val="0"/>
      <w:marRight w:val="0"/>
      <w:marTop w:val="0"/>
      <w:marBottom w:val="0"/>
      <w:divBdr>
        <w:top w:val="none" w:sz="0" w:space="0" w:color="auto"/>
        <w:left w:val="none" w:sz="0" w:space="0" w:color="auto"/>
        <w:bottom w:val="none" w:sz="0" w:space="0" w:color="auto"/>
        <w:right w:val="none" w:sz="0" w:space="0" w:color="auto"/>
      </w:divBdr>
    </w:div>
    <w:div w:id="165632928">
      <w:bodyDiv w:val="1"/>
      <w:marLeft w:val="0"/>
      <w:marRight w:val="0"/>
      <w:marTop w:val="0"/>
      <w:marBottom w:val="0"/>
      <w:divBdr>
        <w:top w:val="none" w:sz="0" w:space="0" w:color="auto"/>
        <w:left w:val="none" w:sz="0" w:space="0" w:color="auto"/>
        <w:bottom w:val="none" w:sz="0" w:space="0" w:color="auto"/>
        <w:right w:val="none" w:sz="0" w:space="0" w:color="auto"/>
      </w:divBdr>
    </w:div>
    <w:div w:id="165680147">
      <w:bodyDiv w:val="1"/>
      <w:marLeft w:val="0"/>
      <w:marRight w:val="0"/>
      <w:marTop w:val="0"/>
      <w:marBottom w:val="0"/>
      <w:divBdr>
        <w:top w:val="none" w:sz="0" w:space="0" w:color="auto"/>
        <w:left w:val="none" w:sz="0" w:space="0" w:color="auto"/>
        <w:bottom w:val="none" w:sz="0" w:space="0" w:color="auto"/>
        <w:right w:val="none" w:sz="0" w:space="0" w:color="auto"/>
      </w:divBdr>
    </w:div>
    <w:div w:id="209584855">
      <w:bodyDiv w:val="1"/>
      <w:marLeft w:val="0"/>
      <w:marRight w:val="0"/>
      <w:marTop w:val="0"/>
      <w:marBottom w:val="0"/>
      <w:divBdr>
        <w:top w:val="none" w:sz="0" w:space="0" w:color="auto"/>
        <w:left w:val="none" w:sz="0" w:space="0" w:color="auto"/>
        <w:bottom w:val="none" w:sz="0" w:space="0" w:color="auto"/>
        <w:right w:val="none" w:sz="0" w:space="0" w:color="auto"/>
      </w:divBdr>
    </w:div>
    <w:div w:id="223682415">
      <w:bodyDiv w:val="1"/>
      <w:marLeft w:val="0"/>
      <w:marRight w:val="0"/>
      <w:marTop w:val="0"/>
      <w:marBottom w:val="0"/>
      <w:divBdr>
        <w:top w:val="none" w:sz="0" w:space="0" w:color="auto"/>
        <w:left w:val="none" w:sz="0" w:space="0" w:color="auto"/>
        <w:bottom w:val="none" w:sz="0" w:space="0" w:color="auto"/>
        <w:right w:val="none" w:sz="0" w:space="0" w:color="auto"/>
      </w:divBdr>
    </w:div>
    <w:div w:id="403264676">
      <w:bodyDiv w:val="1"/>
      <w:marLeft w:val="0"/>
      <w:marRight w:val="0"/>
      <w:marTop w:val="0"/>
      <w:marBottom w:val="0"/>
      <w:divBdr>
        <w:top w:val="none" w:sz="0" w:space="0" w:color="auto"/>
        <w:left w:val="none" w:sz="0" w:space="0" w:color="auto"/>
        <w:bottom w:val="none" w:sz="0" w:space="0" w:color="auto"/>
        <w:right w:val="none" w:sz="0" w:space="0" w:color="auto"/>
      </w:divBdr>
    </w:div>
    <w:div w:id="407116328">
      <w:bodyDiv w:val="1"/>
      <w:marLeft w:val="0"/>
      <w:marRight w:val="0"/>
      <w:marTop w:val="0"/>
      <w:marBottom w:val="0"/>
      <w:divBdr>
        <w:top w:val="none" w:sz="0" w:space="0" w:color="auto"/>
        <w:left w:val="none" w:sz="0" w:space="0" w:color="auto"/>
        <w:bottom w:val="none" w:sz="0" w:space="0" w:color="auto"/>
        <w:right w:val="none" w:sz="0" w:space="0" w:color="auto"/>
      </w:divBdr>
    </w:div>
    <w:div w:id="464813405">
      <w:bodyDiv w:val="1"/>
      <w:marLeft w:val="0"/>
      <w:marRight w:val="0"/>
      <w:marTop w:val="0"/>
      <w:marBottom w:val="0"/>
      <w:divBdr>
        <w:top w:val="none" w:sz="0" w:space="0" w:color="auto"/>
        <w:left w:val="none" w:sz="0" w:space="0" w:color="auto"/>
        <w:bottom w:val="none" w:sz="0" w:space="0" w:color="auto"/>
        <w:right w:val="none" w:sz="0" w:space="0" w:color="auto"/>
      </w:divBdr>
    </w:div>
    <w:div w:id="501701497">
      <w:bodyDiv w:val="1"/>
      <w:marLeft w:val="0"/>
      <w:marRight w:val="0"/>
      <w:marTop w:val="0"/>
      <w:marBottom w:val="0"/>
      <w:divBdr>
        <w:top w:val="none" w:sz="0" w:space="0" w:color="auto"/>
        <w:left w:val="none" w:sz="0" w:space="0" w:color="auto"/>
        <w:bottom w:val="none" w:sz="0" w:space="0" w:color="auto"/>
        <w:right w:val="none" w:sz="0" w:space="0" w:color="auto"/>
      </w:divBdr>
    </w:div>
    <w:div w:id="557547494">
      <w:bodyDiv w:val="1"/>
      <w:marLeft w:val="0"/>
      <w:marRight w:val="0"/>
      <w:marTop w:val="0"/>
      <w:marBottom w:val="0"/>
      <w:divBdr>
        <w:top w:val="none" w:sz="0" w:space="0" w:color="auto"/>
        <w:left w:val="none" w:sz="0" w:space="0" w:color="auto"/>
        <w:bottom w:val="none" w:sz="0" w:space="0" w:color="auto"/>
        <w:right w:val="none" w:sz="0" w:space="0" w:color="auto"/>
      </w:divBdr>
    </w:div>
    <w:div w:id="609094576">
      <w:bodyDiv w:val="1"/>
      <w:marLeft w:val="0"/>
      <w:marRight w:val="0"/>
      <w:marTop w:val="0"/>
      <w:marBottom w:val="0"/>
      <w:divBdr>
        <w:top w:val="none" w:sz="0" w:space="0" w:color="auto"/>
        <w:left w:val="none" w:sz="0" w:space="0" w:color="auto"/>
        <w:bottom w:val="none" w:sz="0" w:space="0" w:color="auto"/>
        <w:right w:val="none" w:sz="0" w:space="0" w:color="auto"/>
      </w:divBdr>
    </w:div>
    <w:div w:id="726073562">
      <w:bodyDiv w:val="1"/>
      <w:marLeft w:val="0"/>
      <w:marRight w:val="0"/>
      <w:marTop w:val="0"/>
      <w:marBottom w:val="0"/>
      <w:divBdr>
        <w:top w:val="none" w:sz="0" w:space="0" w:color="auto"/>
        <w:left w:val="none" w:sz="0" w:space="0" w:color="auto"/>
        <w:bottom w:val="none" w:sz="0" w:space="0" w:color="auto"/>
        <w:right w:val="none" w:sz="0" w:space="0" w:color="auto"/>
      </w:divBdr>
    </w:div>
    <w:div w:id="739134175">
      <w:bodyDiv w:val="1"/>
      <w:marLeft w:val="0"/>
      <w:marRight w:val="0"/>
      <w:marTop w:val="0"/>
      <w:marBottom w:val="0"/>
      <w:divBdr>
        <w:top w:val="none" w:sz="0" w:space="0" w:color="auto"/>
        <w:left w:val="none" w:sz="0" w:space="0" w:color="auto"/>
        <w:bottom w:val="none" w:sz="0" w:space="0" w:color="auto"/>
        <w:right w:val="none" w:sz="0" w:space="0" w:color="auto"/>
      </w:divBdr>
    </w:div>
    <w:div w:id="779225560">
      <w:bodyDiv w:val="1"/>
      <w:marLeft w:val="0"/>
      <w:marRight w:val="0"/>
      <w:marTop w:val="0"/>
      <w:marBottom w:val="0"/>
      <w:divBdr>
        <w:top w:val="none" w:sz="0" w:space="0" w:color="auto"/>
        <w:left w:val="none" w:sz="0" w:space="0" w:color="auto"/>
        <w:bottom w:val="none" w:sz="0" w:space="0" w:color="auto"/>
        <w:right w:val="none" w:sz="0" w:space="0" w:color="auto"/>
      </w:divBdr>
    </w:div>
    <w:div w:id="795492061">
      <w:bodyDiv w:val="1"/>
      <w:marLeft w:val="0"/>
      <w:marRight w:val="0"/>
      <w:marTop w:val="0"/>
      <w:marBottom w:val="0"/>
      <w:divBdr>
        <w:top w:val="none" w:sz="0" w:space="0" w:color="auto"/>
        <w:left w:val="none" w:sz="0" w:space="0" w:color="auto"/>
        <w:bottom w:val="none" w:sz="0" w:space="0" w:color="auto"/>
        <w:right w:val="none" w:sz="0" w:space="0" w:color="auto"/>
      </w:divBdr>
    </w:div>
    <w:div w:id="815335973">
      <w:bodyDiv w:val="1"/>
      <w:marLeft w:val="0"/>
      <w:marRight w:val="0"/>
      <w:marTop w:val="0"/>
      <w:marBottom w:val="0"/>
      <w:divBdr>
        <w:top w:val="none" w:sz="0" w:space="0" w:color="auto"/>
        <w:left w:val="none" w:sz="0" w:space="0" w:color="auto"/>
        <w:bottom w:val="none" w:sz="0" w:space="0" w:color="auto"/>
        <w:right w:val="none" w:sz="0" w:space="0" w:color="auto"/>
      </w:divBdr>
    </w:div>
    <w:div w:id="831725869">
      <w:bodyDiv w:val="1"/>
      <w:marLeft w:val="0"/>
      <w:marRight w:val="0"/>
      <w:marTop w:val="0"/>
      <w:marBottom w:val="0"/>
      <w:divBdr>
        <w:top w:val="none" w:sz="0" w:space="0" w:color="auto"/>
        <w:left w:val="none" w:sz="0" w:space="0" w:color="auto"/>
        <w:bottom w:val="none" w:sz="0" w:space="0" w:color="auto"/>
        <w:right w:val="none" w:sz="0" w:space="0" w:color="auto"/>
      </w:divBdr>
    </w:div>
    <w:div w:id="851187861">
      <w:bodyDiv w:val="1"/>
      <w:marLeft w:val="0"/>
      <w:marRight w:val="0"/>
      <w:marTop w:val="0"/>
      <w:marBottom w:val="0"/>
      <w:divBdr>
        <w:top w:val="none" w:sz="0" w:space="0" w:color="auto"/>
        <w:left w:val="none" w:sz="0" w:space="0" w:color="auto"/>
        <w:bottom w:val="none" w:sz="0" w:space="0" w:color="auto"/>
        <w:right w:val="none" w:sz="0" w:space="0" w:color="auto"/>
      </w:divBdr>
    </w:div>
    <w:div w:id="901450220">
      <w:bodyDiv w:val="1"/>
      <w:marLeft w:val="0"/>
      <w:marRight w:val="0"/>
      <w:marTop w:val="0"/>
      <w:marBottom w:val="0"/>
      <w:divBdr>
        <w:top w:val="none" w:sz="0" w:space="0" w:color="auto"/>
        <w:left w:val="none" w:sz="0" w:space="0" w:color="auto"/>
        <w:bottom w:val="none" w:sz="0" w:space="0" w:color="auto"/>
        <w:right w:val="none" w:sz="0" w:space="0" w:color="auto"/>
      </w:divBdr>
    </w:div>
    <w:div w:id="918296181">
      <w:bodyDiv w:val="1"/>
      <w:marLeft w:val="0"/>
      <w:marRight w:val="0"/>
      <w:marTop w:val="0"/>
      <w:marBottom w:val="0"/>
      <w:divBdr>
        <w:top w:val="none" w:sz="0" w:space="0" w:color="auto"/>
        <w:left w:val="none" w:sz="0" w:space="0" w:color="auto"/>
        <w:bottom w:val="none" w:sz="0" w:space="0" w:color="auto"/>
        <w:right w:val="none" w:sz="0" w:space="0" w:color="auto"/>
      </w:divBdr>
    </w:div>
    <w:div w:id="981008782">
      <w:bodyDiv w:val="1"/>
      <w:marLeft w:val="0"/>
      <w:marRight w:val="0"/>
      <w:marTop w:val="0"/>
      <w:marBottom w:val="0"/>
      <w:divBdr>
        <w:top w:val="none" w:sz="0" w:space="0" w:color="auto"/>
        <w:left w:val="none" w:sz="0" w:space="0" w:color="auto"/>
        <w:bottom w:val="none" w:sz="0" w:space="0" w:color="auto"/>
        <w:right w:val="none" w:sz="0" w:space="0" w:color="auto"/>
      </w:divBdr>
    </w:div>
    <w:div w:id="1075972197">
      <w:bodyDiv w:val="1"/>
      <w:marLeft w:val="0"/>
      <w:marRight w:val="0"/>
      <w:marTop w:val="0"/>
      <w:marBottom w:val="0"/>
      <w:divBdr>
        <w:top w:val="none" w:sz="0" w:space="0" w:color="auto"/>
        <w:left w:val="none" w:sz="0" w:space="0" w:color="auto"/>
        <w:bottom w:val="none" w:sz="0" w:space="0" w:color="auto"/>
        <w:right w:val="none" w:sz="0" w:space="0" w:color="auto"/>
      </w:divBdr>
    </w:div>
    <w:div w:id="1117943599">
      <w:bodyDiv w:val="1"/>
      <w:marLeft w:val="0"/>
      <w:marRight w:val="0"/>
      <w:marTop w:val="0"/>
      <w:marBottom w:val="0"/>
      <w:divBdr>
        <w:top w:val="none" w:sz="0" w:space="0" w:color="auto"/>
        <w:left w:val="none" w:sz="0" w:space="0" w:color="auto"/>
        <w:bottom w:val="none" w:sz="0" w:space="0" w:color="auto"/>
        <w:right w:val="none" w:sz="0" w:space="0" w:color="auto"/>
      </w:divBdr>
    </w:div>
    <w:div w:id="1137602889">
      <w:bodyDiv w:val="1"/>
      <w:marLeft w:val="0"/>
      <w:marRight w:val="0"/>
      <w:marTop w:val="0"/>
      <w:marBottom w:val="0"/>
      <w:divBdr>
        <w:top w:val="none" w:sz="0" w:space="0" w:color="auto"/>
        <w:left w:val="none" w:sz="0" w:space="0" w:color="auto"/>
        <w:bottom w:val="none" w:sz="0" w:space="0" w:color="auto"/>
        <w:right w:val="none" w:sz="0" w:space="0" w:color="auto"/>
      </w:divBdr>
    </w:div>
    <w:div w:id="1163467693">
      <w:bodyDiv w:val="1"/>
      <w:marLeft w:val="0"/>
      <w:marRight w:val="0"/>
      <w:marTop w:val="0"/>
      <w:marBottom w:val="0"/>
      <w:divBdr>
        <w:top w:val="none" w:sz="0" w:space="0" w:color="auto"/>
        <w:left w:val="none" w:sz="0" w:space="0" w:color="auto"/>
        <w:bottom w:val="none" w:sz="0" w:space="0" w:color="auto"/>
        <w:right w:val="none" w:sz="0" w:space="0" w:color="auto"/>
      </w:divBdr>
    </w:div>
    <w:div w:id="1226339238">
      <w:bodyDiv w:val="1"/>
      <w:marLeft w:val="0"/>
      <w:marRight w:val="0"/>
      <w:marTop w:val="0"/>
      <w:marBottom w:val="0"/>
      <w:divBdr>
        <w:top w:val="none" w:sz="0" w:space="0" w:color="auto"/>
        <w:left w:val="none" w:sz="0" w:space="0" w:color="auto"/>
        <w:bottom w:val="none" w:sz="0" w:space="0" w:color="auto"/>
        <w:right w:val="none" w:sz="0" w:space="0" w:color="auto"/>
      </w:divBdr>
    </w:div>
    <w:div w:id="1227914205">
      <w:bodyDiv w:val="1"/>
      <w:marLeft w:val="0"/>
      <w:marRight w:val="0"/>
      <w:marTop w:val="0"/>
      <w:marBottom w:val="0"/>
      <w:divBdr>
        <w:top w:val="none" w:sz="0" w:space="0" w:color="auto"/>
        <w:left w:val="none" w:sz="0" w:space="0" w:color="auto"/>
        <w:bottom w:val="none" w:sz="0" w:space="0" w:color="auto"/>
        <w:right w:val="none" w:sz="0" w:space="0" w:color="auto"/>
      </w:divBdr>
    </w:div>
    <w:div w:id="1254243221">
      <w:bodyDiv w:val="1"/>
      <w:marLeft w:val="0"/>
      <w:marRight w:val="0"/>
      <w:marTop w:val="0"/>
      <w:marBottom w:val="0"/>
      <w:divBdr>
        <w:top w:val="none" w:sz="0" w:space="0" w:color="auto"/>
        <w:left w:val="none" w:sz="0" w:space="0" w:color="auto"/>
        <w:bottom w:val="none" w:sz="0" w:space="0" w:color="auto"/>
        <w:right w:val="none" w:sz="0" w:space="0" w:color="auto"/>
      </w:divBdr>
    </w:div>
    <w:div w:id="1509903062">
      <w:bodyDiv w:val="1"/>
      <w:marLeft w:val="0"/>
      <w:marRight w:val="0"/>
      <w:marTop w:val="0"/>
      <w:marBottom w:val="0"/>
      <w:divBdr>
        <w:top w:val="none" w:sz="0" w:space="0" w:color="auto"/>
        <w:left w:val="none" w:sz="0" w:space="0" w:color="auto"/>
        <w:bottom w:val="none" w:sz="0" w:space="0" w:color="auto"/>
        <w:right w:val="none" w:sz="0" w:space="0" w:color="auto"/>
      </w:divBdr>
    </w:div>
    <w:div w:id="1558316587">
      <w:bodyDiv w:val="1"/>
      <w:marLeft w:val="0"/>
      <w:marRight w:val="0"/>
      <w:marTop w:val="0"/>
      <w:marBottom w:val="0"/>
      <w:divBdr>
        <w:top w:val="none" w:sz="0" w:space="0" w:color="auto"/>
        <w:left w:val="none" w:sz="0" w:space="0" w:color="auto"/>
        <w:bottom w:val="none" w:sz="0" w:space="0" w:color="auto"/>
        <w:right w:val="none" w:sz="0" w:space="0" w:color="auto"/>
      </w:divBdr>
    </w:div>
    <w:div w:id="1621690066">
      <w:bodyDiv w:val="1"/>
      <w:marLeft w:val="0"/>
      <w:marRight w:val="0"/>
      <w:marTop w:val="0"/>
      <w:marBottom w:val="0"/>
      <w:divBdr>
        <w:top w:val="none" w:sz="0" w:space="0" w:color="auto"/>
        <w:left w:val="none" w:sz="0" w:space="0" w:color="auto"/>
        <w:bottom w:val="none" w:sz="0" w:space="0" w:color="auto"/>
        <w:right w:val="none" w:sz="0" w:space="0" w:color="auto"/>
      </w:divBdr>
    </w:div>
    <w:div w:id="1664895478">
      <w:bodyDiv w:val="1"/>
      <w:marLeft w:val="0"/>
      <w:marRight w:val="0"/>
      <w:marTop w:val="0"/>
      <w:marBottom w:val="0"/>
      <w:divBdr>
        <w:top w:val="none" w:sz="0" w:space="0" w:color="auto"/>
        <w:left w:val="none" w:sz="0" w:space="0" w:color="auto"/>
        <w:bottom w:val="none" w:sz="0" w:space="0" w:color="auto"/>
        <w:right w:val="none" w:sz="0" w:space="0" w:color="auto"/>
      </w:divBdr>
    </w:div>
    <w:div w:id="1710571862">
      <w:bodyDiv w:val="1"/>
      <w:marLeft w:val="0"/>
      <w:marRight w:val="0"/>
      <w:marTop w:val="0"/>
      <w:marBottom w:val="0"/>
      <w:divBdr>
        <w:top w:val="none" w:sz="0" w:space="0" w:color="auto"/>
        <w:left w:val="none" w:sz="0" w:space="0" w:color="auto"/>
        <w:bottom w:val="none" w:sz="0" w:space="0" w:color="auto"/>
        <w:right w:val="none" w:sz="0" w:space="0" w:color="auto"/>
      </w:divBdr>
    </w:div>
    <w:div w:id="1712339150">
      <w:bodyDiv w:val="1"/>
      <w:marLeft w:val="0"/>
      <w:marRight w:val="0"/>
      <w:marTop w:val="0"/>
      <w:marBottom w:val="0"/>
      <w:divBdr>
        <w:top w:val="none" w:sz="0" w:space="0" w:color="auto"/>
        <w:left w:val="none" w:sz="0" w:space="0" w:color="auto"/>
        <w:bottom w:val="none" w:sz="0" w:space="0" w:color="auto"/>
        <w:right w:val="none" w:sz="0" w:space="0" w:color="auto"/>
      </w:divBdr>
    </w:div>
    <w:div w:id="1733313983">
      <w:bodyDiv w:val="1"/>
      <w:marLeft w:val="0"/>
      <w:marRight w:val="0"/>
      <w:marTop w:val="0"/>
      <w:marBottom w:val="0"/>
      <w:divBdr>
        <w:top w:val="none" w:sz="0" w:space="0" w:color="auto"/>
        <w:left w:val="none" w:sz="0" w:space="0" w:color="auto"/>
        <w:bottom w:val="none" w:sz="0" w:space="0" w:color="auto"/>
        <w:right w:val="none" w:sz="0" w:space="0" w:color="auto"/>
      </w:divBdr>
    </w:div>
    <w:div w:id="1773089792">
      <w:bodyDiv w:val="1"/>
      <w:marLeft w:val="0"/>
      <w:marRight w:val="0"/>
      <w:marTop w:val="0"/>
      <w:marBottom w:val="0"/>
      <w:divBdr>
        <w:top w:val="none" w:sz="0" w:space="0" w:color="auto"/>
        <w:left w:val="none" w:sz="0" w:space="0" w:color="auto"/>
        <w:bottom w:val="none" w:sz="0" w:space="0" w:color="auto"/>
        <w:right w:val="none" w:sz="0" w:space="0" w:color="auto"/>
      </w:divBdr>
    </w:div>
    <w:div w:id="1823614887">
      <w:bodyDiv w:val="1"/>
      <w:marLeft w:val="0"/>
      <w:marRight w:val="0"/>
      <w:marTop w:val="0"/>
      <w:marBottom w:val="0"/>
      <w:divBdr>
        <w:top w:val="none" w:sz="0" w:space="0" w:color="auto"/>
        <w:left w:val="none" w:sz="0" w:space="0" w:color="auto"/>
        <w:bottom w:val="none" w:sz="0" w:space="0" w:color="auto"/>
        <w:right w:val="none" w:sz="0" w:space="0" w:color="auto"/>
      </w:divBdr>
    </w:div>
    <w:div w:id="1831630033">
      <w:bodyDiv w:val="1"/>
      <w:marLeft w:val="0"/>
      <w:marRight w:val="0"/>
      <w:marTop w:val="0"/>
      <w:marBottom w:val="0"/>
      <w:divBdr>
        <w:top w:val="none" w:sz="0" w:space="0" w:color="auto"/>
        <w:left w:val="none" w:sz="0" w:space="0" w:color="auto"/>
        <w:bottom w:val="none" w:sz="0" w:space="0" w:color="auto"/>
        <w:right w:val="none" w:sz="0" w:space="0" w:color="auto"/>
      </w:divBdr>
    </w:div>
    <w:div w:id="1853565532">
      <w:bodyDiv w:val="1"/>
      <w:marLeft w:val="0"/>
      <w:marRight w:val="0"/>
      <w:marTop w:val="0"/>
      <w:marBottom w:val="0"/>
      <w:divBdr>
        <w:top w:val="none" w:sz="0" w:space="0" w:color="auto"/>
        <w:left w:val="none" w:sz="0" w:space="0" w:color="auto"/>
        <w:bottom w:val="none" w:sz="0" w:space="0" w:color="auto"/>
        <w:right w:val="none" w:sz="0" w:space="0" w:color="auto"/>
      </w:divBdr>
    </w:div>
    <w:div w:id="1868983429">
      <w:bodyDiv w:val="1"/>
      <w:marLeft w:val="0"/>
      <w:marRight w:val="0"/>
      <w:marTop w:val="0"/>
      <w:marBottom w:val="0"/>
      <w:divBdr>
        <w:top w:val="none" w:sz="0" w:space="0" w:color="auto"/>
        <w:left w:val="none" w:sz="0" w:space="0" w:color="auto"/>
        <w:bottom w:val="none" w:sz="0" w:space="0" w:color="auto"/>
        <w:right w:val="none" w:sz="0" w:space="0" w:color="auto"/>
      </w:divBdr>
    </w:div>
    <w:div w:id="1872186006">
      <w:bodyDiv w:val="1"/>
      <w:marLeft w:val="0"/>
      <w:marRight w:val="0"/>
      <w:marTop w:val="0"/>
      <w:marBottom w:val="0"/>
      <w:divBdr>
        <w:top w:val="none" w:sz="0" w:space="0" w:color="auto"/>
        <w:left w:val="none" w:sz="0" w:space="0" w:color="auto"/>
        <w:bottom w:val="none" w:sz="0" w:space="0" w:color="auto"/>
        <w:right w:val="none" w:sz="0" w:space="0" w:color="auto"/>
      </w:divBdr>
    </w:div>
    <w:div w:id="1941065656">
      <w:bodyDiv w:val="1"/>
      <w:marLeft w:val="0"/>
      <w:marRight w:val="0"/>
      <w:marTop w:val="0"/>
      <w:marBottom w:val="0"/>
      <w:divBdr>
        <w:top w:val="none" w:sz="0" w:space="0" w:color="auto"/>
        <w:left w:val="none" w:sz="0" w:space="0" w:color="auto"/>
        <w:bottom w:val="none" w:sz="0" w:space="0" w:color="auto"/>
        <w:right w:val="none" w:sz="0" w:space="0" w:color="auto"/>
      </w:divBdr>
    </w:div>
    <w:div w:id="1978802258">
      <w:bodyDiv w:val="1"/>
      <w:marLeft w:val="0"/>
      <w:marRight w:val="0"/>
      <w:marTop w:val="0"/>
      <w:marBottom w:val="0"/>
      <w:divBdr>
        <w:top w:val="none" w:sz="0" w:space="0" w:color="auto"/>
        <w:left w:val="none" w:sz="0" w:space="0" w:color="auto"/>
        <w:bottom w:val="none" w:sz="0" w:space="0" w:color="auto"/>
        <w:right w:val="none" w:sz="0" w:space="0" w:color="auto"/>
      </w:divBdr>
    </w:div>
    <w:div w:id="2077312561">
      <w:bodyDiv w:val="1"/>
      <w:marLeft w:val="0"/>
      <w:marRight w:val="0"/>
      <w:marTop w:val="0"/>
      <w:marBottom w:val="0"/>
      <w:divBdr>
        <w:top w:val="none" w:sz="0" w:space="0" w:color="auto"/>
        <w:left w:val="none" w:sz="0" w:space="0" w:color="auto"/>
        <w:bottom w:val="none" w:sz="0" w:space="0" w:color="auto"/>
        <w:right w:val="none" w:sz="0" w:space="0" w:color="auto"/>
      </w:divBdr>
    </w:div>
    <w:div w:id="209639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image" Target="media/image4.png"/><Relationship Id="rId47" Type="http://schemas.openxmlformats.org/officeDocument/2006/relationships/chart" Target="charts/chart23.xml"/><Relationship Id="rId63" Type="http://schemas.openxmlformats.org/officeDocument/2006/relationships/chart" Target="charts/chart38.xml"/><Relationship Id="rId68" Type="http://schemas.openxmlformats.org/officeDocument/2006/relationships/chart" Target="charts/chart43.xml"/><Relationship Id="rId84" Type="http://schemas.openxmlformats.org/officeDocument/2006/relationships/chart" Target="charts/chart59.xml"/><Relationship Id="rId89" Type="http://schemas.openxmlformats.org/officeDocument/2006/relationships/header" Target="header3.xml"/><Relationship Id="rId16" Type="http://schemas.openxmlformats.org/officeDocument/2006/relationships/chart" Target="charts/chart4.xml"/><Relationship Id="rId11" Type="http://schemas.openxmlformats.org/officeDocument/2006/relationships/image" Target="media/image1.gif"/><Relationship Id="rId32" Type="http://schemas.openxmlformats.org/officeDocument/2006/relationships/chart" Target="charts/chart16.xml"/><Relationship Id="rId37" Type="http://schemas.openxmlformats.org/officeDocument/2006/relationships/diagramData" Target="diagrams/data1.xml"/><Relationship Id="rId53" Type="http://schemas.openxmlformats.org/officeDocument/2006/relationships/image" Target="media/image5.jpeg"/><Relationship Id="rId58" Type="http://schemas.openxmlformats.org/officeDocument/2006/relationships/chart" Target="charts/chart33.xml"/><Relationship Id="rId74" Type="http://schemas.openxmlformats.org/officeDocument/2006/relationships/chart" Target="charts/chart49.xml"/><Relationship Id="rId79" Type="http://schemas.openxmlformats.org/officeDocument/2006/relationships/chart" Target="charts/chart54.xml"/><Relationship Id="rId5" Type="http://schemas.openxmlformats.org/officeDocument/2006/relationships/numbering" Target="numbering.xml"/><Relationship Id="rId90" Type="http://schemas.openxmlformats.org/officeDocument/2006/relationships/footer" Target="footer2.xml"/><Relationship Id="rId95" Type="http://schemas.openxmlformats.org/officeDocument/2006/relationships/chart" Target="charts/chart61.xml"/><Relationship Id="rId22" Type="http://schemas.openxmlformats.org/officeDocument/2006/relationships/chart" Target="charts/chart8.xml"/><Relationship Id="rId27" Type="http://schemas.openxmlformats.org/officeDocument/2006/relationships/hyperlink" Target="http://www.calduals.org/background/faq/" TargetMode="External"/><Relationship Id="rId43" Type="http://schemas.openxmlformats.org/officeDocument/2006/relationships/chart" Target="charts/chart19.xml"/><Relationship Id="rId48" Type="http://schemas.openxmlformats.org/officeDocument/2006/relationships/chart" Target="charts/chart24.xml"/><Relationship Id="rId64" Type="http://schemas.openxmlformats.org/officeDocument/2006/relationships/chart" Target="charts/chart39.xml"/><Relationship Id="rId69" Type="http://schemas.openxmlformats.org/officeDocument/2006/relationships/chart" Target="charts/chart44.xml"/><Relationship Id="rId80" Type="http://schemas.openxmlformats.org/officeDocument/2006/relationships/chart" Target="charts/chart55.xml"/><Relationship Id="rId85" Type="http://schemas.openxmlformats.org/officeDocument/2006/relationships/chart" Target="charts/chart60.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hyperlink" Target="http://www.calduals.org/wp-content/uploads/2016/07/CMC-Enrollment-Dashboard-June-Final.pdf" TargetMode="External"/><Relationship Id="rId25" Type="http://schemas.openxmlformats.org/officeDocument/2006/relationships/chart" Target="charts/chart11.xml"/><Relationship Id="rId33" Type="http://schemas.openxmlformats.org/officeDocument/2006/relationships/chart" Target="charts/chart17.xml"/><Relationship Id="rId38" Type="http://schemas.openxmlformats.org/officeDocument/2006/relationships/diagramLayout" Target="diagrams/layout1.xml"/><Relationship Id="rId46" Type="http://schemas.openxmlformats.org/officeDocument/2006/relationships/chart" Target="charts/chart22.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hyperlink" Target="http://www.dhcs.ca.gov/provgovpart/Documents/Waiver%20Renewal/AppendixCHFP.PDF" TargetMode="External"/><Relationship Id="rId41" Type="http://schemas.microsoft.com/office/2007/relationships/diagramDrawing" Target="diagrams/drawing1.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chart" Target="charts/chart58.xml"/><Relationship Id="rId88" Type="http://schemas.openxmlformats.org/officeDocument/2006/relationships/header" Target="header2.xml"/><Relationship Id="rId91" Type="http://schemas.openxmlformats.org/officeDocument/2006/relationships/image" Target="media/image6.png"/><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hcs.ca.gov/individuals/Documents/MMCD_SPD/ChartsRptsData/SPD_Dashboard_Jan2013.pdf" TargetMode="External"/><Relationship Id="rId23" Type="http://schemas.openxmlformats.org/officeDocument/2006/relationships/chart" Target="charts/chart9.xml"/><Relationship Id="rId28" Type="http://schemas.openxmlformats.org/officeDocument/2006/relationships/hyperlink" Target="https://www.medicare.gov/" TargetMode="External"/><Relationship Id="rId36" Type="http://schemas.openxmlformats.org/officeDocument/2006/relationships/image" Target="media/image3.png"/><Relationship Id="rId49" Type="http://schemas.openxmlformats.org/officeDocument/2006/relationships/chart" Target="charts/chart25.xml"/><Relationship Id="rId57" Type="http://schemas.openxmlformats.org/officeDocument/2006/relationships/chart" Target="charts/chart32.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chart" Target="charts/chart48.xml"/><Relationship Id="rId78" Type="http://schemas.openxmlformats.org/officeDocument/2006/relationships/chart" Target="charts/chart53.xml"/><Relationship Id="rId81" Type="http://schemas.openxmlformats.org/officeDocument/2006/relationships/chart" Target="charts/chart56.xml"/><Relationship Id="rId86" Type="http://schemas.openxmlformats.org/officeDocument/2006/relationships/header" Target="header1.xml"/><Relationship Id="rId94" Type="http://schemas.openxmlformats.org/officeDocument/2006/relationships/footer" Target="footer3.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diagramQuickStyle" Target="diagrams/quickStyle1.xml"/><Relationship Id="rId34" Type="http://schemas.openxmlformats.org/officeDocument/2006/relationships/chart" Target="charts/chart18.xml"/><Relationship Id="rId50" Type="http://schemas.openxmlformats.org/officeDocument/2006/relationships/chart" Target="charts/chart26.xml"/><Relationship Id="rId55" Type="http://schemas.openxmlformats.org/officeDocument/2006/relationships/chart" Target="charts/chart30.xml"/><Relationship Id="rId76" Type="http://schemas.openxmlformats.org/officeDocument/2006/relationships/chart" Target="charts/chart51.xml"/><Relationship Id="rId97" Type="http://schemas.openxmlformats.org/officeDocument/2006/relationships/image" Target="cid:image003.png@01D1F150.A0B8FA50" TargetMode="External"/><Relationship Id="rId7" Type="http://schemas.openxmlformats.org/officeDocument/2006/relationships/settings" Target="settings.xml"/><Relationship Id="rId71" Type="http://schemas.openxmlformats.org/officeDocument/2006/relationships/chart" Target="charts/chart46.xml"/><Relationship Id="rId92" Type="http://schemas.openxmlformats.org/officeDocument/2006/relationships/image" Target="cid:image002.png@01D1F150.A0B8FA50" TargetMode="External"/><Relationship Id="rId2" Type="http://schemas.openxmlformats.org/officeDocument/2006/relationships/customXml" Target="../customXml/item2.xml"/><Relationship Id="rId29" Type="http://schemas.openxmlformats.org/officeDocument/2006/relationships/chart" Target="charts/chart13.xml"/><Relationship Id="rId24" Type="http://schemas.openxmlformats.org/officeDocument/2006/relationships/chart" Target="charts/chart10.xml"/><Relationship Id="rId40" Type="http://schemas.openxmlformats.org/officeDocument/2006/relationships/diagramColors" Target="diagrams/colors1.xml"/><Relationship Id="rId45" Type="http://schemas.openxmlformats.org/officeDocument/2006/relationships/chart" Target="charts/chart21.xml"/><Relationship Id="rId66" Type="http://schemas.openxmlformats.org/officeDocument/2006/relationships/chart" Target="charts/chart41.xml"/><Relationship Id="rId87" Type="http://schemas.openxmlformats.org/officeDocument/2006/relationships/footer" Target="footer1.xml"/><Relationship Id="rId61" Type="http://schemas.openxmlformats.org/officeDocument/2006/relationships/chart" Target="charts/chart36.xml"/><Relationship Id="rId82" Type="http://schemas.openxmlformats.org/officeDocument/2006/relationships/chart" Target="charts/chart57.xml"/><Relationship Id="rId19" Type="http://schemas.openxmlformats.org/officeDocument/2006/relationships/chart" Target="charts/chart6.xml"/><Relationship Id="rId14" Type="http://schemas.openxmlformats.org/officeDocument/2006/relationships/chart" Target="charts/chart3.xml"/><Relationship Id="rId30" Type="http://schemas.openxmlformats.org/officeDocument/2006/relationships/chart" Target="charts/chart14.xml"/><Relationship Id="rId35" Type="http://schemas.openxmlformats.org/officeDocument/2006/relationships/image" Target="media/image2.png"/><Relationship Id="rId56" Type="http://schemas.openxmlformats.org/officeDocument/2006/relationships/chart" Target="charts/chart31.xml"/><Relationship Id="rId77" Type="http://schemas.openxmlformats.org/officeDocument/2006/relationships/chart" Target="charts/chart52.xml"/><Relationship Id="rId100" Type="http://schemas.openxmlformats.org/officeDocument/2006/relationships/customXml" Target="../customXml/item6.xml"/><Relationship Id="rId8" Type="http://schemas.openxmlformats.org/officeDocument/2006/relationships/webSettings" Target="webSettings.xml"/><Relationship Id="rId51" Type="http://schemas.openxmlformats.org/officeDocument/2006/relationships/chart" Target="charts/chart27.xml"/><Relationship Id="rId72" Type="http://schemas.openxmlformats.org/officeDocument/2006/relationships/chart" Target="charts/chart47.xml"/><Relationship Id="rId93" Type="http://schemas.openxmlformats.org/officeDocument/2006/relationships/header" Target="header4.xml"/><Relationship Id="rId98"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ncbi.nlm.nih.gov/pubmed/?term=McLaughlin%20CG%5Bauth%5D" TargetMode="External"/><Relationship Id="rId13" Type="http://schemas.openxmlformats.org/officeDocument/2006/relationships/hyperlink" Target="http://archive.ahrq.gov/data/safetynet/" TargetMode="External"/><Relationship Id="rId18" Type="http://schemas.openxmlformats.org/officeDocument/2006/relationships/hyperlink" Target="http://ajph.aphapublications.org/cgi/reprint/91/8/1246.pdf" TargetMode="External"/><Relationship Id="rId26" Type="http://schemas.openxmlformats.org/officeDocument/2006/relationships/hyperlink" Target="https://muskie.usm.maine.edu/Publications/rural/pb/Rural-Urban-Health-Care-Access.pdf" TargetMode="External"/><Relationship Id="rId39" Type="http://schemas.openxmlformats.org/officeDocument/2006/relationships/hyperlink" Target="http://www.annemergmed.com/article/S0196-0644(96)70093-8/abstract" TargetMode="External"/><Relationship Id="rId3" Type="http://schemas.openxmlformats.org/officeDocument/2006/relationships/hyperlink" Target="http://www.dhcs.ca.gov/individuals/Documents/MMCD_SPD/ChartsRptsData/SPD_Dashboard_Jan2013.pdf" TargetMode="External"/><Relationship Id="rId21" Type="http://schemas.openxmlformats.org/officeDocument/2006/relationships/hyperlink" Target="https://www.ruralhealthinfo.org/topics/health-care-workforce" TargetMode="External"/><Relationship Id="rId34" Type="http://schemas.openxmlformats.org/officeDocument/2006/relationships/hyperlink" Target="http://www.annfammed.org/content/5/6/511.full.pdf+html" TargetMode="External"/><Relationship Id="rId42" Type="http://schemas.openxmlformats.org/officeDocument/2006/relationships/hyperlink" Target="http://www.cdph.ca.gov/programs/rppc/Documents/MO-RPPC-PerinatalServicesGuidelines-CompilationofStandards-2011.pdf" TargetMode="External"/><Relationship Id="rId47" Type="http://schemas.openxmlformats.org/officeDocument/2006/relationships/hyperlink" Target="http://www.acog.org/~/media/Districts/District%20VIII%20Junior%20Fellows/jfpc.pdf?dmc=1&amp;ts=20130604T1844124564" TargetMode="External"/><Relationship Id="rId7" Type="http://schemas.openxmlformats.org/officeDocument/2006/relationships/hyperlink" Target="http://www.ncbi.nlm.nih.gov/pubmed/?term=Kullgren%20JT%5Bauth%5D" TargetMode="External"/><Relationship Id="rId12" Type="http://schemas.openxmlformats.org/officeDocument/2006/relationships/hyperlink" Target="http://www.iom.edu/Reports/2002/Care-Without-Coverage-Too-Little-Too-Late.aspx" TargetMode="External"/><Relationship Id="rId17" Type="http://schemas.openxmlformats.org/officeDocument/2006/relationships/hyperlink" Target="http://www.macpac.gov/publication" TargetMode="External"/><Relationship Id="rId25" Type="http://schemas.openxmlformats.org/officeDocument/2006/relationships/hyperlink" Target="http://content.healthaffairs.org/content/16/1/71.full.pdf" TargetMode="External"/><Relationship Id="rId33" Type="http://schemas.openxmlformats.org/officeDocument/2006/relationships/hyperlink" Target="http://onlinelibrary.wiley.com/doi/10.1111/j.1525-1497.2005.00278.x/full" TargetMode="External"/><Relationship Id="rId38" Type="http://schemas.openxmlformats.org/officeDocument/2006/relationships/hyperlink" Target="http://www.ncbi.nlm.nih.gov/pmc/articles/PMC3393009/" TargetMode="External"/><Relationship Id="rId46" Type="http://schemas.openxmlformats.org/officeDocument/2006/relationships/hyperlink" Target="http://www.iom.edu/Reports/2006/Preterm-Birth-Causes-Consequences-and-Prevention.aspx" TargetMode="External"/><Relationship Id="rId2" Type="http://schemas.openxmlformats.org/officeDocument/2006/relationships/hyperlink" Target="http://www.dhcs.ca.gov/dataandstats/statistics/Documents/Medi-Cal_Penetration_Brief_ADA.PDF" TargetMode="External"/><Relationship Id="rId16" Type="http://schemas.openxmlformats.org/officeDocument/2006/relationships/hyperlink" Target="http://www.commonwealthfund.org/~/media/files/publications/issue-brief/2015/feb/1804_glied_how_will_aca_affect_use_hlt_care_svcs_ib_v2.pdf?la=en" TargetMode="External"/><Relationship Id="rId20" Type="http://schemas.openxmlformats.org/officeDocument/2006/relationships/hyperlink" Target="https://www.ruralhealthinfo.org/topics/health-care-workforce" TargetMode="External"/><Relationship Id="rId29" Type="http://schemas.openxmlformats.org/officeDocument/2006/relationships/hyperlink" Target="http://www.nejm.org/doi/full/10.1056/nejmsa1413299" TargetMode="External"/><Relationship Id="rId41" Type="http://schemas.openxmlformats.org/officeDocument/2006/relationships/hyperlink" Target="http://mph.ufl.edu/files/2012/01/session6april2RevisitingBehavioralModel.pdf" TargetMode="External"/><Relationship Id="rId1" Type="http://schemas.openxmlformats.org/officeDocument/2006/relationships/hyperlink" Target="http://www.dhcs.ca.gov/dataandstats/statistics/Documents/Fast_Facts_Feb2016_ADA_Tables.pdf" TargetMode="External"/><Relationship Id="rId6" Type="http://schemas.openxmlformats.org/officeDocument/2006/relationships/hyperlink" Target="http://jama.ama-assn.org/content/271/24/1931.abstract" TargetMode="External"/><Relationship Id="rId11" Type="http://schemas.openxmlformats.org/officeDocument/2006/relationships/hyperlink" Target="http://www.nap.edu/openbook.php?record_id=2009" TargetMode="External"/><Relationship Id="rId24" Type="http://schemas.openxmlformats.org/officeDocument/2006/relationships/hyperlink" Target="http://www.graham-center.org/rgc/publications-reports/publications/one-pagers/unequal-distribution-2013.html" TargetMode="External"/><Relationship Id="rId32" Type="http://schemas.openxmlformats.org/officeDocument/2006/relationships/hyperlink" Target="http://www.hschange.com/CONTENT/866/" TargetMode="External"/><Relationship Id="rId37" Type="http://schemas.openxmlformats.org/officeDocument/2006/relationships/hyperlink" Target="http://www.ncbi.nlm.nih.gov/pubmed/?term=Mitra%20N%5Bauth%5D" TargetMode="External"/><Relationship Id="rId40" Type="http://schemas.openxmlformats.org/officeDocument/2006/relationships/hyperlink" Target="http://jama.ama-assn.org/content/271/24/1931.abstract" TargetMode="External"/><Relationship Id="rId45" Type="http://schemas.openxmlformats.org/officeDocument/2006/relationships/hyperlink" Target="http://www.cdc.gov/nchs/data/databriefs/db23.pdf" TargetMode="External"/><Relationship Id="rId5" Type="http://schemas.openxmlformats.org/officeDocument/2006/relationships/hyperlink" Target="http://www.dhcs.ca.gov/provgovpart/Documents/1115amendapprovallet12312012.pdf" TargetMode="External"/><Relationship Id="rId15" Type="http://schemas.openxmlformats.org/officeDocument/2006/relationships/hyperlink" Target="http://www.nejm.org/doi/full/10.1056/NEJMhpr1503614?af=R&amp;rss=currentIssue" TargetMode="External"/><Relationship Id="rId23" Type="http://schemas.openxmlformats.org/officeDocument/2006/relationships/hyperlink" Target="http://bhpr.hrsa.gov/healthworkforce/supplydemand/nchwafactsheet.pdf" TargetMode="External"/><Relationship Id="rId28" Type="http://schemas.openxmlformats.org/officeDocument/2006/relationships/hyperlink" Target="http://www.chcs.org/media/Implementing_the_Medicaid_Primary_Care_Rate_Increase__092812.pdf" TargetMode="External"/><Relationship Id="rId36" Type="http://schemas.openxmlformats.org/officeDocument/2006/relationships/hyperlink" Target="http://www.ncbi.nlm.nih.gov/pubmed/?term=McLaughlin%20CG%5Bauth%5D" TargetMode="External"/><Relationship Id="rId10" Type="http://schemas.openxmlformats.org/officeDocument/2006/relationships/hyperlink" Target="http://www.ncbi.nlm.nih.gov/pmc/articles/PMC3393009/" TargetMode="External"/><Relationship Id="rId19" Type="http://schemas.openxmlformats.org/officeDocument/2006/relationships/hyperlink" Target="http://www.ncbi.nlm.nih.gov/pmc/articles/PMC1071163/" TargetMode="External"/><Relationship Id="rId31" Type="http://schemas.openxmlformats.org/officeDocument/2006/relationships/hyperlink" Target="https://www.researchgate.net/publication/5901707_Medicaid_reimbursement_and_access_to_physicians_does_lower_reimbursement_mean_less_access_to_care" TargetMode="External"/><Relationship Id="rId44" Type="http://schemas.openxmlformats.org/officeDocument/2006/relationships/hyperlink" Target="http://www.ncbi.nlm.nih.gov/pubmed/17606536" TargetMode="External"/><Relationship Id="rId4" Type="http://schemas.openxmlformats.org/officeDocument/2006/relationships/hyperlink" Target="http://www.dhcs.ca.gov/services/Documents/SPDsRuralExpansionCounties.pdf" TargetMode="External"/><Relationship Id="rId9" Type="http://schemas.openxmlformats.org/officeDocument/2006/relationships/hyperlink" Target="http://www.ncbi.nlm.nih.gov/pubmed/?term=Mitra%20N%5Bauth%5D" TargetMode="External"/><Relationship Id="rId14" Type="http://schemas.openxmlformats.org/officeDocument/2006/relationships/hyperlink" Target="http://apps.who.int/iris/bitstream/10665/44097/1/9789241547703_eng.pdf" TargetMode="External"/><Relationship Id="rId22" Type="http://schemas.openxmlformats.org/officeDocument/2006/relationships/hyperlink" Target="http://www.hschange.com/CONTENT/725/" TargetMode="External"/><Relationship Id="rId27" Type="http://schemas.openxmlformats.org/officeDocument/2006/relationships/hyperlink" Target="http://www.hschange.com/CONTENT/1078/" TargetMode="External"/><Relationship Id="rId30" Type="http://schemas.openxmlformats.org/officeDocument/2006/relationships/hyperlink" Target="https://www.researchgate.net/journal/0026-6396_Journal_of_the_Mississippi_State_Medical_Association" TargetMode="External"/><Relationship Id="rId35" Type="http://schemas.openxmlformats.org/officeDocument/2006/relationships/hyperlink" Target="http://www.ncbi.nlm.nih.gov/pubmed/?term=Kullgren%20JT%5Bauth%5D" TargetMode="External"/><Relationship Id="rId43" Type="http://schemas.openxmlformats.org/officeDocument/2006/relationships/hyperlink" Target="http://pediatrics.aappublications.org/content/118/4/1566.abstract" TargetMode="External"/><Relationship Id="rId48" Type="http://schemas.openxmlformats.org/officeDocument/2006/relationships/hyperlink" Target="http://www.acog.org/~/media/Departments/Government%20Relations%20and%20Outreach/momsMCBTH.pdf?dmc=1&amp;ts=20130506T144134565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enti-cal.ca.gov/WSI/Bene.jsp?fname=MedicalAdultDentalBeneInfo" TargetMode="External"/><Relationship Id="rId2" Type="http://schemas.openxmlformats.org/officeDocument/2006/relationships/hyperlink" Target="http://www.dhcs.ca.gov/formsandpubs/Documents/Legislative%20Reports/Managed%20Care%20Quarterly/MgdCare_Rural_Expansion.pdf" TargetMode="External"/><Relationship Id="rId1" Type="http://schemas.openxmlformats.org/officeDocument/2006/relationships/hyperlink" Target="http://www.dhcs.ca.gov/provgovpart/Documents/MMCDModelFactSheet.pdf" TargetMode="External"/><Relationship Id="rId4" Type="http://schemas.openxmlformats.org/officeDocument/2006/relationships/hyperlink" Target="http://www.denti-cal.ca.gov/WSI/Bene.jsp?fname=MedicalAdultDentalBeneInf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dutra\AppData\Local\Microsoft\Windows\Temporary%20Internet%20Files\Content.Outlook\ZCK3KNEK\Access_Charts_DS.xlsx" TargetMode="External"/><Relationship Id="rId2" Type="http://schemas.microsoft.com/office/2011/relationships/chartColorStyle" Target="colors2.xml"/><Relationship Id="rId1" Type="http://schemas.microsoft.com/office/2011/relationships/chartStyle" Target="style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dutra\AppData\Local\Microsoft\Windows\Temporary%20Internet%20Files\Content.Outlook\ZCK3KNEK\Access_Charts_DS.xlsx" TargetMode="External"/><Relationship Id="rId2" Type="http://schemas.microsoft.com/office/2011/relationships/chartColorStyle" Target="colors3.xml"/><Relationship Id="rId1" Type="http://schemas.microsoft.com/office/2011/relationships/chartStyle" Target="style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dutra\AppData\Local\Microsoft\Windows\Temporary%20Internet%20Files\Content.Outlook\ZCK3KNEK\Access_Charts_DS.xlsx" TargetMode="External"/><Relationship Id="rId2" Type="http://schemas.microsoft.com/office/2011/relationships/chartColorStyle" Target="colors4.xml"/><Relationship Id="rId1" Type="http://schemas.microsoft.com/office/2011/relationships/chartStyle" Target="style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4.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5.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6.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7.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8.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5.xml"/><Relationship Id="rId4" Type="http://schemas.openxmlformats.org/officeDocument/2006/relationships/package" Target="../embeddings/Microsoft_Excel_Worksheet29.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1.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2.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3.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4.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6.xml"/><Relationship Id="rId4" Type="http://schemas.openxmlformats.org/officeDocument/2006/relationships/package" Target="../embeddings/Microsoft_Excel_Worksheet35.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36.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37.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38.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39.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41.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7.xml"/><Relationship Id="rId4" Type="http://schemas.openxmlformats.org/officeDocument/2006/relationships/package" Target="../embeddings/Microsoft_Excel_Worksheet42.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43.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44.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45.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46.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47.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48.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HMCSEECSASID01\USER_2\Chelsea\24MoEnrollment\HFP%20Data.xlsx" TargetMode="External"/><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0.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jbyers1\AppData\Local\Microsoft\Windows\Temporary%20Internet%20Files\Content.Outlook\8636UQG8\Copy%20of%20Access%20Study%20Rate%20Comparison%20draft%208-2-16.xls" TargetMode="External"/><Relationship Id="rId1" Type="http://schemas.openxmlformats.org/officeDocument/2006/relationships/themeOverride" Target="../theme/themeOverride5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Chart%20in%20Microsoft%20Word"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Sheet1!$E$4</c:f>
              <c:strCache>
                <c:ptCount val="1"/>
                <c:pt idx="0">
                  <c:v>Medi-Cal </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Sheet1!$D$5:$D$10</c:f>
              <c:strCache>
                <c:ptCount val="6"/>
                <c:pt idx="0">
                  <c:v>Below 200% of the Federal Poverty Level</c:v>
                </c:pt>
                <c:pt idx="1">
                  <c:v>Food Insecurity</c:v>
                </c:pt>
                <c:pt idx="2">
                  <c:v>Less Than a High School Education</c:v>
                </c:pt>
                <c:pt idx="3">
                  <c:v>Unemployed</c:v>
                </c:pt>
                <c:pt idx="4">
                  <c:v>Do not feel safe in neighborhood</c:v>
                </c:pt>
                <c:pt idx="5">
                  <c:v>Can't trust neighbors</c:v>
                </c:pt>
              </c:strCache>
            </c:strRef>
          </c:cat>
          <c:val>
            <c:numRef>
              <c:f>Sheet1!$E$5:$E$10</c:f>
              <c:numCache>
                <c:formatCode>0.0%</c:formatCode>
                <c:ptCount val="6"/>
                <c:pt idx="0">
                  <c:v>0.80500000000000005</c:v>
                </c:pt>
                <c:pt idx="1">
                  <c:v>0.42199999999999999</c:v>
                </c:pt>
                <c:pt idx="2">
                  <c:v>0.28100000000000003</c:v>
                </c:pt>
                <c:pt idx="3">
                  <c:v>0.54200000000000004</c:v>
                </c:pt>
                <c:pt idx="4">
                  <c:v>0.252</c:v>
                </c:pt>
                <c:pt idx="5">
                  <c:v>0.33700000000000002</c:v>
                </c:pt>
              </c:numCache>
            </c:numRef>
          </c:val>
          <c:extLst>
            <c:ext xmlns:c16="http://schemas.microsoft.com/office/drawing/2014/chart" uri="{C3380CC4-5D6E-409C-BE32-E72D297353CC}">
              <c16:uniqueId val="{00000000-1D0F-4F0B-AF27-C8641CB3AAD0}"/>
            </c:ext>
          </c:extLst>
        </c:ser>
        <c:ser>
          <c:idx val="1"/>
          <c:order val="1"/>
          <c:tx>
            <c:strRef>
              <c:f>Sheet1!$F$4</c:f>
              <c:strCache>
                <c:ptCount val="1"/>
                <c:pt idx="0">
                  <c:v>Private</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Sheet1!$D$5:$D$10</c:f>
              <c:strCache>
                <c:ptCount val="6"/>
                <c:pt idx="0">
                  <c:v>Below 200% of the Federal Poverty Level</c:v>
                </c:pt>
                <c:pt idx="1">
                  <c:v>Food Insecurity</c:v>
                </c:pt>
                <c:pt idx="2">
                  <c:v>Less Than a High School Education</c:v>
                </c:pt>
                <c:pt idx="3">
                  <c:v>Unemployed</c:v>
                </c:pt>
                <c:pt idx="4">
                  <c:v>Do not feel safe in neighborhood</c:v>
                </c:pt>
                <c:pt idx="5">
                  <c:v>Can't trust neighbors</c:v>
                </c:pt>
              </c:strCache>
            </c:strRef>
          </c:cat>
          <c:val>
            <c:numRef>
              <c:f>Sheet1!$F$5:$F$10</c:f>
              <c:numCache>
                <c:formatCode>0.0%</c:formatCode>
                <c:ptCount val="6"/>
                <c:pt idx="0">
                  <c:v>0.17599999999999999</c:v>
                </c:pt>
                <c:pt idx="1">
                  <c:v>0.05</c:v>
                </c:pt>
                <c:pt idx="2">
                  <c:v>6.9000000000000006E-2</c:v>
                </c:pt>
                <c:pt idx="3">
                  <c:v>0.183</c:v>
                </c:pt>
                <c:pt idx="4">
                  <c:v>9.1999999999999998E-2</c:v>
                </c:pt>
                <c:pt idx="5">
                  <c:v>0.14399999999999999</c:v>
                </c:pt>
              </c:numCache>
            </c:numRef>
          </c:val>
          <c:extLst>
            <c:ext xmlns:c16="http://schemas.microsoft.com/office/drawing/2014/chart" uri="{C3380CC4-5D6E-409C-BE32-E72D297353CC}">
              <c16:uniqueId val="{00000001-1D0F-4F0B-AF27-C8641CB3AAD0}"/>
            </c:ext>
          </c:extLst>
        </c:ser>
        <c:dLbls>
          <c:showLegendKey val="0"/>
          <c:showVal val="0"/>
          <c:showCatName val="0"/>
          <c:showSerName val="0"/>
          <c:showPercent val="0"/>
          <c:showBubbleSize val="0"/>
        </c:dLbls>
        <c:gapWidth val="150"/>
        <c:axId val="128815872"/>
        <c:axId val="128817408"/>
      </c:barChart>
      <c:catAx>
        <c:axId val="128815872"/>
        <c:scaling>
          <c:orientation val="minMax"/>
        </c:scaling>
        <c:delete val="0"/>
        <c:axPos val="l"/>
        <c:numFmt formatCode="General" sourceLinked="0"/>
        <c:majorTickMark val="out"/>
        <c:minorTickMark val="none"/>
        <c:tickLblPos val="nextTo"/>
        <c:txPr>
          <a:bodyPr/>
          <a:lstStyle/>
          <a:p>
            <a:pPr>
              <a:defRPr sz="1100" b="0"/>
            </a:pPr>
            <a:endParaRPr lang="en-US"/>
          </a:p>
        </c:txPr>
        <c:crossAx val="128817408"/>
        <c:crosses val="autoZero"/>
        <c:auto val="1"/>
        <c:lblAlgn val="ctr"/>
        <c:lblOffset val="100"/>
        <c:noMultiLvlLbl val="0"/>
      </c:catAx>
      <c:valAx>
        <c:axId val="128817408"/>
        <c:scaling>
          <c:orientation val="minMax"/>
        </c:scaling>
        <c:delete val="0"/>
        <c:axPos val="b"/>
        <c:majorGridlines/>
        <c:numFmt formatCode="0%" sourceLinked="0"/>
        <c:majorTickMark val="out"/>
        <c:minorTickMark val="none"/>
        <c:tickLblPos val="nextTo"/>
        <c:txPr>
          <a:bodyPr/>
          <a:lstStyle/>
          <a:p>
            <a:pPr>
              <a:defRPr sz="1050" b="0"/>
            </a:pPr>
            <a:endParaRPr lang="en-US"/>
          </a:p>
        </c:txPr>
        <c:crossAx val="128815872"/>
        <c:crosses val="autoZero"/>
        <c:crossBetween val="between"/>
      </c:valAx>
      <c:spPr>
        <a:solidFill>
          <a:schemeClr val="bg1">
            <a:lumMod val="95000"/>
          </a:schemeClr>
        </a:solidFill>
      </c:spPr>
    </c:plotArea>
    <c:legend>
      <c:legendPos val="r"/>
      <c:layout/>
      <c:overlay val="0"/>
      <c:txPr>
        <a:bodyPr/>
        <a:lstStyle/>
        <a:p>
          <a:pPr>
            <a:defRPr b="0"/>
          </a:pPr>
          <a:endParaRPr lang="en-US"/>
        </a:p>
      </c:txPr>
    </c:legend>
    <c:plotVisOnly val="1"/>
    <c:dispBlanksAs val="gap"/>
    <c:showDLblsOverMax val="0"/>
  </c:chart>
  <c:spPr>
    <a:solidFill>
      <a:schemeClr val="bg1">
        <a:lumMod val="95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277376786235054E-2"/>
          <c:y val="4.4057617797775277E-2"/>
          <c:w val="0.90360855934674833"/>
          <c:h val="0.65685318320717156"/>
        </c:manualLayout>
      </c:layout>
      <c:barChart>
        <c:barDir val="col"/>
        <c:grouping val="percentStacked"/>
        <c:varyColors val="0"/>
        <c:ser>
          <c:idx val="0"/>
          <c:order val="0"/>
          <c:tx>
            <c:strRef>
              <c:f>Sheet1!$B$1</c:f>
              <c:strCache>
                <c:ptCount val="1"/>
                <c:pt idx="0">
                  <c:v>Mandatory Managed Care</c:v>
                </c:pt>
              </c:strCache>
            </c:strRef>
          </c:tx>
          <c:invertIfNegative val="0"/>
          <c:dLbls>
            <c:numFmt formatCode="#,##0" sourceLinked="0"/>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Month 1</c:v>
                </c:pt>
                <c:pt idx="1">
                  <c:v>Month 4</c:v>
                </c:pt>
                <c:pt idx="2">
                  <c:v>Month 6</c:v>
                </c:pt>
                <c:pt idx="3">
                  <c:v>Month 11</c:v>
                </c:pt>
              </c:strCache>
            </c:strRef>
          </c:cat>
          <c:val>
            <c:numRef>
              <c:f>Sheet1!$B$2:$B$5</c:f>
              <c:numCache>
                <c:formatCode>_(* #,##0_);_(* \(#,##0\);_(* "-"??_);_(@_)</c:formatCode>
                <c:ptCount val="4"/>
                <c:pt idx="0">
                  <c:v>3866587</c:v>
                </c:pt>
                <c:pt idx="1">
                  <c:v>1536036</c:v>
                </c:pt>
                <c:pt idx="2">
                  <c:v>903614</c:v>
                </c:pt>
                <c:pt idx="3">
                  <c:v>400578</c:v>
                </c:pt>
              </c:numCache>
            </c:numRef>
          </c:val>
          <c:extLst>
            <c:ext xmlns:c16="http://schemas.microsoft.com/office/drawing/2014/chart" uri="{C3380CC4-5D6E-409C-BE32-E72D297353CC}">
              <c16:uniqueId val="{00000000-6228-41D2-A8FC-ECAFB8FA631C}"/>
            </c:ext>
          </c:extLst>
        </c:ser>
        <c:ser>
          <c:idx val="1"/>
          <c:order val="1"/>
          <c:tx>
            <c:strRef>
              <c:f>Sheet1!$C$1</c:f>
              <c:strCache>
                <c:ptCount val="1"/>
                <c:pt idx="0">
                  <c:v>Dual</c:v>
                </c:pt>
              </c:strCache>
            </c:strRef>
          </c:tx>
          <c:invertIfNegative val="0"/>
          <c:dLbls>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Month 1</c:v>
                </c:pt>
                <c:pt idx="1">
                  <c:v>Month 4</c:v>
                </c:pt>
                <c:pt idx="2">
                  <c:v>Month 6</c:v>
                </c:pt>
                <c:pt idx="3">
                  <c:v>Month 11</c:v>
                </c:pt>
              </c:strCache>
            </c:strRef>
          </c:cat>
          <c:val>
            <c:numRef>
              <c:f>Sheet1!$C$2:$C$5</c:f>
              <c:numCache>
                <c:formatCode>_(* #,##0_);_(* \(#,##0\);_(* "-"??_);_(@_)</c:formatCode>
                <c:ptCount val="4"/>
                <c:pt idx="0">
                  <c:v>693467</c:v>
                </c:pt>
                <c:pt idx="1">
                  <c:v>511991</c:v>
                </c:pt>
                <c:pt idx="2">
                  <c:v>420513</c:v>
                </c:pt>
                <c:pt idx="3">
                  <c:v>324429</c:v>
                </c:pt>
              </c:numCache>
            </c:numRef>
          </c:val>
          <c:extLst>
            <c:ext xmlns:c16="http://schemas.microsoft.com/office/drawing/2014/chart" uri="{C3380CC4-5D6E-409C-BE32-E72D297353CC}">
              <c16:uniqueId val="{00000001-6228-41D2-A8FC-ECAFB8FA631C}"/>
            </c:ext>
          </c:extLst>
        </c:ser>
        <c:ser>
          <c:idx val="2"/>
          <c:order val="2"/>
          <c:tx>
            <c:strRef>
              <c:f>Sheet1!$D$1</c:f>
              <c:strCache>
                <c:ptCount val="1"/>
                <c:pt idx="0">
                  <c:v>Share of Cost</c:v>
                </c:pt>
              </c:strCache>
            </c:strRef>
          </c:tx>
          <c:invertIfNegative val="0"/>
          <c:dLbls>
            <c:dLbl>
              <c:idx val="0"/>
              <c:layout>
                <c:manualLayout>
                  <c:x val="9.9536854768153979E-2"/>
                  <c:y val="-6.4412238325281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28-41D2-A8FC-ECAFB8FA631C}"/>
                </c:ext>
              </c:extLst>
            </c:dLbl>
            <c:dLbl>
              <c:idx val="1"/>
              <c:layout>
                <c:manualLayout>
                  <c:x val="9.2592592592592587E-2"/>
                  <c:y val="-1.2882447665056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28-41D2-A8FC-ECAFB8FA631C}"/>
                </c:ext>
              </c:extLst>
            </c:dLbl>
            <c:dLbl>
              <c:idx val="2"/>
              <c:layout>
                <c:manualLayout>
                  <c:x val="9.02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28-41D2-A8FC-ECAFB8FA631C}"/>
                </c:ext>
              </c:extLst>
            </c:dLbl>
            <c:dLbl>
              <c:idx val="3"/>
              <c:layout>
                <c:manualLayout>
                  <c:x val="8.33333333333333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28-41D2-A8FC-ECAFB8FA631C}"/>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Month 1</c:v>
                </c:pt>
                <c:pt idx="1">
                  <c:v>Month 4</c:v>
                </c:pt>
                <c:pt idx="2">
                  <c:v>Month 6</c:v>
                </c:pt>
                <c:pt idx="3">
                  <c:v>Month 11</c:v>
                </c:pt>
              </c:strCache>
            </c:strRef>
          </c:cat>
          <c:val>
            <c:numRef>
              <c:f>Sheet1!$D$2:$D$5</c:f>
              <c:numCache>
                <c:formatCode>_(* #,##0_);_(* \(#,##0\);_(* "-"??_);_(@_)</c:formatCode>
                <c:ptCount val="4"/>
                <c:pt idx="0">
                  <c:v>23425</c:v>
                </c:pt>
                <c:pt idx="1">
                  <c:v>9568</c:v>
                </c:pt>
                <c:pt idx="2">
                  <c:v>7171</c:v>
                </c:pt>
                <c:pt idx="3">
                  <c:v>3875</c:v>
                </c:pt>
              </c:numCache>
            </c:numRef>
          </c:val>
          <c:extLst>
            <c:ext xmlns:c16="http://schemas.microsoft.com/office/drawing/2014/chart" uri="{C3380CC4-5D6E-409C-BE32-E72D297353CC}">
              <c16:uniqueId val="{00000006-6228-41D2-A8FC-ECAFB8FA631C}"/>
            </c:ext>
          </c:extLst>
        </c:ser>
        <c:ser>
          <c:idx val="3"/>
          <c:order val="3"/>
          <c:tx>
            <c:strRef>
              <c:f>Sheet1!$E$1</c:f>
              <c:strCache>
                <c:ptCount val="1"/>
                <c:pt idx="0">
                  <c:v>Restricted Scope</c:v>
                </c:pt>
              </c:strCache>
            </c:strRef>
          </c:tx>
          <c:invertIfNegative val="0"/>
          <c:dLbls>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Month 1</c:v>
                </c:pt>
                <c:pt idx="1">
                  <c:v>Month 4</c:v>
                </c:pt>
                <c:pt idx="2">
                  <c:v>Month 6</c:v>
                </c:pt>
                <c:pt idx="3">
                  <c:v>Month 11</c:v>
                </c:pt>
              </c:strCache>
            </c:strRef>
          </c:cat>
          <c:val>
            <c:numRef>
              <c:f>Sheet1!$E$2:$E$5</c:f>
              <c:numCache>
                <c:formatCode>_(* #,##0_);_(* \(#,##0\);_(* "-"??_);_(@_)</c:formatCode>
                <c:ptCount val="4"/>
                <c:pt idx="0">
                  <c:v>1243004</c:v>
                </c:pt>
                <c:pt idx="1">
                  <c:v>1109981</c:v>
                </c:pt>
                <c:pt idx="2">
                  <c:v>1030640</c:v>
                </c:pt>
                <c:pt idx="3">
                  <c:v>816664</c:v>
                </c:pt>
              </c:numCache>
            </c:numRef>
          </c:val>
          <c:extLst>
            <c:ext xmlns:c16="http://schemas.microsoft.com/office/drawing/2014/chart" uri="{C3380CC4-5D6E-409C-BE32-E72D297353CC}">
              <c16:uniqueId val="{00000007-6228-41D2-A8FC-ECAFB8FA631C}"/>
            </c:ext>
          </c:extLst>
        </c:ser>
        <c:ser>
          <c:idx val="4"/>
          <c:order val="4"/>
          <c:tx>
            <c:strRef>
              <c:f>Sheet1!$F$1</c:f>
              <c:strCache>
                <c:ptCount val="1"/>
                <c:pt idx="0">
                  <c:v>FFS Full-Scope Medi-Cal Only (No SOC, No Dual)</c:v>
                </c:pt>
              </c:strCache>
            </c:strRef>
          </c:tx>
          <c:invertIfNegative val="0"/>
          <c:dLbls>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Month 1</c:v>
                </c:pt>
                <c:pt idx="1">
                  <c:v>Month 4</c:v>
                </c:pt>
                <c:pt idx="2">
                  <c:v>Month 6</c:v>
                </c:pt>
                <c:pt idx="3">
                  <c:v>Month 11</c:v>
                </c:pt>
              </c:strCache>
            </c:strRef>
          </c:cat>
          <c:val>
            <c:numRef>
              <c:f>Sheet1!$F$2:$F$5</c:f>
              <c:numCache>
                <c:formatCode>_(* #,##0_);_(* \(#,##0\);_(* "-"??_);_(@_)</c:formatCode>
                <c:ptCount val="4"/>
                <c:pt idx="0">
                  <c:v>631709</c:v>
                </c:pt>
                <c:pt idx="1">
                  <c:v>278888</c:v>
                </c:pt>
                <c:pt idx="2">
                  <c:v>231028</c:v>
                </c:pt>
                <c:pt idx="3">
                  <c:v>167664</c:v>
                </c:pt>
              </c:numCache>
            </c:numRef>
          </c:val>
          <c:extLst>
            <c:ext xmlns:c16="http://schemas.microsoft.com/office/drawing/2014/chart" uri="{C3380CC4-5D6E-409C-BE32-E72D297353CC}">
              <c16:uniqueId val="{00000008-6228-41D2-A8FC-ECAFB8FA631C}"/>
            </c:ext>
          </c:extLst>
        </c:ser>
        <c:dLbls>
          <c:showLegendKey val="0"/>
          <c:showVal val="1"/>
          <c:showCatName val="0"/>
          <c:showSerName val="0"/>
          <c:showPercent val="0"/>
          <c:showBubbleSize val="0"/>
        </c:dLbls>
        <c:gapWidth val="98"/>
        <c:overlap val="100"/>
        <c:axId val="112801664"/>
        <c:axId val="112803200"/>
      </c:barChart>
      <c:catAx>
        <c:axId val="112801664"/>
        <c:scaling>
          <c:orientation val="minMax"/>
        </c:scaling>
        <c:delete val="0"/>
        <c:axPos val="b"/>
        <c:numFmt formatCode="General" sourceLinked="1"/>
        <c:majorTickMark val="out"/>
        <c:minorTickMark val="none"/>
        <c:tickLblPos val="nextTo"/>
        <c:crossAx val="112803200"/>
        <c:crosses val="autoZero"/>
        <c:auto val="1"/>
        <c:lblAlgn val="ctr"/>
        <c:lblOffset val="100"/>
        <c:noMultiLvlLbl val="0"/>
      </c:catAx>
      <c:valAx>
        <c:axId val="112803200"/>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112801664"/>
        <c:crosses val="autoZero"/>
        <c:crossBetween val="between"/>
      </c:valAx>
      <c:spPr>
        <a:solidFill>
          <a:sysClr val="window" lastClr="FFFFFF">
            <a:lumMod val="95000"/>
          </a:sysClr>
        </a:solidFill>
      </c:spPr>
    </c:plotArea>
    <c:legend>
      <c:legendPos val="b"/>
      <c:layout>
        <c:manualLayout>
          <c:xMode val="edge"/>
          <c:yMode val="edge"/>
          <c:x val="0"/>
          <c:y val="0.78354150766615172"/>
          <c:w val="0.97232830271216097"/>
          <c:h val="0.21625371038552457"/>
        </c:manualLayout>
      </c:layout>
      <c:overlay val="0"/>
    </c:legend>
    <c:plotVisOnly val="1"/>
    <c:dispBlanksAs val="gap"/>
    <c:showDLblsOverMax val="0"/>
  </c:chart>
  <c:spPr>
    <a:solidFill>
      <a:sysClr val="window" lastClr="FFFFFF">
        <a:lumMod val="95000"/>
      </a:sysClr>
    </a:solidFill>
    <a:ln>
      <a:solidFill>
        <a:sysClr val="windowText" lastClr="000000"/>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2.8887894029968667E-2"/>
          <c:w val="0.93888888888888888"/>
          <c:h val="0.80198639942734429"/>
        </c:manualLayout>
      </c:layout>
      <c:barChart>
        <c:barDir val="col"/>
        <c:grouping val="clustered"/>
        <c:varyColors val="0"/>
        <c:ser>
          <c:idx val="0"/>
          <c:order val="0"/>
          <c:tx>
            <c:strRef>
              <c:f>Sheet1!$B$2</c:f>
              <c:strCache>
                <c:ptCount val="1"/>
                <c:pt idx="0">
                  <c:v>Per 1,000 mm</c:v>
                </c:pt>
              </c:strCache>
            </c:strRef>
          </c:tx>
          <c:invertIfNegative val="0"/>
          <c:dLbls>
            <c:numFmt formatCode="#,##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Sheet1!$A$3:$A$4</c:f>
              <c:strCache>
                <c:ptCount val="2"/>
                <c:pt idx="0">
                  <c:v>3 or less mos.</c:v>
                </c:pt>
                <c:pt idx="1">
                  <c:v>11 or more mos.</c:v>
                </c:pt>
              </c:strCache>
            </c:strRef>
          </c:cat>
          <c:val>
            <c:numRef>
              <c:f>Sheet1!$B$3:$B$4</c:f>
              <c:numCache>
                <c:formatCode>General</c:formatCode>
                <c:ptCount val="2"/>
                <c:pt idx="0">
                  <c:v>123.4</c:v>
                </c:pt>
                <c:pt idx="1">
                  <c:v>270</c:v>
                </c:pt>
              </c:numCache>
            </c:numRef>
          </c:val>
          <c:extLst>
            <c:ext xmlns:c16="http://schemas.microsoft.com/office/drawing/2014/chart" uri="{C3380CC4-5D6E-409C-BE32-E72D297353CC}">
              <c16:uniqueId val="{00000000-9298-4FBE-928B-9D15D2D8C489}"/>
            </c:ext>
          </c:extLst>
        </c:ser>
        <c:dLbls>
          <c:showLegendKey val="0"/>
          <c:showVal val="1"/>
          <c:showCatName val="0"/>
          <c:showSerName val="0"/>
          <c:showPercent val="0"/>
          <c:showBubbleSize val="0"/>
        </c:dLbls>
        <c:gapWidth val="150"/>
        <c:overlap val="-25"/>
        <c:axId val="112835200"/>
        <c:axId val="112838144"/>
      </c:barChart>
      <c:catAx>
        <c:axId val="112835200"/>
        <c:scaling>
          <c:orientation val="minMax"/>
        </c:scaling>
        <c:delete val="0"/>
        <c:axPos val="b"/>
        <c:numFmt formatCode="General" sourceLinked="0"/>
        <c:majorTickMark val="none"/>
        <c:minorTickMark val="none"/>
        <c:tickLblPos val="nextTo"/>
        <c:crossAx val="112838144"/>
        <c:crosses val="autoZero"/>
        <c:auto val="1"/>
        <c:lblAlgn val="ctr"/>
        <c:lblOffset val="100"/>
        <c:noMultiLvlLbl val="0"/>
      </c:catAx>
      <c:valAx>
        <c:axId val="112838144"/>
        <c:scaling>
          <c:orientation val="minMax"/>
        </c:scaling>
        <c:delete val="1"/>
        <c:axPos val="l"/>
        <c:numFmt formatCode="General" sourceLinked="1"/>
        <c:majorTickMark val="none"/>
        <c:minorTickMark val="none"/>
        <c:tickLblPos val="nextTo"/>
        <c:crossAx val="112835200"/>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Number of Restricted Scope Benes</c:v>
                </c:pt>
              </c:strCache>
            </c:strRef>
          </c:tx>
          <c:dLbls>
            <c:dLbl>
              <c:idx val="0"/>
              <c:spPr/>
              <c:txPr>
                <a:bodyPr vertOverflow="overflow" horzOverflow="overflow">
                  <a:noAutofit/>
                </a:bodyPr>
                <a:lstStyle/>
                <a:p>
                  <a:pPr>
                    <a:defRPr b="1"/>
                  </a:pPr>
                  <a:endParaRPr lang="en-US"/>
                </a:p>
              </c:txPr>
              <c:dLblPos val="outEnd"/>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9A9-409D-8F79-A34E02D83FFF}"/>
                </c:ext>
              </c:extLst>
            </c:dLbl>
            <c:dLbl>
              <c:idx val="1"/>
              <c:layout>
                <c:manualLayout>
                  <c:x val="9.5510969782623328E-2"/>
                  <c:y val="2.4108097598911243E-3"/>
                </c:manualLayout>
              </c:layout>
              <c:spPr/>
              <c:txPr>
                <a:bodyPr/>
                <a:lstStyle/>
                <a:p>
                  <a:pPr>
                    <a:defRPr b="1"/>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9A9-409D-8F79-A34E02D83FFF}"/>
                </c:ext>
              </c:extLst>
            </c:dLbl>
            <c:dLbl>
              <c:idx val="2"/>
              <c:layout>
                <c:manualLayout>
                  <c:x val="0.15381317719900398"/>
                  <c:y val="0.20853706944039399"/>
                </c:manualLayout>
              </c:layout>
              <c:spPr/>
              <c:txPr>
                <a:bodyPr/>
                <a:lstStyle/>
                <a:p>
                  <a:pPr>
                    <a:defRPr b="1"/>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69A9-409D-8F79-A34E02D83FFF}"/>
                </c:ext>
              </c:extLst>
            </c:dLbl>
            <c:dLbl>
              <c:idx val="3"/>
              <c:layout>
                <c:manualLayout>
                  <c:x val="6.6245716681248179E-2"/>
                  <c:y val="-0.25549587551556058"/>
                </c:manualLayout>
              </c:layout>
              <c:spPr/>
              <c:txPr>
                <a:bodyPr/>
                <a:lstStyle/>
                <a:p>
                  <a:pPr>
                    <a:defRPr b="1">
                      <a:solidFill>
                        <a:schemeClr val="bg1"/>
                      </a:solidFill>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9A9-409D-8F79-A34E02D83FFF}"/>
                </c:ext>
              </c:extLst>
            </c:dLbl>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Sheet1!$A$2:$A$5</c:f>
              <c:strCache>
                <c:ptCount val="4"/>
                <c:pt idx="0">
                  <c:v>Dual</c:v>
                </c:pt>
                <c:pt idx="1">
                  <c:v>Other</c:v>
                </c:pt>
                <c:pt idx="2">
                  <c:v>Parent/Caretaker Relative &amp; Child</c:v>
                </c:pt>
                <c:pt idx="3">
                  <c:v>Undocumented</c:v>
                </c:pt>
              </c:strCache>
            </c:strRef>
          </c:cat>
          <c:val>
            <c:numRef>
              <c:f>Sheet1!$B$2:$B$5</c:f>
              <c:numCache>
                <c:formatCode>_(* #,##0_);_(* \(#,##0\);_(* "-"??_);_(@_)</c:formatCode>
                <c:ptCount val="4"/>
                <c:pt idx="0">
                  <c:v>4894</c:v>
                </c:pt>
                <c:pt idx="1">
                  <c:v>65947</c:v>
                </c:pt>
                <c:pt idx="2">
                  <c:v>1405</c:v>
                </c:pt>
                <c:pt idx="3">
                  <c:v>1189452</c:v>
                </c:pt>
              </c:numCache>
            </c:numRef>
          </c:val>
          <c:extLst>
            <c:ext xmlns:c16="http://schemas.microsoft.com/office/drawing/2014/chart" uri="{C3380CC4-5D6E-409C-BE32-E72D297353CC}">
              <c16:uniqueId val="{00000004-69A9-409D-8F79-A34E02D83FFF}"/>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lumMod val="95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0"/>
              <c:layout>
                <c:manualLayout>
                  <c:x val="0.17830198308544773"/>
                  <c:y val="4.2402199725034367E-2"/>
                </c:manualLayout>
              </c:layout>
              <c:spPr>
                <a:noFill/>
                <a:ln>
                  <a:noFill/>
                </a:ln>
                <a:effectLst/>
              </c:spPr>
              <c:txPr>
                <a:bodyPr wrap="square" lIns="38100" tIns="19050" rIns="38100" bIns="19050" anchor="ctr">
                  <a:spAutoFit/>
                </a:bodyPr>
                <a:lstStyle/>
                <a:p>
                  <a:pPr>
                    <a:defRPr sz="1100" b="1"/>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B2D1-4C2B-86F2-CEC65CC3BC22}"/>
                </c:ext>
              </c:extLst>
            </c:dLbl>
            <c:dLbl>
              <c:idx val="1"/>
              <c:layout>
                <c:manualLayout>
                  <c:x val="8.2967701953922432E-2"/>
                  <c:y val="-0.23484126984126985"/>
                </c:manualLayout>
              </c:layout>
              <c:spPr>
                <a:noFill/>
                <a:ln>
                  <a:noFill/>
                </a:ln>
                <a:effectLst/>
              </c:spPr>
              <c:txPr>
                <a:bodyPr wrap="square" lIns="38100" tIns="19050" rIns="38100" bIns="19050" anchor="ctr">
                  <a:spAutoFit/>
                </a:bodyPr>
                <a:lstStyle/>
                <a:p>
                  <a:pPr>
                    <a:defRPr sz="1100" b="1">
                      <a:solidFill>
                        <a:schemeClr val="bg1"/>
                      </a:solidFill>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B2D1-4C2B-86F2-CEC65CC3BC22}"/>
                </c:ext>
              </c:extLst>
            </c:dLbl>
            <c:spPr>
              <a:noFill/>
              <a:ln>
                <a:noFill/>
              </a:ln>
              <a:effectLst/>
            </c:spPr>
            <c:txPr>
              <a:bodyPr wrap="square" lIns="38100" tIns="19050" rIns="38100" bIns="19050" anchor="ctr">
                <a:spAutoFit/>
              </a:bodyPr>
              <a:lstStyle/>
              <a:p>
                <a:pPr>
                  <a:defRPr sz="1100"/>
                </a:pPr>
                <a:endParaRPr lang="en-US"/>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Sheet1!$A$2:$A$3</c:f>
              <c:strCache>
                <c:ptCount val="2"/>
                <c:pt idx="0">
                  <c:v>Dual - Long Term Care</c:v>
                </c:pt>
                <c:pt idx="1">
                  <c:v>Dual - Not Long Term Care</c:v>
                </c:pt>
              </c:strCache>
            </c:strRef>
          </c:cat>
          <c:val>
            <c:numRef>
              <c:f>Sheet1!$B$2:$B$3</c:f>
              <c:numCache>
                <c:formatCode>_(* #,##0_);_(* \(#,##0\);_(* "-"??_);_(@_)</c:formatCode>
                <c:ptCount val="2"/>
                <c:pt idx="0">
                  <c:v>43836</c:v>
                </c:pt>
                <c:pt idx="1">
                  <c:v>684782</c:v>
                </c:pt>
              </c:numCache>
            </c:numRef>
          </c:val>
          <c:extLst>
            <c:ext xmlns:c16="http://schemas.microsoft.com/office/drawing/2014/chart" uri="{C3380CC4-5D6E-409C-BE32-E72D297353CC}">
              <c16:uniqueId val="{00000001-B2D1-4C2B-86F2-CEC65CC3BC2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lumMod val="95000"/>
      </a:schemeClr>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32-4120-A79E-B8EFA98434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32-4120-A79E-B8EFA98434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32-4120-A79E-B8EFA98434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32-4120-A79E-B8EFA98434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C32-4120-A79E-B8EFA98434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C32-4120-A79E-B8EFA984344C}"/>
              </c:ext>
            </c:extLst>
          </c:dPt>
          <c:dLbls>
            <c:dLbl>
              <c:idx val="1"/>
              <c:layout>
                <c:manualLayout>
                  <c:x val="8.3056228548354538E-2"/>
                  <c:y val="-7.048621237160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32-4120-A79E-B8EFA984344C}"/>
                </c:ext>
              </c:extLst>
            </c:dLbl>
            <c:dLbl>
              <c:idx val="2"/>
              <c:layout>
                <c:manualLayout>
                  <c:x val="-1.2055320008075913E-2"/>
                  <c:y val="-1.20244807362042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32-4120-A79E-B8EFA984344C}"/>
                </c:ext>
              </c:extLst>
            </c:dLbl>
            <c:dLbl>
              <c:idx val="3"/>
              <c:layout>
                <c:manualLayout>
                  <c:x val="-4.8095430378894945E-2"/>
                  <c:y val="-1.071254982016136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32-4120-A79E-B8EFA984344C}"/>
                </c:ext>
              </c:extLst>
            </c:dLbl>
            <c:dLbl>
              <c:idx val="4"/>
              <c:layout>
                <c:manualLayout>
                  <c:x val="-7.1217612221549237E-2"/>
                  <c:y val="-4.107328019182787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32-4120-A79E-B8EFA984344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 to 2 months</c:v>
                </c:pt>
                <c:pt idx="1">
                  <c:v>3 to 4 months</c:v>
                </c:pt>
                <c:pt idx="2">
                  <c:v>5 to 6 months</c:v>
                </c:pt>
                <c:pt idx="3">
                  <c:v>7 to 8 months</c:v>
                </c:pt>
                <c:pt idx="4">
                  <c:v>9 to 10 months</c:v>
                </c:pt>
                <c:pt idx="5">
                  <c:v>11 to 12 months</c:v>
                </c:pt>
              </c:strCache>
            </c:strRef>
          </c:cat>
          <c:val>
            <c:numRef>
              <c:f>Sheet1!$C$2:$C$7</c:f>
              <c:numCache>
                <c:formatCode>0.0%</c:formatCode>
                <c:ptCount val="6"/>
                <c:pt idx="0">
                  <c:v>0.30338757615067569</c:v>
                </c:pt>
                <c:pt idx="1">
                  <c:v>0.17592242893971988</c:v>
                </c:pt>
                <c:pt idx="2">
                  <c:v>0.12062595444916993</c:v>
                </c:pt>
                <c:pt idx="3">
                  <c:v>7.7447905548531176E-2</c:v>
                </c:pt>
                <c:pt idx="4">
                  <c:v>6.7989622161283431E-2</c:v>
                </c:pt>
                <c:pt idx="5">
                  <c:v>0.25462651275061987</c:v>
                </c:pt>
              </c:numCache>
            </c:numRef>
          </c:val>
          <c:extLst>
            <c:ext xmlns:c16="http://schemas.microsoft.com/office/drawing/2014/chart" uri="{C3380CC4-5D6E-409C-BE32-E72D297353CC}">
              <c16:uniqueId val="{0000000C-AC32-4120-A79E-B8EFA984344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52292942548849"/>
          <c:y val="5.1795713035870515E-2"/>
          <c:w val="0.81401410761154858"/>
          <c:h val="0.63296900387451571"/>
        </c:manualLayout>
      </c:layout>
      <c:barChart>
        <c:barDir val="col"/>
        <c:grouping val="stacked"/>
        <c:varyColors val="0"/>
        <c:ser>
          <c:idx val="0"/>
          <c:order val="0"/>
          <c:tx>
            <c:strRef>
              <c:f>Sheet1!$B$1</c:f>
              <c:strCache>
                <c:ptCount val="1"/>
                <c:pt idx="0">
                  <c:v>LTC</c:v>
                </c:pt>
              </c:strCache>
            </c:strRef>
          </c:tx>
          <c:invertIfNegative val="0"/>
          <c:dLbls>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 to 2 months</c:v>
                </c:pt>
                <c:pt idx="1">
                  <c:v>3 to 4 months</c:v>
                </c:pt>
                <c:pt idx="2">
                  <c:v>5 to 6 months</c:v>
                </c:pt>
                <c:pt idx="3">
                  <c:v>7 to 8 months</c:v>
                </c:pt>
                <c:pt idx="4">
                  <c:v>9 to 10 months</c:v>
                </c:pt>
                <c:pt idx="5">
                  <c:v>11 to 12 months</c:v>
                </c:pt>
              </c:strCache>
            </c:strRef>
          </c:cat>
          <c:val>
            <c:numRef>
              <c:f>Sheet1!$B$2:$B$7</c:f>
              <c:numCache>
                <c:formatCode>_(* #,##0_);_(* \(#,##0\);_(* "-"??_);_(@_)</c:formatCode>
                <c:ptCount val="6"/>
                <c:pt idx="0">
                  <c:v>6775</c:v>
                </c:pt>
                <c:pt idx="1">
                  <c:v>5761</c:v>
                </c:pt>
                <c:pt idx="2">
                  <c:v>4325</c:v>
                </c:pt>
                <c:pt idx="3">
                  <c:v>2360</c:v>
                </c:pt>
                <c:pt idx="4">
                  <c:v>2140</c:v>
                </c:pt>
                <c:pt idx="5">
                  <c:v>18754</c:v>
                </c:pt>
              </c:numCache>
            </c:numRef>
          </c:val>
          <c:extLst>
            <c:ext xmlns:c16="http://schemas.microsoft.com/office/drawing/2014/chart" uri="{C3380CC4-5D6E-409C-BE32-E72D297353CC}">
              <c16:uniqueId val="{00000000-86FF-4FBE-84C9-00F6EF95D68E}"/>
            </c:ext>
          </c:extLst>
        </c:ser>
        <c:ser>
          <c:idx val="1"/>
          <c:order val="1"/>
          <c:tx>
            <c:strRef>
              <c:f>Sheet1!$C$1</c:f>
              <c:strCache>
                <c:ptCount val="1"/>
                <c:pt idx="0">
                  <c:v>No LTC</c:v>
                </c:pt>
              </c:strCache>
            </c:strRef>
          </c:tx>
          <c:invertIfNegative val="0"/>
          <c:dLbls>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 to 2 months</c:v>
                </c:pt>
                <c:pt idx="1">
                  <c:v>3 to 4 months</c:v>
                </c:pt>
                <c:pt idx="2">
                  <c:v>5 to 6 months</c:v>
                </c:pt>
                <c:pt idx="3">
                  <c:v>7 to 8 months</c:v>
                </c:pt>
                <c:pt idx="4">
                  <c:v>9 to 10 months</c:v>
                </c:pt>
                <c:pt idx="5">
                  <c:v>11 to 12 months</c:v>
                </c:pt>
              </c:strCache>
            </c:strRef>
          </c:cat>
          <c:val>
            <c:numRef>
              <c:f>Sheet1!$C$2:$C$7</c:f>
              <c:numCache>
                <c:formatCode>_(* #,##0_);_(* \(#,##0\);_(* "-"??_);_(@_)</c:formatCode>
                <c:ptCount val="6"/>
                <c:pt idx="0">
                  <c:v>30177</c:v>
                </c:pt>
                <c:pt idx="1">
                  <c:v>15666</c:v>
                </c:pt>
                <c:pt idx="2">
                  <c:v>10367</c:v>
                </c:pt>
                <c:pt idx="3">
                  <c:v>7073</c:v>
                </c:pt>
                <c:pt idx="4">
                  <c:v>6141</c:v>
                </c:pt>
                <c:pt idx="5">
                  <c:v>13349</c:v>
                </c:pt>
              </c:numCache>
            </c:numRef>
          </c:val>
          <c:extLst>
            <c:ext xmlns:c16="http://schemas.microsoft.com/office/drawing/2014/chart" uri="{C3380CC4-5D6E-409C-BE32-E72D297353CC}">
              <c16:uniqueId val="{00000001-86FF-4FBE-84C9-00F6EF95D68E}"/>
            </c:ext>
          </c:extLst>
        </c:ser>
        <c:dLbls>
          <c:dLblPos val="ctr"/>
          <c:showLegendKey val="0"/>
          <c:showVal val="1"/>
          <c:showCatName val="0"/>
          <c:showSerName val="0"/>
          <c:showPercent val="0"/>
          <c:showBubbleSize val="0"/>
        </c:dLbls>
        <c:gapWidth val="63"/>
        <c:overlap val="100"/>
        <c:axId val="101449728"/>
        <c:axId val="101451648"/>
      </c:barChart>
      <c:catAx>
        <c:axId val="101449728"/>
        <c:scaling>
          <c:orientation val="minMax"/>
        </c:scaling>
        <c:delete val="0"/>
        <c:axPos val="b"/>
        <c:title>
          <c:tx>
            <c:rich>
              <a:bodyPr/>
              <a:lstStyle/>
              <a:p>
                <a:pPr>
                  <a:defRPr b="1"/>
                </a:pPr>
                <a:r>
                  <a:rPr lang="en-US" b="1"/>
                  <a:t>Maximum Number of Months in FFS</a:t>
                </a:r>
              </a:p>
            </c:rich>
          </c:tx>
          <c:overlay val="0"/>
        </c:title>
        <c:numFmt formatCode="General" sourceLinked="1"/>
        <c:majorTickMark val="out"/>
        <c:minorTickMark val="none"/>
        <c:tickLblPos val="nextTo"/>
        <c:txPr>
          <a:bodyPr rot="-1260000"/>
          <a:lstStyle/>
          <a:p>
            <a:pPr>
              <a:defRPr/>
            </a:pPr>
            <a:endParaRPr lang="en-US"/>
          </a:p>
        </c:txPr>
        <c:crossAx val="101451648"/>
        <c:crosses val="autoZero"/>
        <c:auto val="1"/>
        <c:lblAlgn val="ctr"/>
        <c:lblOffset val="100"/>
        <c:noMultiLvlLbl val="0"/>
      </c:catAx>
      <c:valAx>
        <c:axId val="101451648"/>
        <c:scaling>
          <c:orientation val="minMax"/>
        </c:scaling>
        <c:delete val="0"/>
        <c:axPos val="l"/>
        <c:majorGridlines>
          <c:spPr>
            <a:ln>
              <a:noFill/>
            </a:ln>
          </c:spPr>
        </c:majorGridlines>
        <c:title>
          <c:tx>
            <c:rich>
              <a:bodyPr rot="-5400000" vert="horz"/>
              <a:lstStyle/>
              <a:p>
                <a:pPr>
                  <a:defRPr b="1"/>
                </a:pPr>
                <a:r>
                  <a:rPr lang="en-US" b="1"/>
                  <a:t>Number of Beneficiaries</a:t>
                </a:r>
              </a:p>
            </c:rich>
          </c:tx>
          <c:overlay val="0"/>
        </c:title>
        <c:numFmt formatCode="_(* #,##0_);_(* \(#,##0\);_(* &quot;-&quot;??_);_(@_)" sourceLinked="1"/>
        <c:majorTickMark val="out"/>
        <c:minorTickMark val="none"/>
        <c:tickLblPos val="nextTo"/>
        <c:crossAx val="101449728"/>
        <c:crosses val="autoZero"/>
        <c:crossBetween val="between"/>
      </c:valAx>
      <c:spPr>
        <a:solidFill>
          <a:schemeClr val="bg1">
            <a:lumMod val="95000"/>
          </a:schemeClr>
        </a:solidFill>
      </c:spPr>
    </c:plotArea>
    <c:legend>
      <c:legendPos val="b"/>
      <c:overlay val="0"/>
    </c:legend>
    <c:plotVisOnly val="1"/>
    <c:dispBlanksAs val="gap"/>
    <c:showDLblsOverMax val="0"/>
  </c:chart>
  <c:spPr>
    <a:solidFill>
      <a:schemeClr val="bg1">
        <a:lumMod val="95000"/>
      </a:schemeClr>
    </a:solidFill>
  </c:spPr>
  <c:txPr>
    <a:bodyPr/>
    <a:lstStyle/>
    <a:p>
      <a:pPr>
        <a:defRPr b="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Ages0-18</c:v>
                </c:pt>
              </c:strCache>
            </c:strRef>
          </c:tx>
          <c:invertIfNegative val="0"/>
          <c:dLbls>
            <c:dLbl>
              <c:idx val="0"/>
              <c:tx>
                <c:rich>
                  <a:bodyPr/>
                  <a:lstStyle/>
                  <a:p>
                    <a:r>
                      <a:rPr lang="en-US"/>
                      <a:t>20.3%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FE-4F61-958A-C0C06537ED0C}"/>
                </c:ext>
              </c:extLst>
            </c:dLbl>
            <c:dLbl>
              <c:idx val="1"/>
              <c:tx>
                <c:rich>
                  <a:bodyPr/>
                  <a:lstStyle/>
                  <a:p>
                    <a:r>
                      <a:rPr lang="en-US"/>
                      <a:t>22.9%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FE-4F61-958A-C0C06537ED0C}"/>
                </c:ext>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Fee-for-Service</c:v>
                </c:pt>
                <c:pt idx="1">
                  <c:v>Managed Care</c:v>
                </c:pt>
              </c:strCache>
            </c:strRef>
          </c:cat>
          <c:val>
            <c:numRef>
              <c:f>Sheet1!$B$2:$B$3</c:f>
              <c:numCache>
                <c:formatCode>_(* #,##0_);_(* \(#,##0\);_(* "-"??_);_(@_)</c:formatCode>
                <c:ptCount val="2"/>
                <c:pt idx="0">
                  <c:v>348463</c:v>
                </c:pt>
                <c:pt idx="1">
                  <c:v>1303714</c:v>
                </c:pt>
              </c:numCache>
            </c:numRef>
          </c:val>
          <c:extLst>
            <c:ext xmlns:c16="http://schemas.microsoft.com/office/drawing/2014/chart" uri="{C3380CC4-5D6E-409C-BE32-E72D297353CC}">
              <c16:uniqueId val="{00000000-A67F-4496-B7B9-DB72F9ECFA58}"/>
            </c:ext>
          </c:extLst>
        </c:ser>
        <c:ser>
          <c:idx val="1"/>
          <c:order val="1"/>
          <c:tx>
            <c:strRef>
              <c:f>Sheet1!$C$1</c:f>
              <c:strCache>
                <c:ptCount val="1"/>
                <c:pt idx="0">
                  <c:v>Ages 19-64</c:v>
                </c:pt>
              </c:strCache>
            </c:strRef>
          </c:tx>
          <c:invertIfNegative val="0"/>
          <c:dLbls>
            <c:dLbl>
              <c:idx val="0"/>
              <c:tx>
                <c:rich>
                  <a:bodyPr/>
                  <a:lstStyle/>
                  <a:p>
                    <a:r>
                      <a:rPr lang="en-US"/>
                      <a:t>64.8%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FE-4F61-958A-C0C06537ED0C}"/>
                </c:ext>
              </c:extLst>
            </c:dLbl>
            <c:dLbl>
              <c:idx val="1"/>
              <c:tx>
                <c:rich>
                  <a:bodyPr/>
                  <a:lstStyle/>
                  <a:p>
                    <a:r>
                      <a:rPr lang="en-US"/>
                      <a:t>66.4%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FE-4F61-958A-C0C06537ED0C}"/>
                </c:ext>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Fee-for-Service</c:v>
                </c:pt>
                <c:pt idx="1">
                  <c:v>Managed Care</c:v>
                </c:pt>
              </c:strCache>
            </c:strRef>
          </c:cat>
          <c:val>
            <c:numRef>
              <c:f>Sheet1!$C$2:$C$3</c:f>
              <c:numCache>
                <c:formatCode>_(* #,##0_);_(* \(#,##0\);_(* "-"??_);_(@_)</c:formatCode>
                <c:ptCount val="2"/>
                <c:pt idx="0">
                  <c:v>1110396</c:v>
                </c:pt>
                <c:pt idx="1">
                  <c:v>3788744</c:v>
                </c:pt>
              </c:numCache>
            </c:numRef>
          </c:val>
          <c:extLst>
            <c:ext xmlns:c16="http://schemas.microsoft.com/office/drawing/2014/chart" uri="{C3380CC4-5D6E-409C-BE32-E72D297353CC}">
              <c16:uniqueId val="{00000001-A67F-4496-B7B9-DB72F9ECFA58}"/>
            </c:ext>
          </c:extLst>
        </c:ser>
        <c:ser>
          <c:idx val="2"/>
          <c:order val="2"/>
          <c:tx>
            <c:strRef>
              <c:f>Sheet1!$D$1</c:f>
              <c:strCache>
                <c:ptCount val="1"/>
                <c:pt idx="0">
                  <c:v>Ages 65+</c:v>
                </c:pt>
              </c:strCache>
            </c:strRef>
          </c:tx>
          <c:invertIfNegative val="0"/>
          <c:dLbls>
            <c:dLbl>
              <c:idx val="0"/>
              <c:tx>
                <c:rich>
                  <a:bodyPr/>
                  <a:lstStyle/>
                  <a:p>
                    <a:r>
                      <a:rPr lang="en-US"/>
                      <a:t>14.8%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FE-4F61-958A-C0C06537ED0C}"/>
                </c:ext>
              </c:extLst>
            </c:dLbl>
            <c:dLbl>
              <c:idx val="1"/>
              <c:tx>
                <c:rich>
                  <a:bodyPr/>
                  <a:lstStyle/>
                  <a:p>
                    <a:r>
                      <a:rPr lang="en-US"/>
                      <a:t>10.7%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FE-4F61-958A-C0C06537ED0C}"/>
                </c:ext>
              </c:extLst>
            </c:dLbl>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Fee-for-Service</c:v>
                </c:pt>
                <c:pt idx="1">
                  <c:v>Managed Care</c:v>
                </c:pt>
              </c:strCache>
            </c:strRef>
          </c:cat>
          <c:val>
            <c:numRef>
              <c:f>Sheet1!$D$2:$D$3</c:f>
              <c:numCache>
                <c:formatCode>_(* #,##0_);_(* \(#,##0\);_(* "-"??_);_(@_)</c:formatCode>
                <c:ptCount val="2"/>
                <c:pt idx="0">
                  <c:v>253703</c:v>
                </c:pt>
                <c:pt idx="1">
                  <c:v>611909</c:v>
                </c:pt>
              </c:numCache>
            </c:numRef>
          </c:val>
          <c:extLst>
            <c:ext xmlns:c16="http://schemas.microsoft.com/office/drawing/2014/chart" uri="{C3380CC4-5D6E-409C-BE32-E72D297353CC}">
              <c16:uniqueId val="{00000002-A67F-4496-B7B9-DB72F9ECFA58}"/>
            </c:ext>
          </c:extLst>
        </c:ser>
        <c:dLbls>
          <c:showLegendKey val="0"/>
          <c:showVal val="1"/>
          <c:showCatName val="0"/>
          <c:showSerName val="0"/>
          <c:showPercent val="0"/>
          <c:showBubbleSize val="0"/>
        </c:dLbls>
        <c:gapWidth val="150"/>
        <c:overlap val="100"/>
        <c:axId val="101552128"/>
        <c:axId val="101553664"/>
      </c:barChart>
      <c:catAx>
        <c:axId val="101552128"/>
        <c:scaling>
          <c:orientation val="minMax"/>
        </c:scaling>
        <c:delete val="0"/>
        <c:axPos val="b"/>
        <c:numFmt formatCode="General" sourceLinked="0"/>
        <c:majorTickMark val="out"/>
        <c:minorTickMark val="none"/>
        <c:tickLblPos val="nextTo"/>
        <c:txPr>
          <a:bodyPr/>
          <a:lstStyle/>
          <a:p>
            <a:pPr>
              <a:defRPr b="1"/>
            </a:pPr>
            <a:endParaRPr lang="en-US"/>
          </a:p>
        </c:txPr>
        <c:crossAx val="101553664"/>
        <c:crosses val="autoZero"/>
        <c:auto val="1"/>
        <c:lblAlgn val="ctr"/>
        <c:lblOffset val="100"/>
        <c:noMultiLvlLbl val="0"/>
      </c:catAx>
      <c:valAx>
        <c:axId val="101553664"/>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101552128"/>
        <c:crosses val="autoZero"/>
        <c:crossBetween val="between"/>
      </c:valAx>
      <c:spPr>
        <a:solidFill>
          <a:sysClr val="window" lastClr="FFFFFF">
            <a:lumMod val="95000"/>
          </a:sysClr>
        </a:solidFill>
      </c:spPr>
    </c:plotArea>
    <c:legend>
      <c:legendPos val="r"/>
      <c:overlay val="0"/>
    </c:legend>
    <c:plotVisOnly val="1"/>
    <c:dispBlanksAs val="gap"/>
    <c:showDLblsOverMax val="0"/>
  </c:chart>
  <c:spPr>
    <a:solidFill>
      <a:sysClr val="window" lastClr="FFFFFF">
        <a:lumMod val="95000"/>
      </a:sysClr>
    </a:solidFill>
    <a:ln>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African-American</c:v>
                </c:pt>
              </c:strCache>
            </c:strRef>
          </c:tx>
          <c:invertIfNegative val="0"/>
          <c:dLbls>
            <c:dLbl>
              <c:idx val="0"/>
              <c:tx>
                <c:rich>
                  <a:bodyPr/>
                  <a:lstStyle/>
                  <a:p>
                    <a:r>
                      <a:rPr lang="en-US"/>
                      <a:t>5.5%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35-44E1-96CF-17C2D617AB14}"/>
                </c:ext>
              </c:extLst>
            </c:dLbl>
            <c:dLbl>
              <c:idx val="1"/>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35-44E1-96CF-17C2D617AB14}"/>
                </c:ext>
              </c:extLst>
            </c:dLbl>
            <c:dLbl>
              <c:idx val="2"/>
              <c:tx>
                <c:rich>
                  <a:bodyPr/>
                  <a:lstStyle/>
                  <a:p>
                    <a:r>
                      <a:rPr lang="en-US"/>
                      <a:t>5.7%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35-44E1-96CF-17C2D617AB14}"/>
                </c:ext>
              </c:extLst>
            </c:dLbl>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Fee-for-Service</c:v>
                </c:pt>
                <c:pt idx="1">
                  <c:v>Managed Care</c:v>
                </c:pt>
                <c:pt idx="2">
                  <c:v>California</c:v>
                </c:pt>
              </c:strCache>
            </c:strRef>
          </c:cat>
          <c:val>
            <c:numRef>
              <c:f>Sheet1!$B$2:$B$4</c:f>
              <c:numCache>
                <c:formatCode>_(* #,##0_);_(* \(#,##0\);_(* "-"??_);_(@_)</c:formatCode>
                <c:ptCount val="3"/>
                <c:pt idx="0">
                  <c:v>93676</c:v>
                </c:pt>
                <c:pt idx="1">
                  <c:v>678237</c:v>
                </c:pt>
                <c:pt idx="2">
                  <c:v>2155929</c:v>
                </c:pt>
              </c:numCache>
            </c:numRef>
          </c:val>
          <c:extLst>
            <c:ext xmlns:c16="http://schemas.microsoft.com/office/drawing/2014/chart" uri="{C3380CC4-5D6E-409C-BE32-E72D297353CC}">
              <c16:uniqueId val="{00000000-3947-4970-A088-0C194C1A4EAE}"/>
            </c:ext>
          </c:extLst>
        </c:ser>
        <c:ser>
          <c:idx val="1"/>
          <c:order val="1"/>
          <c:tx>
            <c:strRef>
              <c:f>Sheet1!$C$1</c:f>
              <c:strCache>
                <c:ptCount val="1"/>
                <c:pt idx="0">
                  <c:v>AI/AN</c:v>
                </c:pt>
              </c:strCache>
            </c:strRef>
          </c:tx>
          <c:invertIfNegative val="0"/>
          <c:dLbls>
            <c:dLbl>
              <c:idx val="0"/>
              <c:layout>
                <c:manualLayout>
                  <c:x val="8.9743589743589744E-2"/>
                  <c:y val="0"/>
                </c:manualLayout>
              </c:layout>
              <c:tx>
                <c:rich>
                  <a:bodyPr/>
                  <a:lstStyle/>
                  <a:p>
                    <a:r>
                      <a:rPr lang="en-US"/>
                      <a:t>&lt;1%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47-4970-A088-0C194C1A4EAE}"/>
                </c:ext>
              </c:extLst>
            </c:dLbl>
            <c:dLbl>
              <c:idx val="1"/>
              <c:layout>
                <c:manualLayout>
                  <c:x val="9.6153846153846159E-2"/>
                  <c:y val="0"/>
                </c:manualLayout>
              </c:layout>
              <c:tx>
                <c:rich>
                  <a:bodyPr/>
                  <a:lstStyle/>
                  <a:p>
                    <a:r>
                      <a:rPr lang="en-US"/>
                      <a:t>&lt;1%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47-4970-A088-0C194C1A4EAE}"/>
                </c:ext>
              </c:extLst>
            </c:dLbl>
            <c:dLbl>
              <c:idx val="2"/>
              <c:layout>
                <c:manualLayout>
                  <c:x val="0.10256410256410256"/>
                  <c:y val="0"/>
                </c:manualLayout>
              </c:layout>
              <c:tx>
                <c:rich>
                  <a:bodyPr/>
                  <a:lstStyle/>
                  <a:p>
                    <a:r>
                      <a:rPr lang="en-US"/>
                      <a:t>&lt;1%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47-4970-A088-0C194C1A4EAE}"/>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Fee-for-Service</c:v>
                </c:pt>
                <c:pt idx="1">
                  <c:v>Managed Care</c:v>
                </c:pt>
                <c:pt idx="2">
                  <c:v>California</c:v>
                </c:pt>
              </c:strCache>
            </c:strRef>
          </c:cat>
          <c:val>
            <c:numRef>
              <c:f>Sheet1!$C$2:$C$4</c:f>
              <c:numCache>
                <c:formatCode>_(* #,##0_);_(* \(#,##0\);_(* "-"??_);_(@_)</c:formatCode>
                <c:ptCount val="3"/>
                <c:pt idx="0">
                  <c:v>5927</c:v>
                </c:pt>
                <c:pt idx="1">
                  <c:v>36132</c:v>
                </c:pt>
                <c:pt idx="2">
                  <c:v>145736</c:v>
                </c:pt>
              </c:numCache>
            </c:numRef>
          </c:val>
          <c:extLst>
            <c:ext xmlns:c16="http://schemas.microsoft.com/office/drawing/2014/chart" uri="{C3380CC4-5D6E-409C-BE32-E72D297353CC}">
              <c16:uniqueId val="{00000004-3947-4970-A088-0C194C1A4EAE}"/>
            </c:ext>
          </c:extLst>
        </c:ser>
        <c:ser>
          <c:idx val="2"/>
          <c:order val="2"/>
          <c:tx>
            <c:strRef>
              <c:f>Sheet1!$D$1</c:f>
              <c:strCache>
                <c:ptCount val="1"/>
                <c:pt idx="0">
                  <c:v>Asian</c:v>
                </c:pt>
              </c:strCache>
            </c:strRef>
          </c:tx>
          <c:invertIfNegative val="0"/>
          <c:dLbls>
            <c:dLbl>
              <c:idx val="0"/>
              <c:tx>
                <c:rich>
                  <a:bodyPr/>
                  <a:lstStyle/>
                  <a:p>
                    <a:r>
                      <a:rPr lang="en-US"/>
                      <a:t>9.2%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35-44E1-96CF-17C2D617AB14}"/>
                </c:ext>
              </c:extLst>
            </c:dLbl>
            <c:dLbl>
              <c:idx val="1"/>
              <c:tx>
                <c:rich>
                  <a:bodyPr/>
                  <a:lstStyle/>
                  <a:p>
                    <a:r>
                      <a:rPr lang="en-US"/>
                      <a:t>12.7%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35-44E1-96CF-17C2D617AB14}"/>
                </c:ext>
              </c:extLst>
            </c:dLbl>
            <c:dLbl>
              <c:idx val="2"/>
              <c:tx>
                <c:rich>
                  <a:bodyPr/>
                  <a:lstStyle/>
                  <a:p>
                    <a:r>
                      <a:rPr lang="en-US"/>
                      <a:t>13.3%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35-44E1-96CF-17C2D617AB14}"/>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Fee-for-Service</c:v>
                </c:pt>
                <c:pt idx="1">
                  <c:v>Managed Care</c:v>
                </c:pt>
                <c:pt idx="2">
                  <c:v>California</c:v>
                </c:pt>
              </c:strCache>
            </c:strRef>
          </c:cat>
          <c:val>
            <c:numRef>
              <c:f>Sheet1!$D$2:$D$4</c:f>
              <c:numCache>
                <c:formatCode>_(* #,##0_);_(* \(#,##0\);_(* "-"??_);_(@_)</c:formatCode>
                <c:ptCount val="3"/>
                <c:pt idx="0">
                  <c:v>157038</c:v>
                </c:pt>
                <c:pt idx="1">
                  <c:v>1027205</c:v>
                </c:pt>
                <c:pt idx="2">
                  <c:v>5062736</c:v>
                </c:pt>
              </c:numCache>
            </c:numRef>
          </c:val>
          <c:extLst>
            <c:ext xmlns:c16="http://schemas.microsoft.com/office/drawing/2014/chart" uri="{C3380CC4-5D6E-409C-BE32-E72D297353CC}">
              <c16:uniqueId val="{00000005-3947-4970-A088-0C194C1A4EAE}"/>
            </c:ext>
          </c:extLst>
        </c:ser>
        <c:ser>
          <c:idx val="3"/>
          <c:order val="3"/>
          <c:tx>
            <c:strRef>
              <c:f>Sheet1!$E$1</c:f>
              <c:strCache>
                <c:ptCount val="1"/>
                <c:pt idx="0">
                  <c:v>Hispanic</c:v>
                </c:pt>
              </c:strCache>
            </c:strRef>
          </c:tx>
          <c:invertIfNegative val="0"/>
          <c:dLbls>
            <c:dLbl>
              <c:idx val="0"/>
              <c:tx>
                <c:rich>
                  <a:bodyPr/>
                  <a:lstStyle/>
                  <a:p>
                    <a:r>
                      <a:rPr lang="en-US"/>
                      <a:t>58.8%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35-44E1-96CF-17C2D617AB14}"/>
                </c:ext>
              </c:extLst>
            </c:dLbl>
            <c:dLbl>
              <c:idx val="1"/>
              <c:tx>
                <c:rich>
                  <a:bodyPr/>
                  <a:lstStyle/>
                  <a:p>
                    <a:r>
                      <a:rPr lang="en-US"/>
                      <a:t>46.9%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35-44E1-96CF-17C2D617AB14}"/>
                </c:ext>
              </c:extLst>
            </c:dLbl>
            <c:dLbl>
              <c:idx val="2"/>
              <c:tx>
                <c:rich>
                  <a:bodyPr/>
                  <a:lstStyle/>
                  <a:p>
                    <a:r>
                      <a:rPr lang="en-US"/>
                      <a:t>38.2%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35-44E1-96CF-17C2D617AB14}"/>
                </c:ext>
              </c:extLst>
            </c:dLbl>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Fee-for-Service</c:v>
                </c:pt>
                <c:pt idx="1">
                  <c:v>Managed Care</c:v>
                </c:pt>
                <c:pt idx="2">
                  <c:v>California</c:v>
                </c:pt>
              </c:strCache>
            </c:strRef>
          </c:cat>
          <c:val>
            <c:numRef>
              <c:f>Sheet1!$E$2:$E$4</c:f>
              <c:numCache>
                <c:formatCode>_(* #,##0_);_(* \(#,##0\);_(* "-"??_);_(@_)</c:formatCode>
                <c:ptCount val="3"/>
                <c:pt idx="0">
                  <c:v>1007517</c:v>
                </c:pt>
                <c:pt idx="1">
                  <c:v>3799663</c:v>
                </c:pt>
                <c:pt idx="2">
                  <c:v>14534449</c:v>
                </c:pt>
              </c:numCache>
            </c:numRef>
          </c:val>
          <c:extLst>
            <c:ext xmlns:c16="http://schemas.microsoft.com/office/drawing/2014/chart" uri="{C3380CC4-5D6E-409C-BE32-E72D297353CC}">
              <c16:uniqueId val="{00000006-3947-4970-A088-0C194C1A4EAE}"/>
            </c:ext>
          </c:extLst>
        </c:ser>
        <c:ser>
          <c:idx val="4"/>
          <c:order val="4"/>
          <c:tx>
            <c:strRef>
              <c:f>Sheet1!$F$1</c:f>
              <c:strCache>
                <c:ptCount val="1"/>
                <c:pt idx="0">
                  <c:v>Not Reported</c:v>
                </c:pt>
              </c:strCache>
            </c:strRef>
          </c:tx>
          <c:invertIfNegative val="0"/>
          <c:dLbls>
            <c:dLbl>
              <c:idx val="0"/>
              <c:tx>
                <c:rich>
                  <a:bodyPr/>
                  <a:lstStyle/>
                  <a:p>
                    <a:r>
                      <a:rPr lang="en-US"/>
                      <a:t>10.7%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35-44E1-96CF-17C2D617AB14}"/>
                </c:ext>
              </c:extLst>
            </c:dLbl>
            <c:dLbl>
              <c:idx val="1"/>
              <c:tx>
                <c:rich>
                  <a:bodyPr/>
                  <a:lstStyle/>
                  <a:p>
                    <a:r>
                      <a:rPr lang="en-US"/>
                      <a:t>10.4%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35-44E1-96CF-17C2D617AB14}"/>
                </c:ext>
              </c:extLst>
            </c:dLbl>
            <c:dLbl>
              <c:idx val="2"/>
              <c:layout>
                <c:manualLayout>
                  <c:x val="9.6153846153846159E-2"/>
                  <c:y val="-4.7153090400074048E-17"/>
                </c:manualLayout>
              </c:layout>
              <c:tx>
                <c:rich>
                  <a:bodyPr/>
                  <a:lstStyle/>
                  <a:p>
                    <a:pPr>
                      <a:defRPr b="1">
                        <a:solidFill>
                          <a:schemeClr val="tx1"/>
                        </a:solidFill>
                      </a:defRPr>
                    </a:pPr>
                    <a:r>
                      <a:rPr lang="en-US">
                        <a:solidFill>
                          <a:schemeClr val="tx1"/>
                        </a:solidFill>
                      </a:rPr>
                      <a:t>3.3%</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35-44E1-96CF-17C2D617AB14}"/>
                </c:ext>
              </c:extLst>
            </c:dLbl>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Fee-for-Service</c:v>
                </c:pt>
                <c:pt idx="1">
                  <c:v>Managed Care</c:v>
                </c:pt>
                <c:pt idx="2">
                  <c:v>California</c:v>
                </c:pt>
              </c:strCache>
            </c:strRef>
          </c:cat>
          <c:val>
            <c:numRef>
              <c:f>Sheet1!$F$2:$F$4</c:f>
              <c:numCache>
                <c:formatCode>_(* #,##0_);_(* \(#,##0\);_(* "-"??_);_(@_)</c:formatCode>
                <c:ptCount val="3"/>
                <c:pt idx="0">
                  <c:v>182875</c:v>
                </c:pt>
                <c:pt idx="1">
                  <c:v>845498</c:v>
                </c:pt>
                <c:pt idx="2">
                  <c:v>1262469</c:v>
                </c:pt>
              </c:numCache>
            </c:numRef>
          </c:val>
          <c:extLst>
            <c:ext xmlns:c16="http://schemas.microsoft.com/office/drawing/2014/chart" uri="{C3380CC4-5D6E-409C-BE32-E72D297353CC}">
              <c16:uniqueId val="{00000007-3947-4970-A088-0C194C1A4EAE}"/>
            </c:ext>
          </c:extLst>
        </c:ser>
        <c:ser>
          <c:idx val="5"/>
          <c:order val="5"/>
          <c:tx>
            <c:strRef>
              <c:f>Sheet1!$G$1</c:f>
              <c:strCache>
                <c:ptCount val="1"/>
                <c:pt idx="0">
                  <c:v>White</c:v>
                </c:pt>
              </c:strCache>
            </c:strRef>
          </c:tx>
          <c:invertIfNegative val="0"/>
          <c:dLbls>
            <c:dLbl>
              <c:idx val="0"/>
              <c:tx>
                <c:rich>
                  <a:bodyPr/>
                  <a:lstStyle/>
                  <a:p>
                    <a:r>
                      <a:rPr lang="en-US"/>
                      <a:t>15.5%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35-44E1-96CF-17C2D617AB14}"/>
                </c:ext>
              </c:extLst>
            </c:dLbl>
            <c:dLbl>
              <c:idx val="1"/>
              <c:tx>
                <c:rich>
                  <a:bodyPr/>
                  <a:lstStyle/>
                  <a:p>
                    <a:r>
                      <a:rPr lang="en-US"/>
                      <a:t>21.2%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35-44E1-96CF-17C2D617AB14}"/>
                </c:ext>
              </c:extLst>
            </c:dLbl>
            <c:dLbl>
              <c:idx val="2"/>
              <c:tx>
                <c:rich>
                  <a:bodyPr/>
                  <a:lstStyle/>
                  <a:p>
                    <a:r>
                      <a:rPr lang="en-US"/>
                      <a:t>39.2%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35-44E1-96CF-17C2D617AB14}"/>
                </c:ext>
              </c:extLst>
            </c:dLbl>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Fee-for-Service</c:v>
                </c:pt>
                <c:pt idx="1">
                  <c:v>Managed Care</c:v>
                </c:pt>
                <c:pt idx="2">
                  <c:v>California</c:v>
                </c:pt>
              </c:strCache>
            </c:strRef>
          </c:cat>
          <c:val>
            <c:numRef>
              <c:f>Sheet1!$G$2:$G$4</c:f>
              <c:numCache>
                <c:formatCode>_(* #,##0_);_(* \(#,##0\);_(* "-"??_);_(@_)</c:formatCode>
                <c:ptCount val="3"/>
                <c:pt idx="0">
                  <c:v>265529</c:v>
                </c:pt>
                <c:pt idx="1">
                  <c:v>1717632</c:v>
                </c:pt>
                <c:pt idx="2">
                  <c:v>14905601</c:v>
                </c:pt>
              </c:numCache>
            </c:numRef>
          </c:val>
          <c:extLst>
            <c:ext xmlns:c16="http://schemas.microsoft.com/office/drawing/2014/chart" uri="{C3380CC4-5D6E-409C-BE32-E72D297353CC}">
              <c16:uniqueId val="{00000008-3947-4970-A088-0C194C1A4EAE}"/>
            </c:ext>
          </c:extLst>
        </c:ser>
        <c:dLbls>
          <c:dLblPos val="ctr"/>
          <c:showLegendKey val="0"/>
          <c:showVal val="1"/>
          <c:showCatName val="0"/>
          <c:showSerName val="0"/>
          <c:showPercent val="0"/>
          <c:showBubbleSize val="0"/>
        </c:dLbls>
        <c:gapWidth val="100"/>
        <c:overlap val="100"/>
        <c:axId val="117197056"/>
        <c:axId val="113053696"/>
      </c:barChart>
      <c:catAx>
        <c:axId val="117197056"/>
        <c:scaling>
          <c:orientation val="minMax"/>
        </c:scaling>
        <c:delete val="0"/>
        <c:axPos val="b"/>
        <c:numFmt formatCode="General" sourceLinked="0"/>
        <c:majorTickMark val="out"/>
        <c:minorTickMark val="none"/>
        <c:tickLblPos val="nextTo"/>
        <c:txPr>
          <a:bodyPr/>
          <a:lstStyle/>
          <a:p>
            <a:pPr>
              <a:defRPr b="1"/>
            </a:pPr>
            <a:endParaRPr lang="en-US"/>
          </a:p>
        </c:txPr>
        <c:crossAx val="113053696"/>
        <c:crosses val="autoZero"/>
        <c:auto val="1"/>
        <c:lblAlgn val="ctr"/>
        <c:lblOffset val="100"/>
        <c:noMultiLvlLbl val="0"/>
      </c:catAx>
      <c:valAx>
        <c:axId val="113053696"/>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117197056"/>
        <c:crosses val="autoZero"/>
        <c:crossBetween val="between"/>
      </c:valAx>
      <c:spPr>
        <a:solidFill>
          <a:sysClr val="window" lastClr="FFFFFF">
            <a:lumMod val="95000"/>
          </a:sysClr>
        </a:solidFill>
      </c:spPr>
    </c:plotArea>
    <c:legend>
      <c:legendPos val="r"/>
      <c:overlay val="0"/>
    </c:legend>
    <c:plotVisOnly val="1"/>
    <c:dispBlanksAs val="gap"/>
    <c:showDLblsOverMax val="0"/>
  </c:chart>
  <c:spPr>
    <a:solidFill>
      <a:sysClr val="window" lastClr="FFFFFF">
        <a:lumMod val="95000"/>
      </a:sysClr>
    </a:solidFill>
    <a:ln>
      <a:solidFill>
        <a:sysClr val="windowText" lastClr="000000"/>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86809341140054E-2"/>
          <c:y val="4.8025871766029238E-2"/>
          <c:w val="0.68822481324449825"/>
          <c:h val="0.8525628046494188"/>
        </c:manualLayout>
      </c:layout>
      <c:barChart>
        <c:barDir val="col"/>
        <c:grouping val="percentStacked"/>
        <c:varyColors val="0"/>
        <c:ser>
          <c:idx val="0"/>
          <c:order val="0"/>
          <c:tx>
            <c:strRef>
              <c:f>Sheet1!$B$1</c:f>
              <c:strCache>
                <c:ptCount val="1"/>
                <c:pt idx="0">
                  <c:v>English</c:v>
                </c:pt>
              </c:strCache>
            </c:strRef>
          </c:tx>
          <c:invertIfNegative val="0"/>
          <c:dLbls>
            <c:dLbl>
              <c:idx val="0"/>
              <c:tx>
                <c:rich>
                  <a:bodyPr/>
                  <a:lstStyle/>
                  <a:p>
                    <a:r>
                      <a:rPr lang="en-US"/>
                      <a:t>42.7%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E9-4EE4-B18C-6459838B2B05}"/>
                </c:ext>
              </c:extLst>
            </c:dLbl>
            <c:dLbl>
              <c:idx val="1"/>
              <c:tx>
                <c:rich>
                  <a:bodyPr/>
                  <a:lstStyle/>
                  <a:p>
                    <a:r>
                      <a:rPr lang="en-US"/>
                      <a:t>64.0%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E9-4EE4-B18C-6459838B2B05}"/>
                </c:ext>
              </c:extLst>
            </c:dLbl>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Fee-for-Service</c:v>
                </c:pt>
                <c:pt idx="1">
                  <c:v>Managed Care</c:v>
                </c:pt>
              </c:strCache>
            </c:strRef>
          </c:cat>
          <c:val>
            <c:numRef>
              <c:f>Sheet1!$B$2:$B$3</c:f>
              <c:numCache>
                <c:formatCode>_(* #,##0_);_(* \(#,##0\);_(* "-"??_);_(@_)</c:formatCode>
                <c:ptCount val="2"/>
                <c:pt idx="0">
                  <c:v>731042</c:v>
                </c:pt>
                <c:pt idx="1">
                  <c:v>5190108</c:v>
                </c:pt>
              </c:numCache>
            </c:numRef>
          </c:val>
          <c:extLst>
            <c:ext xmlns:c16="http://schemas.microsoft.com/office/drawing/2014/chart" uri="{C3380CC4-5D6E-409C-BE32-E72D297353CC}">
              <c16:uniqueId val="{00000000-3108-4192-9DCC-DDCCD35E6A61}"/>
            </c:ext>
          </c:extLst>
        </c:ser>
        <c:ser>
          <c:idx val="1"/>
          <c:order val="1"/>
          <c:tx>
            <c:strRef>
              <c:f>Sheet1!$C$1</c:f>
              <c:strCache>
                <c:ptCount val="1"/>
                <c:pt idx="0">
                  <c:v>Other Non English</c:v>
                </c:pt>
              </c:strCache>
            </c:strRef>
          </c:tx>
          <c:invertIfNegative val="0"/>
          <c:dLbls>
            <c:dLbl>
              <c:idx val="0"/>
              <c:tx>
                <c:rich>
                  <a:bodyPr/>
                  <a:lstStyle/>
                  <a:p>
                    <a:r>
                      <a:rPr lang="en-US"/>
                      <a:t>5.1%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E9-4EE4-B18C-6459838B2B05}"/>
                </c:ext>
              </c:extLst>
            </c:dLbl>
            <c:dLbl>
              <c:idx val="1"/>
              <c:tx>
                <c:rich>
                  <a:bodyPr/>
                  <a:lstStyle/>
                  <a:p>
                    <a:r>
                      <a:rPr lang="en-US"/>
                      <a:t>7.9%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E9-4EE4-B18C-6459838B2B05}"/>
                </c:ext>
              </c:extLst>
            </c:dLbl>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Fee-for-Service</c:v>
                </c:pt>
                <c:pt idx="1">
                  <c:v>Managed Care</c:v>
                </c:pt>
              </c:strCache>
            </c:strRef>
          </c:cat>
          <c:val>
            <c:numRef>
              <c:f>Sheet1!$C$2:$C$3</c:f>
              <c:numCache>
                <c:formatCode>_(* #,##0_);_(* \(#,##0\);_(* "-"??_);_(@_)</c:formatCode>
                <c:ptCount val="2"/>
                <c:pt idx="0">
                  <c:v>88026</c:v>
                </c:pt>
                <c:pt idx="1">
                  <c:v>638091</c:v>
                </c:pt>
              </c:numCache>
            </c:numRef>
          </c:val>
          <c:extLst>
            <c:ext xmlns:c16="http://schemas.microsoft.com/office/drawing/2014/chart" uri="{C3380CC4-5D6E-409C-BE32-E72D297353CC}">
              <c16:uniqueId val="{00000001-3108-4192-9DCC-DDCCD35E6A61}"/>
            </c:ext>
          </c:extLst>
        </c:ser>
        <c:ser>
          <c:idx val="2"/>
          <c:order val="2"/>
          <c:tx>
            <c:strRef>
              <c:f>Sheet1!$D$1</c:f>
              <c:strCache>
                <c:ptCount val="1"/>
                <c:pt idx="0">
                  <c:v>Spanish</c:v>
                </c:pt>
              </c:strCache>
            </c:strRef>
          </c:tx>
          <c:invertIfNegative val="0"/>
          <c:dLbls>
            <c:dLbl>
              <c:idx val="0"/>
              <c:tx>
                <c:rich>
                  <a:bodyPr/>
                  <a:lstStyle/>
                  <a:p>
                    <a:r>
                      <a:rPr lang="en-US"/>
                      <a:t>50.0%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E9-4EE4-B18C-6459838B2B05}"/>
                </c:ext>
              </c:extLst>
            </c:dLbl>
            <c:dLbl>
              <c:idx val="1"/>
              <c:tx>
                <c:rich>
                  <a:bodyPr/>
                  <a:lstStyle/>
                  <a:p>
                    <a:r>
                      <a:rPr lang="en-US"/>
                      <a:t>26.9%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E9-4EE4-B18C-6459838B2B05}"/>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Fee-for-Service</c:v>
                </c:pt>
                <c:pt idx="1">
                  <c:v>Managed Care</c:v>
                </c:pt>
              </c:strCache>
            </c:strRef>
          </c:cat>
          <c:val>
            <c:numRef>
              <c:f>Sheet1!$D$2:$D$3</c:f>
              <c:numCache>
                <c:formatCode>_(* #,##0_);_(* \(#,##0\);_(* "-"??_);_(@_)</c:formatCode>
                <c:ptCount val="2"/>
                <c:pt idx="0">
                  <c:v>856201</c:v>
                </c:pt>
                <c:pt idx="1">
                  <c:v>2182334</c:v>
                </c:pt>
              </c:numCache>
            </c:numRef>
          </c:val>
          <c:extLst>
            <c:ext xmlns:c16="http://schemas.microsoft.com/office/drawing/2014/chart" uri="{C3380CC4-5D6E-409C-BE32-E72D297353CC}">
              <c16:uniqueId val="{00000002-3108-4192-9DCC-DDCCD35E6A61}"/>
            </c:ext>
          </c:extLst>
        </c:ser>
        <c:ser>
          <c:idx val="3"/>
          <c:order val="3"/>
          <c:tx>
            <c:strRef>
              <c:f>Sheet1!$E$1</c:f>
              <c:strCache>
                <c:ptCount val="1"/>
                <c:pt idx="0">
                  <c:v>Unknown</c:v>
                </c:pt>
              </c:strCache>
            </c:strRef>
          </c:tx>
          <c:invertIfNegative val="0"/>
          <c:dLbls>
            <c:dLbl>
              <c:idx val="0"/>
              <c:layout>
                <c:manualLayout>
                  <c:x val="0.10042735042735039"/>
                  <c:y val="-1.8170836753513917E-2"/>
                </c:manualLayout>
              </c:layout>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08-4192-9DCC-DDCCD35E6A61}"/>
                </c:ext>
              </c:extLst>
            </c:dLbl>
            <c:dLbl>
              <c:idx val="1"/>
              <c:layout>
                <c:manualLayout>
                  <c:x val="0.123931623931624"/>
                  <c:y val="-1.3823812563970044E-2"/>
                </c:manualLayout>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08-4192-9DCC-DDCCD35E6A61}"/>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Fee-for-Service</c:v>
                </c:pt>
                <c:pt idx="1">
                  <c:v>Managed Care</c:v>
                </c:pt>
              </c:strCache>
            </c:strRef>
          </c:cat>
          <c:val>
            <c:numRef>
              <c:f>Sheet1!$E$2:$E$3</c:f>
              <c:numCache>
                <c:formatCode>_(* #,##0_);_(* \(#,##0\);_(* "-"??_);_(@_)</c:formatCode>
                <c:ptCount val="2"/>
                <c:pt idx="0">
                  <c:v>37293</c:v>
                </c:pt>
                <c:pt idx="1">
                  <c:v>93834</c:v>
                </c:pt>
              </c:numCache>
            </c:numRef>
          </c:val>
          <c:extLst>
            <c:ext xmlns:c16="http://schemas.microsoft.com/office/drawing/2014/chart" uri="{C3380CC4-5D6E-409C-BE32-E72D297353CC}">
              <c16:uniqueId val="{00000005-3108-4192-9DCC-DDCCD35E6A61}"/>
            </c:ext>
          </c:extLst>
        </c:ser>
        <c:dLbls>
          <c:dLblPos val="ctr"/>
          <c:showLegendKey val="0"/>
          <c:showVal val="1"/>
          <c:showCatName val="0"/>
          <c:showSerName val="0"/>
          <c:showPercent val="0"/>
          <c:showBubbleSize val="0"/>
        </c:dLbls>
        <c:gapWidth val="150"/>
        <c:overlap val="100"/>
        <c:axId val="113103232"/>
        <c:axId val="113104768"/>
      </c:barChart>
      <c:catAx>
        <c:axId val="113103232"/>
        <c:scaling>
          <c:orientation val="minMax"/>
        </c:scaling>
        <c:delete val="0"/>
        <c:axPos val="b"/>
        <c:numFmt formatCode="General" sourceLinked="0"/>
        <c:majorTickMark val="out"/>
        <c:minorTickMark val="none"/>
        <c:tickLblPos val="nextTo"/>
        <c:txPr>
          <a:bodyPr/>
          <a:lstStyle/>
          <a:p>
            <a:pPr>
              <a:defRPr b="1"/>
            </a:pPr>
            <a:endParaRPr lang="en-US"/>
          </a:p>
        </c:txPr>
        <c:crossAx val="113104768"/>
        <c:crosses val="autoZero"/>
        <c:auto val="1"/>
        <c:lblAlgn val="ctr"/>
        <c:lblOffset val="100"/>
        <c:noMultiLvlLbl val="0"/>
      </c:catAx>
      <c:valAx>
        <c:axId val="113104768"/>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113103232"/>
        <c:crosses val="autoZero"/>
        <c:crossBetween val="between"/>
      </c:valAx>
      <c:spPr>
        <a:solidFill>
          <a:sysClr val="window" lastClr="FFFFFF">
            <a:lumMod val="95000"/>
          </a:sysClr>
        </a:solidFill>
      </c:spPr>
    </c:plotArea>
    <c:legend>
      <c:legendPos val="r"/>
      <c:overlay val="0"/>
    </c:legend>
    <c:plotVisOnly val="1"/>
    <c:dispBlanksAs val="gap"/>
    <c:showDLblsOverMax val="0"/>
  </c:chart>
  <c:spPr>
    <a:solidFill>
      <a:sysClr val="window" lastClr="FFFFFF">
        <a:lumMod val="95000"/>
      </a:sysClr>
    </a:solidFill>
    <a:ln>
      <a:solidFill>
        <a:sysClr val="windowText" lastClr="000000"/>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28433945756783"/>
          <c:y val="5.9930633670791142E-2"/>
          <c:w val="0.82730853354869105"/>
          <c:h val="0.67139877785547075"/>
        </c:manualLayout>
      </c:layout>
      <c:lineChart>
        <c:grouping val="standard"/>
        <c:varyColors val="0"/>
        <c:ser>
          <c:idx val="0"/>
          <c:order val="0"/>
          <c:tx>
            <c:strRef>
              <c:f>Sheet1!$B$1</c:f>
              <c:strCache>
                <c:ptCount val="1"/>
                <c:pt idx="0">
                  <c:v>Fee-for-Service</c:v>
                </c:pt>
              </c:strCache>
            </c:strRef>
          </c:tx>
          <c:spPr>
            <a:ln>
              <a:solidFill>
                <a:srgbClr val="C00000"/>
              </a:solidFill>
            </a:ln>
          </c:spPr>
          <c:marker>
            <c:symbol val="none"/>
          </c:marker>
          <c:dPt>
            <c:idx val="0"/>
            <c:marker>
              <c:symbol val="diamond"/>
              <c:size val="8"/>
              <c:spPr>
                <a:solidFill>
                  <a:srgbClr val="C00000"/>
                </a:solidFill>
                <a:ln>
                  <a:solidFill>
                    <a:schemeClr val="tx2">
                      <a:lumMod val="75000"/>
                    </a:schemeClr>
                  </a:solidFill>
                </a:ln>
              </c:spPr>
            </c:marker>
            <c:bubble3D val="0"/>
            <c:extLst>
              <c:ext xmlns:c16="http://schemas.microsoft.com/office/drawing/2014/chart" uri="{C3380CC4-5D6E-409C-BE32-E72D297353CC}">
                <c16:uniqueId val="{00000000-212A-4D39-9B52-6A52EF41BE2F}"/>
              </c:ext>
            </c:extLst>
          </c:dPt>
          <c:dPt>
            <c:idx val="10"/>
            <c:marker>
              <c:symbol val="square"/>
              <c:size val="6"/>
              <c:spPr>
                <a:solidFill>
                  <a:srgbClr val="C00000"/>
                </a:solidFill>
                <a:ln>
                  <a:solidFill>
                    <a:srgbClr val="000099"/>
                  </a:solidFill>
                </a:ln>
              </c:spPr>
            </c:marker>
            <c:bubble3D val="0"/>
            <c:extLst>
              <c:ext xmlns:c16="http://schemas.microsoft.com/office/drawing/2014/chart" uri="{C3380CC4-5D6E-409C-BE32-E72D297353CC}">
                <c16:uniqueId val="{00000001-212A-4D39-9B52-6A52EF41BE2F}"/>
              </c:ext>
            </c:extLst>
          </c:dPt>
          <c:dPt>
            <c:idx val="11"/>
            <c:bubble3D val="0"/>
            <c:extLst>
              <c:ext xmlns:c16="http://schemas.microsoft.com/office/drawing/2014/chart" uri="{C3380CC4-5D6E-409C-BE32-E72D297353CC}">
                <c16:uniqueId val="{00000002-212A-4D39-9B52-6A52EF41BE2F}"/>
              </c:ext>
            </c:extLst>
          </c:dPt>
          <c:dPt>
            <c:idx val="12"/>
            <c:marker>
              <c:symbol val="square"/>
              <c:size val="6"/>
              <c:spPr>
                <a:solidFill>
                  <a:srgbClr val="C00000"/>
                </a:solidFill>
                <a:ln>
                  <a:solidFill>
                    <a:srgbClr val="000099"/>
                  </a:solidFill>
                </a:ln>
              </c:spPr>
            </c:marker>
            <c:bubble3D val="0"/>
            <c:extLst>
              <c:ext xmlns:c16="http://schemas.microsoft.com/office/drawing/2014/chart" uri="{C3380CC4-5D6E-409C-BE32-E72D297353CC}">
                <c16:uniqueId val="{00000003-212A-4D39-9B52-6A52EF41BE2F}"/>
              </c:ext>
            </c:extLst>
          </c:dPt>
          <c:dPt>
            <c:idx val="16"/>
            <c:marker>
              <c:symbol val="square"/>
              <c:size val="6"/>
              <c:spPr>
                <a:solidFill>
                  <a:srgbClr val="C00000"/>
                </a:solidFill>
                <a:ln>
                  <a:solidFill>
                    <a:srgbClr val="000099"/>
                  </a:solidFill>
                </a:ln>
              </c:spPr>
            </c:marker>
            <c:bubble3D val="0"/>
            <c:extLst>
              <c:ext xmlns:c16="http://schemas.microsoft.com/office/drawing/2014/chart" uri="{C3380CC4-5D6E-409C-BE32-E72D297353CC}">
                <c16:uniqueId val="{00000004-212A-4D39-9B52-6A52EF41BE2F}"/>
              </c:ext>
            </c:extLst>
          </c:dPt>
          <c:dLbls>
            <c:dLbl>
              <c:idx val="0"/>
              <c:layout>
                <c:manualLayout>
                  <c:x val="-3.8461538461538464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2A-4D39-9B52-6A52EF41BE2F}"/>
                </c:ext>
              </c:extLst>
            </c:dLbl>
            <c:dLbl>
              <c:idx val="10"/>
              <c:layout>
                <c:manualLayout>
                  <c:x val="-0.10897435897435889"/>
                  <c:y val="-3.9682852143482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2A-4D39-9B52-6A52EF41BE2F}"/>
                </c:ext>
              </c:extLst>
            </c:dLbl>
            <c:dLbl>
              <c:idx val="12"/>
              <c:layout>
                <c:manualLayout>
                  <c:x val="-8.9743589743589744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2A-4D39-9B52-6A52EF41BE2F}"/>
                </c:ext>
              </c:extLst>
            </c:dLbl>
            <c:dLbl>
              <c:idx val="16"/>
              <c:layout>
                <c:manualLayout>
                  <c:x val="0"/>
                  <c:y val="-4.7619672540932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2A-4D39-9B52-6A52EF41BE2F}"/>
                </c:ext>
              </c:extLst>
            </c:dLbl>
            <c:spPr>
              <a:noFill/>
              <a:ln>
                <a:noFill/>
              </a:ln>
              <a:effectLst/>
            </c:spPr>
            <c:txPr>
              <a:bodyPr/>
              <a:lstStyle/>
              <a:p>
                <a:pPr>
                  <a:defRPr sz="1000"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Sheet1!$A$2:$A$18</c:f>
              <c:strCache>
                <c:ptCount val="17"/>
                <c:pt idx="0">
                  <c:v>2008-01</c:v>
                </c:pt>
                <c:pt idx="1">
                  <c:v>2008-07</c:v>
                </c:pt>
                <c:pt idx="2">
                  <c:v>2009-01</c:v>
                </c:pt>
                <c:pt idx="3">
                  <c:v>2009-07</c:v>
                </c:pt>
                <c:pt idx="4">
                  <c:v>2010-01</c:v>
                </c:pt>
                <c:pt idx="5">
                  <c:v>2010-07</c:v>
                </c:pt>
                <c:pt idx="6">
                  <c:v>2011-01</c:v>
                </c:pt>
                <c:pt idx="7">
                  <c:v>2011-07</c:v>
                </c:pt>
                <c:pt idx="8">
                  <c:v>2012-01</c:v>
                </c:pt>
                <c:pt idx="9">
                  <c:v>2012-07</c:v>
                </c:pt>
                <c:pt idx="10">
                  <c:v>2013-01</c:v>
                </c:pt>
                <c:pt idx="11">
                  <c:v>2013-07</c:v>
                </c:pt>
                <c:pt idx="12">
                  <c:v>2014-01</c:v>
                </c:pt>
                <c:pt idx="13">
                  <c:v>2014-07</c:v>
                </c:pt>
                <c:pt idx="14">
                  <c:v>2015-01</c:v>
                </c:pt>
                <c:pt idx="15">
                  <c:v>2015-07</c:v>
                </c:pt>
                <c:pt idx="16">
                  <c:v>2016-01</c:v>
                </c:pt>
              </c:strCache>
            </c:strRef>
          </c:cat>
          <c:val>
            <c:numRef>
              <c:f>Sheet1!$B$2:$B$18</c:f>
              <c:numCache>
                <c:formatCode>_(* #,##0_);_(* \(#,##0\);_(* "-"_);_(@_)</c:formatCode>
                <c:ptCount val="17"/>
                <c:pt idx="0">
                  <c:v>3303011</c:v>
                </c:pt>
                <c:pt idx="1">
                  <c:v>3320759</c:v>
                </c:pt>
                <c:pt idx="2">
                  <c:v>3375203</c:v>
                </c:pt>
                <c:pt idx="3">
                  <c:v>3446779</c:v>
                </c:pt>
                <c:pt idx="4">
                  <c:v>3368757</c:v>
                </c:pt>
                <c:pt idx="5">
                  <c:v>3384479</c:v>
                </c:pt>
                <c:pt idx="6">
                  <c:v>3333493</c:v>
                </c:pt>
                <c:pt idx="7">
                  <c:v>3063844</c:v>
                </c:pt>
                <c:pt idx="8">
                  <c:v>2849974</c:v>
                </c:pt>
                <c:pt idx="9">
                  <c:v>2773312</c:v>
                </c:pt>
                <c:pt idx="10">
                  <c:v>2801272</c:v>
                </c:pt>
                <c:pt idx="11">
                  <c:v>2780023</c:v>
                </c:pt>
                <c:pt idx="12">
                  <c:v>3177683</c:v>
                </c:pt>
                <c:pt idx="13">
                  <c:v>3670453</c:v>
                </c:pt>
                <c:pt idx="14">
                  <c:v>3138954</c:v>
                </c:pt>
                <c:pt idx="15">
                  <c:v>2985211</c:v>
                </c:pt>
                <c:pt idx="16">
                  <c:v>3108117</c:v>
                </c:pt>
              </c:numCache>
            </c:numRef>
          </c:val>
          <c:smooth val="0"/>
          <c:extLst>
            <c:ext xmlns:c16="http://schemas.microsoft.com/office/drawing/2014/chart" uri="{C3380CC4-5D6E-409C-BE32-E72D297353CC}">
              <c16:uniqueId val="{00000005-212A-4D39-9B52-6A52EF41BE2F}"/>
            </c:ext>
          </c:extLst>
        </c:ser>
        <c:ser>
          <c:idx val="1"/>
          <c:order val="1"/>
          <c:tx>
            <c:strRef>
              <c:f>Sheet1!$C$1</c:f>
              <c:strCache>
                <c:ptCount val="1"/>
                <c:pt idx="0">
                  <c:v>Managed Care</c:v>
                </c:pt>
              </c:strCache>
            </c:strRef>
          </c:tx>
          <c:spPr>
            <a:ln>
              <a:solidFill>
                <a:srgbClr val="4F81BD"/>
              </a:solidFill>
            </a:ln>
          </c:spPr>
          <c:marker>
            <c:symbol val="none"/>
          </c:marker>
          <c:dPt>
            <c:idx val="0"/>
            <c:marker>
              <c:symbol val="square"/>
              <c:size val="6"/>
              <c:spPr>
                <a:solidFill>
                  <a:srgbClr val="4F81BD"/>
                </a:solidFill>
                <a:ln>
                  <a:solidFill>
                    <a:srgbClr val="000099"/>
                  </a:solidFill>
                </a:ln>
              </c:spPr>
            </c:marker>
            <c:bubble3D val="0"/>
            <c:extLst>
              <c:ext xmlns:c16="http://schemas.microsoft.com/office/drawing/2014/chart" uri="{C3380CC4-5D6E-409C-BE32-E72D297353CC}">
                <c16:uniqueId val="{00000006-212A-4D39-9B52-6A52EF41BE2F}"/>
              </c:ext>
            </c:extLst>
          </c:dPt>
          <c:dPt>
            <c:idx val="10"/>
            <c:marker>
              <c:symbol val="diamond"/>
              <c:size val="8"/>
              <c:spPr>
                <a:solidFill>
                  <a:srgbClr val="4F81BD"/>
                </a:solidFill>
                <a:ln>
                  <a:solidFill>
                    <a:schemeClr val="accent5">
                      <a:lumMod val="50000"/>
                    </a:schemeClr>
                  </a:solidFill>
                </a:ln>
              </c:spPr>
            </c:marker>
            <c:bubble3D val="0"/>
            <c:extLst>
              <c:ext xmlns:c16="http://schemas.microsoft.com/office/drawing/2014/chart" uri="{C3380CC4-5D6E-409C-BE32-E72D297353CC}">
                <c16:uniqueId val="{00000007-212A-4D39-9B52-6A52EF41BE2F}"/>
              </c:ext>
            </c:extLst>
          </c:dPt>
          <c:dPt>
            <c:idx val="11"/>
            <c:bubble3D val="0"/>
            <c:extLst>
              <c:ext xmlns:c16="http://schemas.microsoft.com/office/drawing/2014/chart" uri="{C3380CC4-5D6E-409C-BE32-E72D297353CC}">
                <c16:uniqueId val="{00000008-212A-4D39-9B52-6A52EF41BE2F}"/>
              </c:ext>
            </c:extLst>
          </c:dPt>
          <c:dPt>
            <c:idx val="12"/>
            <c:marker>
              <c:symbol val="diamond"/>
              <c:size val="8"/>
              <c:spPr>
                <a:solidFill>
                  <a:srgbClr val="4F81BD"/>
                </a:solidFill>
                <a:ln>
                  <a:solidFill>
                    <a:schemeClr val="accent5">
                      <a:lumMod val="50000"/>
                    </a:schemeClr>
                  </a:solidFill>
                </a:ln>
              </c:spPr>
            </c:marker>
            <c:bubble3D val="0"/>
            <c:extLst>
              <c:ext xmlns:c16="http://schemas.microsoft.com/office/drawing/2014/chart" uri="{C3380CC4-5D6E-409C-BE32-E72D297353CC}">
                <c16:uniqueId val="{00000009-212A-4D39-9B52-6A52EF41BE2F}"/>
              </c:ext>
            </c:extLst>
          </c:dPt>
          <c:dPt>
            <c:idx val="16"/>
            <c:marker>
              <c:symbol val="diamond"/>
              <c:size val="8"/>
              <c:spPr>
                <a:solidFill>
                  <a:srgbClr val="4F81BD"/>
                </a:solidFill>
                <a:ln>
                  <a:solidFill>
                    <a:schemeClr val="accent5">
                      <a:lumMod val="50000"/>
                    </a:schemeClr>
                  </a:solidFill>
                </a:ln>
              </c:spPr>
            </c:marker>
            <c:bubble3D val="0"/>
            <c:extLst>
              <c:ext xmlns:c16="http://schemas.microsoft.com/office/drawing/2014/chart" uri="{C3380CC4-5D6E-409C-BE32-E72D297353CC}">
                <c16:uniqueId val="{0000000A-212A-4D39-9B52-6A52EF41BE2F}"/>
              </c:ext>
            </c:extLst>
          </c:dPt>
          <c:dLbls>
            <c:dLbl>
              <c:idx val="0"/>
              <c:layout>
                <c:manualLayout>
                  <c:x val="-3.6324786324786328E-2"/>
                  <c:y val="-5.952412198475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2A-4D39-9B52-6A52EF41BE2F}"/>
                </c:ext>
              </c:extLst>
            </c:dLbl>
            <c:dLbl>
              <c:idx val="10"/>
              <c:layout>
                <c:manualLayout>
                  <c:x val="-0.10897435897435889"/>
                  <c:y val="-3.571428571428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2A-4D39-9B52-6A52EF41BE2F}"/>
                </c:ext>
              </c:extLst>
            </c:dLbl>
            <c:dLbl>
              <c:idx val="12"/>
              <c:layout>
                <c:manualLayout>
                  <c:x val="-9.8290598290598288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2A-4D39-9B52-6A52EF41BE2F}"/>
                </c:ext>
              </c:extLst>
            </c:dLbl>
            <c:dLbl>
              <c:idx val="16"/>
              <c:layout>
                <c:manualLayout>
                  <c:x val="0"/>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2A-4D39-9B52-6A52EF41BE2F}"/>
                </c:ext>
              </c:extLst>
            </c:dLbl>
            <c:spPr>
              <a:noFill/>
              <a:ln>
                <a:noFill/>
              </a:ln>
              <a:effectLst/>
            </c:spPr>
            <c:txPr>
              <a:bodyPr/>
              <a:lstStyle/>
              <a:p>
                <a:pPr>
                  <a:defRPr sz="1000"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Sheet1!$A$2:$A$18</c:f>
              <c:strCache>
                <c:ptCount val="17"/>
                <c:pt idx="0">
                  <c:v>2008-01</c:v>
                </c:pt>
                <c:pt idx="1">
                  <c:v>2008-07</c:v>
                </c:pt>
                <c:pt idx="2">
                  <c:v>2009-01</c:v>
                </c:pt>
                <c:pt idx="3">
                  <c:v>2009-07</c:v>
                </c:pt>
                <c:pt idx="4">
                  <c:v>2010-01</c:v>
                </c:pt>
                <c:pt idx="5">
                  <c:v>2010-07</c:v>
                </c:pt>
                <c:pt idx="6">
                  <c:v>2011-01</c:v>
                </c:pt>
                <c:pt idx="7">
                  <c:v>2011-07</c:v>
                </c:pt>
                <c:pt idx="8">
                  <c:v>2012-01</c:v>
                </c:pt>
                <c:pt idx="9">
                  <c:v>2012-07</c:v>
                </c:pt>
                <c:pt idx="10">
                  <c:v>2013-01</c:v>
                </c:pt>
                <c:pt idx="11">
                  <c:v>2013-07</c:v>
                </c:pt>
                <c:pt idx="12">
                  <c:v>2014-01</c:v>
                </c:pt>
                <c:pt idx="13">
                  <c:v>2014-07</c:v>
                </c:pt>
                <c:pt idx="14">
                  <c:v>2015-01</c:v>
                </c:pt>
                <c:pt idx="15">
                  <c:v>2015-07</c:v>
                </c:pt>
                <c:pt idx="16">
                  <c:v>2016-01</c:v>
                </c:pt>
              </c:strCache>
            </c:strRef>
          </c:cat>
          <c:val>
            <c:numRef>
              <c:f>Sheet1!$C$2:$C$18</c:f>
              <c:numCache>
                <c:formatCode>_(* #,##0_);_(* \(#,##0\);_(* "-"_);_(@_)</c:formatCode>
                <c:ptCount val="17"/>
                <c:pt idx="0">
                  <c:v>3299030</c:v>
                </c:pt>
                <c:pt idx="1">
                  <c:v>3400244</c:v>
                </c:pt>
                <c:pt idx="2">
                  <c:v>3481998</c:v>
                </c:pt>
                <c:pt idx="3">
                  <c:v>3642408</c:v>
                </c:pt>
                <c:pt idx="4">
                  <c:v>3875201</c:v>
                </c:pt>
                <c:pt idx="5">
                  <c:v>4008010</c:v>
                </c:pt>
                <c:pt idx="6">
                  <c:v>4167274</c:v>
                </c:pt>
                <c:pt idx="7">
                  <c:v>4526737</c:v>
                </c:pt>
                <c:pt idx="8">
                  <c:v>4745533</c:v>
                </c:pt>
                <c:pt idx="9">
                  <c:v>4852642</c:v>
                </c:pt>
                <c:pt idx="10">
                  <c:v>5063693</c:v>
                </c:pt>
                <c:pt idx="11">
                  <c:v>5688965</c:v>
                </c:pt>
                <c:pt idx="12">
                  <c:v>6730074</c:v>
                </c:pt>
                <c:pt idx="13">
                  <c:v>7852247</c:v>
                </c:pt>
                <c:pt idx="14">
                  <c:v>9230472</c:v>
                </c:pt>
                <c:pt idx="15">
                  <c:v>9842847</c:v>
                </c:pt>
                <c:pt idx="16">
                  <c:v>10376650</c:v>
                </c:pt>
              </c:numCache>
            </c:numRef>
          </c:val>
          <c:smooth val="0"/>
          <c:extLst>
            <c:ext xmlns:c16="http://schemas.microsoft.com/office/drawing/2014/chart" uri="{C3380CC4-5D6E-409C-BE32-E72D297353CC}">
              <c16:uniqueId val="{0000000B-212A-4D39-9B52-6A52EF41BE2F}"/>
            </c:ext>
          </c:extLst>
        </c:ser>
        <c:dLbls>
          <c:showLegendKey val="0"/>
          <c:showVal val="0"/>
          <c:showCatName val="0"/>
          <c:showSerName val="0"/>
          <c:showPercent val="0"/>
          <c:showBubbleSize val="0"/>
        </c:dLbls>
        <c:smooth val="0"/>
        <c:axId val="124492032"/>
        <c:axId val="124502400"/>
      </c:lineChart>
      <c:catAx>
        <c:axId val="124492032"/>
        <c:scaling>
          <c:orientation val="minMax"/>
        </c:scaling>
        <c:delete val="0"/>
        <c:axPos val="b"/>
        <c:title>
          <c:tx>
            <c:rich>
              <a:bodyPr/>
              <a:lstStyle/>
              <a:p>
                <a:pPr>
                  <a:defRPr sz="1000" b="1"/>
                </a:pPr>
                <a:r>
                  <a:rPr lang="en-US" sz="1000" b="1"/>
                  <a:t>Month of Eligibility</a:t>
                </a:r>
              </a:p>
            </c:rich>
          </c:tx>
          <c:layout>
            <c:manualLayout>
              <c:xMode val="edge"/>
              <c:yMode val="edge"/>
              <c:x val="0.42314876505821386"/>
              <c:y val="0.9190118596286575"/>
            </c:manualLayout>
          </c:layout>
          <c:overlay val="0"/>
        </c:title>
        <c:numFmt formatCode="General" sourceLinked="0"/>
        <c:majorTickMark val="out"/>
        <c:minorTickMark val="none"/>
        <c:tickLblPos val="nextTo"/>
        <c:crossAx val="124502400"/>
        <c:crosses val="autoZero"/>
        <c:auto val="1"/>
        <c:lblAlgn val="ctr"/>
        <c:lblOffset val="100"/>
        <c:noMultiLvlLbl val="0"/>
      </c:catAx>
      <c:valAx>
        <c:axId val="124502400"/>
        <c:scaling>
          <c:orientation val="minMax"/>
          <c:max val="12000000"/>
          <c:min val="2000000"/>
        </c:scaling>
        <c:delete val="0"/>
        <c:axPos val="l"/>
        <c:majorGridlines>
          <c:spPr>
            <a:ln>
              <a:solidFill>
                <a:schemeClr val="bg1">
                  <a:lumMod val="95000"/>
                </a:schemeClr>
              </a:solidFill>
            </a:ln>
          </c:spPr>
        </c:majorGridlines>
        <c:title>
          <c:tx>
            <c:rich>
              <a:bodyPr rot="-5400000" vert="horz"/>
              <a:lstStyle/>
              <a:p>
                <a:pPr>
                  <a:defRPr/>
                </a:pPr>
                <a:r>
                  <a:rPr lang="en-US" sz="1100"/>
                  <a:t>Certified</a:t>
                </a:r>
                <a:r>
                  <a:rPr lang="en-US" sz="1100" baseline="0"/>
                  <a:t> Eligibles</a:t>
                </a:r>
                <a:endParaRPr lang="en-US" sz="1100"/>
              </a:p>
            </c:rich>
          </c:tx>
          <c:layout>
            <c:manualLayout>
              <c:xMode val="edge"/>
              <c:yMode val="edge"/>
              <c:x val="2.1661955717073829E-3"/>
              <c:y val="0.28108298962629669"/>
            </c:manualLayout>
          </c:layout>
          <c:overlay val="0"/>
        </c:title>
        <c:numFmt formatCode="_(* #,##0_);_(* \(#,##0\);_(* &quot;-&quot;_);_(@_)" sourceLinked="1"/>
        <c:majorTickMark val="out"/>
        <c:minorTickMark val="none"/>
        <c:tickLblPos val="nextTo"/>
        <c:crossAx val="124492032"/>
        <c:crosses val="autoZero"/>
        <c:crossBetween val="between"/>
      </c:valAx>
      <c:spPr>
        <a:solidFill>
          <a:sysClr val="window" lastClr="FFFFFF">
            <a:lumMod val="95000"/>
          </a:sysClr>
        </a:solidFill>
      </c:spPr>
    </c:plotArea>
    <c:legend>
      <c:legendPos val="r"/>
      <c:layout>
        <c:manualLayout>
          <c:xMode val="edge"/>
          <c:yMode val="edge"/>
          <c:x val="0.65381485968100139"/>
          <c:y val="0.92410948631421075"/>
          <c:w val="0.33746012517666063"/>
          <c:h val="7.2415635545556814E-2"/>
        </c:manualLayout>
      </c:layout>
      <c:overlay val="0"/>
    </c:legend>
    <c:plotVisOnly val="1"/>
    <c:dispBlanksAs val="gap"/>
    <c:showDLblsOverMax val="0"/>
  </c:chart>
  <c:spPr>
    <a:solidFill>
      <a:sysClr val="window" lastClr="FFFFFF">
        <a:lumMod val="95000"/>
      </a:sysClr>
    </a:solidFill>
  </c:spPr>
  <c:txPr>
    <a:bodyPr/>
    <a:lstStyle/>
    <a:p>
      <a:pPr>
        <a:defRPr sz="9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352916669351972"/>
          <c:y val="3.4367810505168343E-2"/>
          <c:w val="0.42480153449813007"/>
          <c:h val="0.85290901137357833"/>
        </c:manualLayout>
      </c:layout>
      <c:barChart>
        <c:barDir val="bar"/>
        <c:grouping val="clustered"/>
        <c:varyColors val="0"/>
        <c:ser>
          <c:idx val="0"/>
          <c:order val="0"/>
          <c:tx>
            <c:strRef>
              <c:f>Sheet1!$E$36</c:f>
              <c:strCache>
                <c:ptCount val="1"/>
                <c:pt idx="0">
                  <c:v>Medi-Cal </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Sheet1!$D$37:$D$42</c:f>
              <c:strCache>
                <c:ptCount val="6"/>
                <c:pt idx="0">
                  <c:v>Fair or Poor Health</c:v>
                </c:pt>
                <c:pt idx="1">
                  <c:v>One or More Chronic Conditions</c:v>
                </c:pt>
                <c:pt idx="2">
                  <c:v>Obese</c:v>
                </c:pt>
                <c:pt idx="3">
                  <c:v>Disabled</c:v>
                </c:pt>
                <c:pt idx="4">
                  <c:v>Serious Psychological Distress</c:v>
                </c:pt>
                <c:pt idx="5">
                  <c:v>Daily Smokers </c:v>
                </c:pt>
              </c:strCache>
            </c:strRef>
          </c:cat>
          <c:val>
            <c:numRef>
              <c:f>Sheet1!$E$37:$E$42</c:f>
              <c:numCache>
                <c:formatCode>0.0%</c:formatCode>
                <c:ptCount val="6"/>
                <c:pt idx="0">
                  <c:v>0.34899999999999998</c:v>
                </c:pt>
                <c:pt idx="1">
                  <c:v>0.44900000000000001</c:v>
                </c:pt>
                <c:pt idx="2">
                  <c:v>0.34499999999999997</c:v>
                </c:pt>
                <c:pt idx="3">
                  <c:v>0.435</c:v>
                </c:pt>
                <c:pt idx="4">
                  <c:v>0.159</c:v>
                </c:pt>
                <c:pt idx="5">
                  <c:v>0.13</c:v>
                </c:pt>
              </c:numCache>
            </c:numRef>
          </c:val>
          <c:extLst>
            <c:ext xmlns:c16="http://schemas.microsoft.com/office/drawing/2014/chart" uri="{C3380CC4-5D6E-409C-BE32-E72D297353CC}">
              <c16:uniqueId val="{00000000-F0CC-4F0B-8BAC-B42BB70D0552}"/>
            </c:ext>
          </c:extLst>
        </c:ser>
        <c:ser>
          <c:idx val="1"/>
          <c:order val="1"/>
          <c:tx>
            <c:strRef>
              <c:f>Sheet1!$F$36</c:f>
              <c:strCache>
                <c:ptCount val="1"/>
                <c:pt idx="0">
                  <c:v>Private</c:v>
                </c:pt>
              </c:strCache>
            </c:strRef>
          </c:tx>
          <c:invertIfNegative val="0"/>
          <c:dLbls>
            <c:spPr>
              <a:noFill/>
              <a:ln>
                <a:noFill/>
              </a:ln>
              <a:effectLst/>
            </c:spPr>
            <c:txPr>
              <a:bodyPr/>
              <a:lstStyle/>
              <a:p>
                <a:pPr>
                  <a:defRPr b="1" i="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Sheet1!$D$37:$D$42</c:f>
              <c:strCache>
                <c:ptCount val="6"/>
                <c:pt idx="0">
                  <c:v>Fair or Poor Health</c:v>
                </c:pt>
                <c:pt idx="1">
                  <c:v>One or More Chronic Conditions</c:v>
                </c:pt>
                <c:pt idx="2">
                  <c:v>Obese</c:v>
                </c:pt>
                <c:pt idx="3">
                  <c:v>Disabled</c:v>
                </c:pt>
                <c:pt idx="4">
                  <c:v>Serious Psychological Distress</c:v>
                </c:pt>
                <c:pt idx="5">
                  <c:v>Daily Smokers </c:v>
                </c:pt>
              </c:strCache>
            </c:strRef>
          </c:cat>
          <c:val>
            <c:numRef>
              <c:f>Sheet1!$F$37:$F$42</c:f>
              <c:numCache>
                <c:formatCode>0.0%</c:formatCode>
                <c:ptCount val="6"/>
                <c:pt idx="0">
                  <c:v>0.112</c:v>
                </c:pt>
                <c:pt idx="1">
                  <c:v>0.33200000000000002</c:v>
                </c:pt>
                <c:pt idx="2">
                  <c:v>0.23799999999999999</c:v>
                </c:pt>
                <c:pt idx="3">
                  <c:v>0.17899999999999999</c:v>
                </c:pt>
                <c:pt idx="4">
                  <c:v>6.3E-2</c:v>
                </c:pt>
                <c:pt idx="5">
                  <c:v>5.7000000000000002E-2</c:v>
                </c:pt>
              </c:numCache>
            </c:numRef>
          </c:val>
          <c:extLst>
            <c:ext xmlns:c16="http://schemas.microsoft.com/office/drawing/2014/chart" uri="{C3380CC4-5D6E-409C-BE32-E72D297353CC}">
              <c16:uniqueId val="{00000001-F0CC-4F0B-8BAC-B42BB70D0552}"/>
            </c:ext>
          </c:extLst>
        </c:ser>
        <c:dLbls>
          <c:showLegendKey val="0"/>
          <c:showVal val="0"/>
          <c:showCatName val="0"/>
          <c:showSerName val="0"/>
          <c:showPercent val="0"/>
          <c:showBubbleSize val="0"/>
        </c:dLbls>
        <c:gapWidth val="150"/>
        <c:axId val="88641920"/>
        <c:axId val="88643456"/>
      </c:barChart>
      <c:catAx>
        <c:axId val="88641920"/>
        <c:scaling>
          <c:orientation val="minMax"/>
        </c:scaling>
        <c:delete val="0"/>
        <c:axPos val="l"/>
        <c:numFmt formatCode="General" sourceLinked="0"/>
        <c:majorTickMark val="out"/>
        <c:minorTickMark val="none"/>
        <c:tickLblPos val="nextTo"/>
        <c:txPr>
          <a:bodyPr/>
          <a:lstStyle/>
          <a:p>
            <a:pPr>
              <a:defRPr sz="1100" b="0"/>
            </a:pPr>
            <a:endParaRPr lang="en-US"/>
          </a:p>
        </c:txPr>
        <c:crossAx val="88643456"/>
        <c:crosses val="autoZero"/>
        <c:auto val="1"/>
        <c:lblAlgn val="ctr"/>
        <c:lblOffset val="100"/>
        <c:noMultiLvlLbl val="0"/>
      </c:catAx>
      <c:valAx>
        <c:axId val="88643456"/>
        <c:scaling>
          <c:orientation val="minMax"/>
        </c:scaling>
        <c:delete val="0"/>
        <c:axPos val="b"/>
        <c:majorGridlines/>
        <c:numFmt formatCode="0%" sourceLinked="0"/>
        <c:majorTickMark val="out"/>
        <c:minorTickMark val="none"/>
        <c:tickLblPos val="nextTo"/>
        <c:txPr>
          <a:bodyPr/>
          <a:lstStyle/>
          <a:p>
            <a:pPr>
              <a:defRPr sz="1100" b="0"/>
            </a:pPr>
            <a:endParaRPr lang="en-US"/>
          </a:p>
        </c:txPr>
        <c:crossAx val="88641920"/>
        <c:crosses val="autoZero"/>
        <c:crossBetween val="between"/>
      </c:valAx>
      <c:spPr>
        <a:solidFill>
          <a:schemeClr val="bg1">
            <a:lumMod val="95000"/>
          </a:schemeClr>
        </a:solidFill>
      </c:spPr>
    </c:plotArea>
    <c:legend>
      <c:legendPos val="r"/>
      <c:layout/>
      <c:overlay val="0"/>
      <c:txPr>
        <a:bodyPr/>
        <a:lstStyle/>
        <a:p>
          <a:pPr>
            <a:defRPr sz="1050" b="0"/>
          </a:pPr>
          <a:endParaRPr lang="en-US"/>
        </a:p>
      </c:txPr>
    </c:legend>
    <c:plotVisOnly val="1"/>
    <c:dispBlanksAs val="gap"/>
    <c:showDLblsOverMax val="0"/>
  </c:chart>
  <c:spPr>
    <a:solidFill>
      <a:schemeClr val="bg1">
        <a:lumMod val="95000"/>
      </a:schemeClr>
    </a:soli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29816876146148"/>
          <c:y val="4.2199100112485941E-2"/>
          <c:w val="0.85492995150263096"/>
          <c:h val="0.75546643215702947"/>
        </c:manualLayout>
      </c:layout>
      <c:barChart>
        <c:barDir val="col"/>
        <c:grouping val="clustered"/>
        <c:varyColors val="0"/>
        <c:ser>
          <c:idx val="0"/>
          <c:order val="0"/>
          <c:tx>
            <c:strRef>
              <c:f>Sheet1!$B$1</c:f>
              <c:strCache>
                <c:ptCount val="1"/>
                <c:pt idx="0">
                  <c:v>2013-14 (n = 1,605,763)</c:v>
                </c:pt>
              </c:strCache>
            </c:strRef>
          </c:tx>
          <c:spPr>
            <a:ln>
              <a:solidFill>
                <a:sysClr val="windowText" lastClr="000000"/>
              </a:solidFill>
            </a:ln>
            <a:effectLst>
              <a:outerShdw sx="1000" sy="1000" algn="ctr" rotWithShape="0">
                <a:srgbClr val="000000"/>
              </a:outerShdw>
            </a:effectLst>
          </c:spPr>
          <c:invertIfNegative val="0"/>
          <c:dPt>
            <c:idx val="1"/>
            <c:invertIfNegative val="0"/>
            <c:bubble3D val="0"/>
            <c:extLst>
              <c:ext xmlns:c16="http://schemas.microsoft.com/office/drawing/2014/chart" uri="{C3380CC4-5D6E-409C-BE32-E72D297353CC}">
                <c16:uniqueId val="{00000000-43C7-4BB0-83BE-B052D1B636A2}"/>
              </c:ext>
            </c:extLst>
          </c:dPt>
          <c:dPt>
            <c:idx val="2"/>
            <c:invertIfNegative val="0"/>
            <c:bubble3D val="0"/>
            <c:extLst>
              <c:ext xmlns:c16="http://schemas.microsoft.com/office/drawing/2014/chart" uri="{C3380CC4-5D6E-409C-BE32-E72D297353CC}">
                <c16:uniqueId val="{00000001-43C7-4BB0-83BE-B052D1B636A2}"/>
              </c:ext>
            </c:extLst>
          </c:dPt>
          <c:dPt>
            <c:idx val="3"/>
            <c:invertIfNegative val="0"/>
            <c:bubble3D val="0"/>
            <c:extLst>
              <c:ext xmlns:c16="http://schemas.microsoft.com/office/drawing/2014/chart" uri="{C3380CC4-5D6E-409C-BE32-E72D297353CC}">
                <c16:uniqueId val="{00000002-43C7-4BB0-83BE-B052D1B636A2}"/>
              </c:ext>
            </c:extLst>
          </c:dPt>
          <c:dLbls>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Ages 0-18</c:v>
                </c:pt>
                <c:pt idx="1">
                  <c:v>Ages 19-64</c:v>
                </c:pt>
                <c:pt idx="2">
                  <c:v>Ages 65 or Older</c:v>
                </c:pt>
              </c:strCache>
            </c:strRef>
          </c:cat>
          <c:val>
            <c:numRef>
              <c:f>Sheet1!$B$2:$B$4</c:f>
              <c:numCache>
                <c:formatCode>0.0%</c:formatCode>
                <c:ptCount val="3"/>
                <c:pt idx="0">
                  <c:v>0.15946873853738067</c:v>
                </c:pt>
                <c:pt idx="1">
                  <c:v>0.48918862870797247</c:v>
                </c:pt>
                <c:pt idx="2">
                  <c:v>0.35134263275464683</c:v>
                </c:pt>
              </c:numCache>
            </c:numRef>
          </c:val>
          <c:extLst>
            <c:ext xmlns:c16="http://schemas.microsoft.com/office/drawing/2014/chart" uri="{C3380CC4-5D6E-409C-BE32-E72D297353CC}">
              <c16:uniqueId val="{00000003-43C7-4BB0-83BE-B052D1B636A2}"/>
            </c:ext>
          </c:extLst>
        </c:ser>
        <c:ser>
          <c:idx val="1"/>
          <c:order val="1"/>
          <c:tx>
            <c:strRef>
              <c:f>Sheet1!$C$1</c:f>
              <c:strCache>
                <c:ptCount val="1"/>
                <c:pt idx="0">
                  <c:v>2014-15 (n = 1,520,144)</c:v>
                </c:pt>
              </c:strCache>
            </c:strRef>
          </c:tx>
          <c:spPr>
            <a:ln>
              <a:solidFill>
                <a:sysClr val="windowText" lastClr="000000"/>
              </a:solidFill>
            </a:ln>
          </c:spPr>
          <c:invertIfNegative val="0"/>
          <c:dLbls>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Ages 0-18</c:v>
                </c:pt>
                <c:pt idx="1">
                  <c:v>Ages 19-64</c:v>
                </c:pt>
                <c:pt idx="2">
                  <c:v>Ages 65 or Older</c:v>
                </c:pt>
              </c:strCache>
            </c:strRef>
          </c:cat>
          <c:val>
            <c:numRef>
              <c:f>Sheet1!$C$2:$C$4</c:f>
              <c:numCache>
                <c:formatCode>0.0%</c:formatCode>
                <c:ptCount val="3"/>
                <c:pt idx="0">
                  <c:v>0.20464640191981812</c:v>
                </c:pt>
                <c:pt idx="1">
                  <c:v>0.6120683303687019</c:v>
                </c:pt>
                <c:pt idx="2">
                  <c:v>0.18328526771147996</c:v>
                </c:pt>
              </c:numCache>
            </c:numRef>
          </c:val>
          <c:extLst>
            <c:ext xmlns:c16="http://schemas.microsoft.com/office/drawing/2014/chart" uri="{C3380CC4-5D6E-409C-BE32-E72D297353CC}">
              <c16:uniqueId val="{00000004-43C7-4BB0-83BE-B052D1B636A2}"/>
            </c:ext>
          </c:extLst>
        </c:ser>
        <c:dLbls>
          <c:dLblPos val="outEnd"/>
          <c:showLegendKey val="0"/>
          <c:showVal val="1"/>
          <c:showCatName val="0"/>
          <c:showSerName val="0"/>
          <c:showPercent val="0"/>
          <c:showBubbleSize val="0"/>
        </c:dLbls>
        <c:gapWidth val="100"/>
        <c:axId val="124539264"/>
        <c:axId val="124540800"/>
      </c:barChart>
      <c:catAx>
        <c:axId val="124539264"/>
        <c:scaling>
          <c:orientation val="minMax"/>
        </c:scaling>
        <c:delete val="0"/>
        <c:axPos val="b"/>
        <c:numFmt formatCode="General" sourceLinked="1"/>
        <c:majorTickMark val="out"/>
        <c:minorTickMark val="none"/>
        <c:tickLblPos val="nextTo"/>
        <c:crossAx val="124540800"/>
        <c:crosses val="autoZero"/>
        <c:auto val="1"/>
        <c:lblAlgn val="ctr"/>
        <c:lblOffset val="100"/>
        <c:noMultiLvlLbl val="0"/>
      </c:catAx>
      <c:valAx>
        <c:axId val="124540800"/>
        <c:scaling>
          <c:orientation val="minMax"/>
        </c:scaling>
        <c:delete val="0"/>
        <c:axPos val="l"/>
        <c:numFmt formatCode="0%" sourceLinked="0"/>
        <c:majorTickMark val="out"/>
        <c:minorTickMark val="none"/>
        <c:tickLblPos val="nextTo"/>
        <c:crossAx val="124539264"/>
        <c:crosses val="autoZero"/>
        <c:crossBetween val="between"/>
      </c:valAx>
      <c:spPr>
        <a:solidFill>
          <a:sysClr val="window" lastClr="FFFFFF">
            <a:lumMod val="95000"/>
          </a:sysClr>
        </a:solidFill>
      </c:spPr>
    </c:plotArea>
    <c:legend>
      <c:legendPos val="b"/>
      <c:overlay val="0"/>
    </c:legend>
    <c:plotVisOnly val="1"/>
    <c:dispBlanksAs val="gap"/>
    <c:showDLblsOverMax val="0"/>
  </c:chart>
  <c:spPr>
    <a:solidFill>
      <a:schemeClr val="bg1">
        <a:lumMod val="95000"/>
      </a:schemeClr>
    </a:solid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3'!$B$17</c:f>
              <c:strCache>
                <c:ptCount val="1"/>
                <c:pt idx="0">
                  <c:v>2013-14 (n= 1,605,765)14</c:v>
                </c:pt>
              </c:strCache>
            </c:strRef>
          </c:tx>
          <c:spPr>
            <a:solidFill>
              <a:schemeClr val="accent1"/>
            </a:solidFill>
            <a:ln>
              <a:solidFill>
                <a:srgbClr val="0070C0"/>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3'!$A$18:$A$25</c:f>
              <c:strCache>
                <c:ptCount val="8"/>
                <c:pt idx="0">
                  <c:v>Dual Eligibles, LTC Aid Code</c:v>
                </c:pt>
                <c:pt idx="1">
                  <c:v>Other</c:v>
                </c:pt>
                <c:pt idx="2">
                  <c:v>ACA Expansion Adult Age 19 to 64</c:v>
                </c:pt>
                <c:pt idx="3">
                  <c:v>Seniors and Persons with Disabilities</c:v>
                </c:pt>
                <c:pt idx="4">
                  <c:v>Adoption/Foster Care</c:v>
                </c:pt>
                <c:pt idx="5">
                  <c:v>Parent/Caretaker Relative &amp; Child</c:v>
                </c:pt>
                <c:pt idx="6">
                  <c:v>Dual Eligibles (Not LTC Aid Code)</c:v>
                </c:pt>
                <c:pt idx="7">
                  <c:v>Undocumented</c:v>
                </c:pt>
              </c:strCache>
            </c:strRef>
          </c:cat>
          <c:val>
            <c:numRef>
              <c:f>'Figure 3'!$B$18:$B$25</c:f>
              <c:numCache>
                <c:formatCode>0.0%</c:formatCode>
                <c:ptCount val="8"/>
                <c:pt idx="0">
                  <c:v>2.322070788689503E-2</c:v>
                </c:pt>
                <c:pt idx="1">
                  <c:v>2.1731697975731195E-2</c:v>
                </c:pt>
                <c:pt idx="2">
                  <c:v>2.064436576958646E-3</c:v>
                </c:pt>
                <c:pt idx="3">
                  <c:v>4.522268202383288E-2</c:v>
                </c:pt>
                <c:pt idx="4">
                  <c:v>4.8855841296827372E-2</c:v>
                </c:pt>
                <c:pt idx="5">
                  <c:v>5.6621610260530031E-2</c:v>
                </c:pt>
                <c:pt idx="6">
                  <c:v>0.43881203040295436</c:v>
                </c:pt>
                <c:pt idx="7">
                  <c:v>0.3634709935762705</c:v>
                </c:pt>
              </c:numCache>
            </c:numRef>
          </c:val>
          <c:extLst>
            <c:ext xmlns:c16="http://schemas.microsoft.com/office/drawing/2014/chart" uri="{C3380CC4-5D6E-409C-BE32-E72D297353CC}">
              <c16:uniqueId val="{00000000-41AA-4FF1-A5DB-8B4E3EF7F72F}"/>
            </c:ext>
          </c:extLst>
        </c:ser>
        <c:ser>
          <c:idx val="1"/>
          <c:order val="1"/>
          <c:tx>
            <c:strRef>
              <c:f>'Figure 3'!$C$17</c:f>
              <c:strCache>
                <c:ptCount val="1"/>
                <c:pt idx="0">
                  <c:v>2014-15 (n=1,520,144)</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3'!$A$18:$A$25</c:f>
              <c:strCache>
                <c:ptCount val="8"/>
                <c:pt idx="0">
                  <c:v>Dual Eligibles, LTC Aid Code</c:v>
                </c:pt>
                <c:pt idx="1">
                  <c:v>Other</c:v>
                </c:pt>
                <c:pt idx="2">
                  <c:v>ACA Expansion Adult Age 19 to 64</c:v>
                </c:pt>
                <c:pt idx="3">
                  <c:v>Seniors and Persons with Disabilities</c:v>
                </c:pt>
                <c:pt idx="4">
                  <c:v>Adoption/Foster Care</c:v>
                </c:pt>
                <c:pt idx="5">
                  <c:v>Parent/Caretaker Relative &amp; Child</c:v>
                </c:pt>
                <c:pt idx="6">
                  <c:v>Dual Eligibles (Not LTC Aid Code)</c:v>
                </c:pt>
                <c:pt idx="7">
                  <c:v>Undocumented</c:v>
                </c:pt>
              </c:strCache>
            </c:strRef>
          </c:cat>
          <c:val>
            <c:numRef>
              <c:f>'Figure 3'!$C$18:$C$25</c:f>
              <c:numCache>
                <c:formatCode>0.0%</c:formatCode>
                <c:ptCount val="8"/>
                <c:pt idx="0">
                  <c:v>1.4038801587218054E-2</c:v>
                </c:pt>
                <c:pt idx="1">
                  <c:v>3.7883253165489586E-2</c:v>
                </c:pt>
                <c:pt idx="2">
                  <c:v>3.9616641581323872E-2</c:v>
                </c:pt>
                <c:pt idx="3">
                  <c:v>4.2524918691913396E-2</c:v>
                </c:pt>
                <c:pt idx="4">
                  <c:v>5.2119404477470557E-2</c:v>
                </c:pt>
                <c:pt idx="5">
                  <c:v>0.1262979033565241</c:v>
                </c:pt>
                <c:pt idx="6">
                  <c:v>0.22734622509446473</c:v>
                </c:pt>
                <c:pt idx="7">
                  <c:v>0.46017285204559566</c:v>
                </c:pt>
              </c:numCache>
            </c:numRef>
          </c:val>
          <c:extLst>
            <c:ext xmlns:c16="http://schemas.microsoft.com/office/drawing/2014/chart" uri="{C3380CC4-5D6E-409C-BE32-E72D297353CC}">
              <c16:uniqueId val="{00000001-41AA-4FF1-A5DB-8B4E3EF7F72F}"/>
            </c:ext>
          </c:extLst>
        </c:ser>
        <c:dLbls>
          <c:showLegendKey val="0"/>
          <c:showVal val="0"/>
          <c:showCatName val="0"/>
          <c:showSerName val="0"/>
          <c:showPercent val="0"/>
          <c:showBubbleSize val="0"/>
        </c:dLbls>
        <c:gapWidth val="150"/>
        <c:axId val="125616128"/>
        <c:axId val="125618048"/>
      </c:barChart>
      <c:catAx>
        <c:axId val="125616128"/>
        <c:scaling>
          <c:orientation val="maxMin"/>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Aid category</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5618048"/>
        <c:crosses val="autoZero"/>
        <c:auto val="1"/>
        <c:lblAlgn val="ctr"/>
        <c:lblOffset val="100"/>
        <c:noMultiLvlLbl val="0"/>
      </c:catAx>
      <c:valAx>
        <c:axId val="1256180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5616128"/>
        <c:crosses val="autoZero"/>
        <c:crossBetween val="between"/>
      </c:valAx>
      <c:spPr>
        <a:noFill/>
        <a:ln>
          <a:noFill/>
        </a:ln>
        <a:effectLst/>
      </c:spPr>
    </c:plotArea>
    <c:legend>
      <c:legendPos val="b"/>
      <c:layout>
        <c:manualLayout>
          <c:xMode val="edge"/>
          <c:yMode val="edge"/>
          <c:x val="0.19926390289799545"/>
          <c:y val="0.92420775034173808"/>
          <c:w val="0.68215487425686572"/>
          <c:h val="5.7814725809731737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sz="1100" b="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8055572510802"/>
          <c:y val="6.2322396504888397E-2"/>
          <c:w val="0.61234104457873006"/>
          <c:h val="0.7873755993139967"/>
        </c:manualLayout>
      </c:layout>
      <c:barChart>
        <c:barDir val="col"/>
        <c:grouping val="clustered"/>
        <c:varyColors val="0"/>
        <c:ser>
          <c:idx val="0"/>
          <c:order val="0"/>
          <c:tx>
            <c:strRef>
              <c:f>Sheet1!$B$1</c:f>
              <c:strCache>
                <c:ptCount val="1"/>
                <c:pt idx="0">
                  <c:v>2013-14 (n = 1,605,765)</c:v>
                </c:pt>
              </c:strCache>
            </c:strRef>
          </c:tx>
          <c:spPr>
            <a:ln>
              <a:solidFill>
                <a:sysClr val="windowText" lastClr="000000"/>
              </a:solidFill>
            </a:ln>
          </c:spPr>
          <c:invertIfNegative val="0"/>
          <c:dPt>
            <c:idx val="1"/>
            <c:invertIfNegative val="0"/>
            <c:bubble3D val="0"/>
            <c:extLst>
              <c:ext xmlns:c16="http://schemas.microsoft.com/office/drawing/2014/chart" uri="{C3380CC4-5D6E-409C-BE32-E72D297353CC}">
                <c16:uniqueId val="{00000000-16C4-4BDA-A4CF-760448DAC02C}"/>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Female</c:v>
                </c:pt>
                <c:pt idx="1">
                  <c:v>Male</c:v>
                </c:pt>
              </c:strCache>
            </c:strRef>
          </c:cat>
          <c:val>
            <c:numRef>
              <c:f>Sheet1!$B$2:$B$3</c:f>
              <c:numCache>
                <c:formatCode>0.0%</c:formatCode>
                <c:ptCount val="2"/>
                <c:pt idx="0">
                  <c:v>0.59387021139456897</c:v>
                </c:pt>
                <c:pt idx="1">
                  <c:v>0.40612978860543103</c:v>
                </c:pt>
              </c:numCache>
            </c:numRef>
          </c:val>
          <c:extLst>
            <c:ext xmlns:c16="http://schemas.microsoft.com/office/drawing/2014/chart" uri="{C3380CC4-5D6E-409C-BE32-E72D297353CC}">
              <c16:uniqueId val="{00000001-16C4-4BDA-A4CF-760448DAC02C}"/>
            </c:ext>
          </c:extLst>
        </c:ser>
        <c:ser>
          <c:idx val="1"/>
          <c:order val="1"/>
          <c:tx>
            <c:strRef>
              <c:f>Sheet1!$C$1</c:f>
              <c:strCache>
                <c:ptCount val="1"/>
                <c:pt idx="0">
                  <c:v>2014-15 (n = 1,520,144)</c:v>
                </c:pt>
              </c:strCache>
            </c:strRef>
          </c:tx>
          <c:spPr>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Female</c:v>
                </c:pt>
                <c:pt idx="1">
                  <c:v>Male</c:v>
                </c:pt>
              </c:strCache>
            </c:strRef>
          </c:cat>
          <c:val>
            <c:numRef>
              <c:f>Sheet1!$C$2:$C$3</c:f>
              <c:numCache>
                <c:formatCode>0.0%</c:formatCode>
                <c:ptCount val="2"/>
                <c:pt idx="0">
                  <c:v>0.58024371375343387</c:v>
                </c:pt>
                <c:pt idx="1">
                  <c:v>0.41975628624656613</c:v>
                </c:pt>
              </c:numCache>
            </c:numRef>
          </c:val>
          <c:extLst>
            <c:ext xmlns:c16="http://schemas.microsoft.com/office/drawing/2014/chart" uri="{C3380CC4-5D6E-409C-BE32-E72D297353CC}">
              <c16:uniqueId val="{00000002-16C4-4BDA-A4CF-760448DAC02C}"/>
            </c:ext>
          </c:extLst>
        </c:ser>
        <c:dLbls>
          <c:dLblPos val="outEnd"/>
          <c:showLegendKey val="0"/>
          <c:showVal val="1"/>
          <c:showCatName val="0"/>
          <c:showSerName val="0"/>
          <c:showPercent val="0"/>
          <c:showBubbleSize val="0"/>
        </c:dLbls>
        <c:gapWidth val="100"/>
        <c:axId val="125260160"/>
        <c:axId val="125261696"/>
      </c:barChart>
      <c:catAx>
        <c:axId val="125260160"/>
        <c:scaling>
          <c:orientation val="minMax"/>
        </c:scaling>
        <c:delete val="0"/>
        <c:axPos val="b"/>
        <c:numFmt formatCode="General" sourceLinked="1"/>
        <c:majorTickMark val="out"/>
        <c:minorTickMark val="none"/>
        <c:tickLblPos val="nextTo"/>
        <c:crossAx val="125261696"/>
        <c:crosses val="autoZero"/>
        <c:auto val="1"/>
        <c:lblAlgn val="ctr"/>
        <c:lblOffset val="100"/>
        <c:noMultiLvlLbl val="0"/>
      </c:catAx>
      <c:valAx>
        <c:axId val="125261696"/>
        <c:scaling>
          <c:orientation val="minMax"/>
        </c:scaling>
        <c:delete val="0"/>
        <c:axPos val="l"/>
        <c:numFmt formatCode="0%" sourceLinked="0"/>
        <c:majorTickMark val="out"/>
        <c:minorTickMark val="none"/>
        <c:tickLblPos val="nextTo"/>
        <c:crossAx val="125260160"/>
        <c:crosses val="autoZero"/>
        <c:crossBetween val="between"/>
      </c:valAx>
      <c:spPr>
        <a:solidFill>
          <a:sysClr val="window" lastClr="FFFFFF">
            <a:lumMod val="95000"/>
          </a:sysClr>
        </a:solidFill>
      </c:spPr>
    </c:plotArea>
    <c:legend>
      <c:legendPos val="r"/>
      <c:overlay val="0"/>
    </c:legend>
    <c:plotVisOnly val="1"/>
    <c:dispBlanksAs val="gap"/>
    <c:showDLblsOverMax val="0"/>
  </c:chart>
  <c:spPr>
    <a:solidFill>
      <a:schemeClr val="bg1">
        <a:lumMod val="95000"/>
      </a:schemeClr>
    </a:solidFill>
  </c:spPr>
  <c:txPr>
    <a:bodyPr/>
    <a:lstStyle/>
    <a:p>
      <a:pPr>
        <a:defRPr b="1"/>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sz="1440" b="1" i="0" u="none" strike="noStrike" baseline="0">
                <a:effectLst/>
              </a:rPr>
              <a:t>N= 882,054</a:t>
            </a:r>
            <a:endParaRPr lang="en-US" b="1"/>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EE-4DE0-B534-08960E65CE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EE-4DE0-B534-08960E65CE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EE-4DE0-B534-08960E65CE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EE-4DE0-B534-08960E65CE0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EE-4DE0-B534-08960E65CE0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8EE-4DE0-B534-08960E65CE00}"/>
              </c:ext>
            </c:extLst>
          </c:dPt>
          <c:dLbls>
            <c:dLbl>
              <c:idx val="0"/>
              <c:layout>
                <c:manualLayout>
                  <c:x val="6.5900127868631808E-2"/>
                  <c:y val="-4.7641035611289328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8EE-4DE0-B534-08960E65CE00}"/>
                </c:ext>
              </c:extLst>
            </c:dLbl>
            <c:dLbl>
              <c:idx val="1"/>
              <c:layout>
                <c:manualLayout>
                  <c:x val="9.2195807254862368E-3"/>
                  <c:y val="-9.3171397556786884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EE-4DE0-B534-08960E65CE00}"/>
                </c:ext>
              </c:extLst>
            </c:dLbl>
            <c:dLbl>
              <c:idx val="2"/>
              <c:layout>
                <c:manualLayout>
                  <c:x val="0.1663057742782153"/>
                  <c:y val="-0.11695901922600606"/>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EE-4DE0-B534-08960E65CE00}"/>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8EE-4DE0-B534-08960E65CE00}"/>
                </c:ext>
              </c:extLst>
            </c:dLbl>
            <c:dLbl>
              <c:idx val="5"/>
              <c:tx>
                <c:rich>
                  <a:bodyPr/>
                  <a:lstStyle/>
                  <a:p>
                    <a:r>
                      <a:rPr lang="en-US"/>
                      <a:t>Female Ages 15-44</a:t>
                    </a:r>
                    <a:r>
                      <a:rPr lang="en-US" baseline="0"/>
                      <a:t>
</a:t>
                    </a:r>
                    <a:fld id="{BFA46EF3-2F49-45C3-9D71-89DBAE585050}"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78EE-4DE0-B534-08960E65CE0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(NEW)'!$A$58:$A$62</c:f>
              <c:strCache>
                <c:ptCount val="5"/>
                <c:pt idx="0">
                  <c:v>Females, Age 00 - 14</c:v>
                </c:pt>
                <c:pt idx="1">
                  <c:v>Females, Age 45 and older</c:v>
                </c:pt>
                <c:pt idx="2">
                  <c:v>Undocumented</c:v>
                </c:pt>
                <c:pt idx="3">
                  <c:v>Parent/Caretaker Relative &amp; Child</c:v>
                </c:pt>
                <c:pt idx="4">
                  <c:v>Other</c:v>
                </c:pt>
              </c:strCache>
            </c:strRef>
          </c:cat>
          <c:val>
            <c:numRef>
              <c:f>'Figure (NEW)'!$B$58:$B$62</c:f>
              <c:numCache>
                <c:formatCode>_(* #,##0_);_(* \(#,##0\);_(* "-"??_);_(@_)</c:formatCode>
                <c:ptCount val="5"/>
                <c:pt idx="0">
                  <c:v>106889</c:v>
                </c:pt>
                <c:pt idx="1">
                  <c:v>309618</c:v>
                </c:pt>
                <c:pt idx="2">
                  <c:v>332357</c:v>
                </c:pt>
                <c:pt idx="3">
                  <c:v>56108</c:v>
                </c:pt>
                <c:pt idx="4">
                  <c:v>77082</c:v>
                </c:pt>
              </c:numCache>
            </c:numRef>
          </c:val>
          <c:extLst>
            <c:ext xmlns:c16="http://schemas.microsoft.com/office/drawing/2014/chart" uri="{C3380CC4-5D6E-409C-BE32-E72D297353CC}">
              <c16:uniqueId val="{0000000C-78EE-4DE0-B534-08960E65CE00}"/>
            </c:ext>
          </c:extLst>
        </c:ser>
        <c:dLbls>
          <c:showLegendKey val="0"/>
          <c:showVal val="0"/>
          <c:showCatName val="0"/>
          <c:showSerName val="0"/>
          <c:showPercent val="0"/>
          <c:showBubbleSize val="0"/>
          <c:showLeaderLines val="1"/>
        </c:dLbls>
        <c:gapWidth val="79"/>
        <c:splitType val="pos"/>
        <c:splitPos val="3"/>
        <c:secondPieSize val="8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 = 465,547</a:t>
            </a:r>
          </a:p>
        </c:rich>
      </c:tx>
      <c:layout>
        <c:manualLayout>
          <c:xMode val="edge"/>
          <c:yMode val="edge"/>
          <c:x val="2.969335771955434E-2"/>
          <c:y val="1.754385560992411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207817476378899E-2"/>
          <c:y val="0.23643150800352011"/>
          <c:w val="0.594778132129542"/>
          <c:h val="0.81923339236681691"/>
        </c:manualLayout>
      </c:layout>
      <c:pieChart>
        <c:varyColors val="1"/>
        <c:ser>
          <c:idx val="1"/>
          <c:order val="1"/>
          <c:tx>
            <c:strRef>
              <c:f>'Figure (NEW)'!$C$19</c:f>
              <c:strCache>
                <c:ptCount val="1"/>
                <c:pt idx="0">
                  <c:v>Ages 15 to 44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F9-4A66-B15B-FB07E7DFF8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F9-4A66-B15B-FB07E7DFF8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F9-4A66-B15B-FB07E7DFF8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F9-4A66-B15B-FB07E7DFF83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F9-4A66-B15B-FB07E7DFF83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F9-4A66-B15B-FB07E7DFF83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DF9-4A66-B15B-FB07E7DFF83A}"/>
              </c:ext>
            </c:extLst>
          </c:dPt>
          <c:dLbls>
            <c:dLbl>
              <c:idx val="0"/>
              <c:layout>
                <c:manualLayout>
                  <c:x val="0.1880091875747591"/>
                  <c:y val="-0.11846910339911215"/>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DF9-4A66-B15B-FB07E7DFF83A}"/>
                </c:ext>
              </c:extLst>
            </c:dLbl>
            <c:dLbl>
              <c:idx val="1"/>
              <c:layout>
                <c:manualLayout>
                  <c:x val="-3.2642491799429081E-2"/>
                  <c:y val="-6.0035724701079034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F9-4A66-B15B-FB07E7DFF83A}"/>
                </c:ext>
              </c:extLst>
            </c:dLbl>
            <c:dLbl>
              <c:idx val="2"/>
              <c:layout>
                <c:manualLayout>
                  <c:x val="2.6612045115982037E-2"/>
                  <c:y val="-0.13320615015715628"/>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fld id="{ACBB57AF-805B-4C72-A9C5-86FD29AEBC67}" type="CATEGORYNAME">
                      <a:rPr lang="en-US">
                        <a:solidFill>
                          <a:sysClr val="windowText" lastClr="000000"/>
                        </a:solidFill>
                      </a:rPr>
                      <a:pPr>
                        <a:defRPr sz="1050" b="1">
                          <a:solidFill>
                            <a:schemeClr val="bg1"/>
                          </a:solidFill>
                        </a:defRPr>
                      </a:pPr>
                      <a:t>[CATEGORY NAME]</a:t>
                    </a:fld>
                    <a:r>
                      <a:rPr lang="en-US" baseline="0">
                        <a:solidFill>
                          <a:sysClr val="windowText" lastClr="000000"/>
                        </a:solidFill>
                      </a:rPr>
                      <a:t>
</a:t>
                    </a:r>
                    <a:fld id="{2C42EAF1-CFAB-495A-88FF-7C5C43B893CB}" type="PERCENTAGE">
                      <a:rPr lang="en-US" baseline="0">
                        <a:solidFill>
                          <a:sysClr val="windowText" lastClr="000000"/>
                        </a:solidFill>
                      </a:rPr>
                      <a:pPr>
                        <a:defRPr sz="1050" b="1">
                          <a:solidFill>
                            <a:schemeClr val="bg1"/>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DF9-4A66-B15B-FB07E7DFF83A}"/>
                </c:ext>
              </c:extLst>
            </c:dLbl>
            <c:dLbl>
              <c:idx val="3"/>
              <c:layout>
                <c:manualLayout>
                  <c:x val="7.5848126160371607E-2"/>
                  <c:y val="-0.1221404037458281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DDF9-4A66-B15B-FB07E7DFF83A}"/>
                </c:ext>
              </c:extLst>
            </c:dLbl>
            <c:dLbl>
              <c:idx val="4"/>
              <c:layout>
                <c:manualLayout>
                  <c:x val="0.19681883893124721"/>
                  <c:y val="-2.326966073685233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DDF9-4A66-B15B-FB07E7DFF83A}"/>
                </c:ext>
              </c:extLst>
            </c:dLbl>
            <c:dLbl>
              <c:idx val="5"/>
              <c:layout>
                <c:manualLayout>
                  <c:x val="0.20074263783196719"/>
                  <c:y val="-2.022698551569952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DDF9-4A66-B15B-FB07E7DFF83A}"/>
                </c:ext>
              </c:extLst>
            </c:dLbl>
            <c:dLbl>
              <c:idx val="6"/>
              <c:layout>
                <c:manualLayout>
                  <c:x val="-1.5967997593031531E-2"/>
                  <c:y val="0"/>
                </c:manualLayout>
              </c:layout>
              <c:tx>
                <c:rich>
                  <a:bodyPr/>
                  <a:lstStyle/>
                  <a:p>
                    <a:r>
                      <a:rPr lang="en-US"/>
                      <a:t>SPD</a:t>
                    </a:r>
                    <a:r>
                      <a:rPr lang="en-US" baseline="0"/>
                      <a:t>
</a:t>
                    </a:r>
                    <a:fld id="{D21A6458-6731-4074-B10E-4200C1D799D3}"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DDF9-4A66-B15B-FB07E7DFF83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(NEW)'!$A$20:$A$26</c:f>
              <c:strCache>
                <c:ptCount val="7"/>
                <c:pt idx="0">
                  <c:v>Undocumented</c:v>
                </c:pt>
                <c:pt idx="1">
                  <c:v>Parent/Caretaker Relative &amp; Child</c:v>
                </c:pt>
                <c:pt idx="2">
                  <c:v>Other</c:v>
                </c:pt>
                <c:pt idx="3">
                  <c:v>ACA Expansion Adult Age 19 to 64</c:v>
                </c:pt>
                <c:pt idx="4">
                  <c:v>Adoption/Foster Care</c:v>
                </c:pt>
                <c:pt idx="5">
                  <c:v>Dual</c:v>
                </c:pt>
                <c:pt idx="6">
                  <c:v>Seniors and Persons with Disabilities</c:v>
                </c:pt>
              </c:strCache>
            </c:strRef>
          </c:cat>
          <c:val>
            <c:numRef>
              <c:f>'Figure (NEW)'!$C$20:$C$26</c:f>
              <c:numCache>
                <c:formatCode>_(* #,##0_);_(* \(#,##0\);_(* "-"??_);_(@_)</c:formatCode>
                <c:ptCount val="7"/>
                <c:pt idx="0">
                  <c:v>332357</c:v>
                </c:pt>
                <c:pt idx="1">
                  <c:v>56108</c:v>
                </c:pt>
                <c:pt idx="2">
                  <c:v>21920</c:v>
                </c:pt>
                <c:pt idx="3">
                  <c:v>18311</c:v>
                </c:pt>
                <c:pt idx="4">
                  <c:v>13573</c:v>
                </c:pt>
                <c:pt idx="5">
                  <c:v>13328</c:v>
                </c:pt>
                <c:pt idx="6">
                  <c:v>9950</c:v>
                </c:pt>
              </c:numCache>
            </c:numRef>
          </c:val>
          <c:extLst>
            <c:ext xmlns:c16="http://schemas.microsoft.com/office/drawing/2014/chart" uri="{C3380CC4-5D6E-409C-BE32-E72D297353CC}">
              <c16:uniqueId val="{0000000E-DDF9-4A66-B15B-FB07E7DFF83A}"/>
            </c:ext>
          </c:extLst>
        </c:ser>
        <c:dLbls>
          <c:showLegendKey val="0"/>
          <c:showVal val="0"/>
          <c:showCatName val="0"/>
          <c:showSerName val="0"/>
          <c:showPercent val="0"/>
          <c:showBubbleSize val="0"/>
          <c:showLeaderLines val="1"/>
        </c:dLbls>
        <c:firstSliceAng val="130"/>
        <c:extLst>
          <c:ext xmlns:c15="http://schemas.microsoft.com/office/drawing/2012/chart" uri="{02D57815-91ED-43cb-92C2-25804820EDAC}">
            <c15:filteredPieSeries>
              <c15:ser>
                <c:idx val="0"/>
                <c:order val="0"/>
                <c:tx>
                  <c:strRef>
                    <c:extLst>
                      <c:ext uri="{02D57815-91ED-43cb-92C2-25804820EDAC}">
                        <c15:formulaRef>
                          <c15:sqref>'Figure (NEW)'!$B$19</c15:sqref>
                        </c15:formulaRef>
                      </c:ext>
                    </c:extLst>
                    <c:strCache>
                      <c:ptCount val="1"/>
                      <c:pt idx="0">
                        <c:v>Ages 00 to 14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0-DDF9-4A66-B15B-FB07E7DFF8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DDF9-4A66-B15B-FB07E7DFF8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DDF9-4A66-B15B-FB07E7DFF8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DDF9-4A66-B15B-FB07E7DFF83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DDF9-4A66-B15B-FB07E7DFF83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DDF9-4A66-B15B-FB07E7DFF83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DDF9-4A66-B15B-FB07E7DFF83A}"/>
                    </c:ext>
                  </c:extLst>
                </c:dPt>
                <c:cat>
                  <c:strRef>
                    <c:extLst>
                      <c:ext uri="{02D57815-91ED-43cb-92C2-25804820EDAC}">
                        <c15:formulaRef>
                          <c15:sqref>'Figure (NEW)'!$A$20:$A$26</c15:sqref>
                        </c15:formulaRef>
                      </c:ext>
                    </c:extLst>
                    <c:strCache>
                      <c:ptCount val="7"/>
                      <c:pt idx="0">
                        <c:v>Undocumented</c:v>
                      </c:pt>
                      <c:pt idx="1">
                        <c:v>Parent/Caretaker Relative &amp; Child</c:v>
                      </c:pt>
                      <c:pt idx="2">
                        <c:v>Other</c:v>
                      </c:pt>
                      <c:pt idx="3">
                        <c:v>ACA Expansion Adult Age 19 to 64</c:v>
                      </c:pt>
                      <c:pt idx="4">
                        <c:v>Adoption/Foster Care</c:v>
                      </c:pt>
                      <c:pt idx="5">
                        <c:v>Dual</c:v>
                      </c:pt>
                      <c:pt idx="6">
                        <c:v>Seniors and Persons with Disabilities</c:v>
                      </c:pt>
                    </c:strCache>
                  </c:strRef>
                </c:cat>
                <c:val>
                  <c:numRef>
                    <c:extLst>
                      <c:ext uri="{02D57815-91ED-43cb-92C2-25804820EDAC}">
                        <c15:formulaRef>
                          <c15:sqref>'Figure (NEW)'!$B$20:$B$26</c15:sqref>
                        </c15:formulaRef>
                      </c:ext>
                    </c:extLst>
                    <c:numCache>
                      <c:formatCode>_(* #,##0_);_(* \(#,##0\);_(* "-"??_);_(@_)</c:formatCode>
                      <c:ptCount val="7"/>
                      <c:pt idx="0">
                        <c:v>21406</c:v>
                      </c:pt>
                      <c:pt idx="1">
                        <c:v>46987</c:v>
                      </c:pt>
                      <c:pt idx="2">
                        <c:v>8836</c:v>
                      </c:pt>
                      <c:pt idx="4">
                        <c:v>24625</c:v>
                      </c:pt>
                      <c:pt idx="5">
                        <c:v>14</c:v>
                      </c:pt>
                      <c:pt idx="6">
                        <c:v>5021</c:v>
                      </c:pt>
                    </c:numCache>
                  </c:numRef>
                </c:val>
                <c:extLst>
                  <c:ext xmlns:c16="http://schemas.microsoft.com/office/drawing/2014/chart" uri="{C3380CC4-5D6E-409C-BE32-E72D297353CC}">
                    <c16:uniqueId val="{0000001D-DDF9-4A66-B15B-FB07E7DFF83A}"/>
                  </c:ext>
                </c:extLst>
              </c15:ser>
            </c15:filteredPieSeries>
          </c:ext>
        </c:extLst>
      </c:pieChart>
      <c:spPr>
        <a:noFill/>
        <a:ln>
          <a:noFill/>
        </a:ln>
        <a:effectLst/>
      </c:spPr>
    </c:plotArea>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34046845325311"/>
          <c:y val="5.1671353580802402E-2"/>
          <c:w val="0.86509722511944231"/>
          <c:h val="0.57280741834933591"/>
        </c:manualLayout>
      </c:layout>
      <c:barChart>
        <c:barDir val="col"/>
        <c:grouping val="clustered"/>
        <c:varyColors val="0"/>
        <c:ser>
          <c:idx val="0"/>
          <c:order val="0"/>
          <c:tx>
            <c:strRef>
              <c:f>Sheet1!$B$1</c:f>
              <c:strCache>
                <c:ptCount val="1"/>
                <c:pt idx="0">
                  <c:v>2013-14 (n = 1,605,765)</c:v>
                </c:pt>
              </c:strCache>
            </c:strRef>
          </c:tx>
          <c:spPr>
            <a:ln>
              <a:solidFill>
                <a:sysClr val="windowText" lastClr="000000"/>
              </a:solidFill>
            </a:ln>
          </c:spPr>
          <c:invertIfNegative val="0"/>
          <c:dPt>
            <c:idx val="4"/>
            <c:invertIfNegative val="0"/>
            <c:bubble3D val="0"/>
            <c:extLst>
              <c:ext xmlns:c16="http://schemas.microsoft.com/office/drawing/2014/chart" uri="{C3380CC4-5D6E-409C-BE32-E72D297353CC}">
                <c16:uniqueId val="{00000000-FBE1-4D91-AFE3-08E62E4BC451}"/>
              </c:ext>
            </c:extLst>
          </c:dPt>
          <c:dPt>
            <c:idx val="5"/>
            <c:invertIfNegative val="0"/>
            <c:bubble3D val="0"/>
            <c:extLst>
              <c:ext xmlns:c16="http://schemas.microsoft.com/office/drawing/2014/chart" uri="{C3380CC4-5D6E-409C-BE32-E72D297353CC}">
                <c16:uniqueId val="{00000001-FBE1-4D91-AFE3-08E62E4BC451}"/>
              </c:ext>
            </c:extLst>
          </c:dPt>
          <c:dPt>
            <c:idx val="6"/>
            <c:invertIfNegative val="0"/>
            <c:bubble3D val="0"/>
            <c:extLst>
              <c:ext xmlns:c16="http://schemas.microsoft.com/office/drawing/2014/chart" uri="{C3380CC4-5D6E-409C-BE32-E72D297353CC}">
                <c16:uniqueId val="{00000002-FBE1-4D91-AFE3-08E62E4BC451}"/>
              </c:ext>
            </c:extLst>
          </c:dPt>
          <c:dPt>
            <c:idx val="7"/>
            <c:invertIfNegative val="0"/>
            <c:bubble3D val="0"/>
            <c:extLst>
              <c:ext xmlns:c16="http://schemas.microsoft.com/office/drawing/2014/chart" uri="{C3380CC4-5D6E-409C-BE32-E72D297353CC}">
                <c16:uniqueId val="{00000003-FBE1-4D91-AFE3-08E62E4BC451}"/>
              </c:ext>
            </c:extLst>
          </c:dPt>
          <c:dPt>
            <c:idx val="8"/>
            <c:invertIfNegative val="0"/>
            <c:bubble3D val="0"/>
            <c:extLst>
              <c:ext xmlns:c16="http://schemas.microsoft.com/office/drawing/2014/chart" uri="{C3380CC4-5D6E-409C-BE32-E72D297353CC}">
                <c16:uniqueId val="{00000004-FBE1-4D91-AFE3-08E62E4BC451}"/>
              </c:ext>
            </c:extLst>
          </c:dPt>
          <c:dLbls>
            <c:dLbl>
              <c:idx val="3"/>
              <c:layout>
                <c:manualLayout>
                  <c:x val="-1.9150973507819982E-2"/>
                  <c:y val="-3.97456279809228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88-4927-A7CD-6BE1EA995CDF}"/>
                </c:ext>
              </c:extLst>
            </c:dLbl>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Bay Area</c:v>
                </c:pt>
                <c:pt idx="1">
                  <c:v>Central Coast</c:v>
                </c:pt>
                <c:pt idx="2">
                  <c:v>Sierra Range/ Foothills</c:v>
                </c:pt>
                <c:pt idx="3">
                  <c:v>Central Valley</c:v>
                </c:pt>
                <c:pt idx="4">
                  <c:v>Los Angeles</c:v>
                </c:pt>
                <c:pt idx="5">
                  <c:v>Far North</c:v>
                </c:pt>
                <c:pt idx="6">
                  <c:v>North Coast</c:v>
                </c:pt>
                <c:pt idx="7">
                  <c:v>Sacramento Valley</c:v>
                </c:pt>
                <c:pt idx="8">
                  <c:v>Southern California</c:v>
                </c:pt>
              </c:strCache>
            </c:strRef>
          </c:cat>
          <c:val>
            <c:numRef>
              <c:f>Sheet1!$B$2:$B$10</c:f>
              <c:numCache>
                <c:formatCode>0.0%</c:formatCode>
                <c:ptCount val="9"/>
                <c:pt idx="0">
                  <c:v>0.14560225188617262</c:v>
                </c:pt>
                <c:pt idx="1">
                  <c:v>2.8416362294607242E-2</c:v>
                </c:pt>
                <c:pt idx="2">
                  <c:v>2.0242688064567357E-2</c:v>
                </c:pt>
                <c:pt idx="3">
                  <c:v>0.13574090853892071</c:v>
                </c:pt>
                <c:pt idx="4">
                  <c:v>0.39125214461642893</c:v>
                </c:pt>
                <c:pt idx="5">
                  <c:v>9.9142776184560008E-4</c:v>
                </c:pt>
                <c:pt idx="6">
                  <c:v>1.8900648600511283E-3</c:v>
                </c:pt>
                <c:pt idx="7">
                  <c:v>6.3823784924942312E-2</c:v>
                </c:pt>
                <c:pt idx="8">
                  <c:v>0.2120403670524641</c:v>
                </c:pt>
              </c:numCache>
            </c:numRef>
          </c:val>
          <c:extLst>
            <c:ext xmlns:c16="http://schemas.microsoft.com/office/drawing/2014/chart" uri="{C3380CC4-5D6E-409C-BE32-E72D297353CC}">
              <c16:uniqueId val="{00000005-FBE1-4D91-AFE3-08E62E4BC451}"/>
            </c:ext>
          </c:extLst>
        </c:ser>
        <c:ser>
          <c:idx val="1"/>
          <c:order val="1"/>
          <c:tx>
            <c:strRef>
              <c:f>Sheet1!$C$1</c:f>
              <c:strCache>
                <c:ptCount val="1"/>
                <c:pt idx="0">
                  <c:v>2014-15 (n = 1,520,144)</c:v>
                </c:pt>
              </c:strCache>
            </c:strRef>
          </c:tx>
          <c:spPr>
            <a:ln>
              <a:solidFill>
                <a:sysClr val="windowText" lastClr="000000"/>
              </a:solidFill>
            </a:ln>
          </c:spPr>
          <c:invertIfNegative val="0"/>
          <c:dLbls>
            <c:dLbl>
              <c:idx val="0"/>
              <c:layout>
                <c:manualLayout>
                  <c:x val="0"/>
                  <c:y val="-1.9872813990461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E1-4D91-AFE3-08E62E4BC451}"/>
                </c:ext>
              </c:extLst>
            </c:dLbl>
            <c:dLbl>
              <c:idx val="1"/>
              <c:layout>
                <c:manualLayout>
                  <c:x val="1.27673156718799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E1-4D91-AFE3-08E62E4BC451}"/>
                </c:ext>
              </c:extLst>
            </c:dLbl>
            <c:dLbl>
              <c:idx val="2"/>
              <c:layout>
                <c:manualLayout>
                  <c:x val="2.1278859453133313E-2"/>
                  <c:y val="-1.19236883942765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E1-4D91-AFE3-08E62E4BC451}"/>
                </c:ext>
              </c:extLst>
            </c:dLbl>
            <c:dLbl>
              <c:idx val="3"/>
              <c:layout>
                <c:manualLayout>
                  <c:x val="6.38365783593999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E1-4D91-AFE3-08E62E4BC451}"/>
                </c:ext>
              </c:extLst>
            </c:dLbl>
            <c:dLbl>
              <c:idx val="4"/>
              <c:layout>
                <c:manualLayout>
                  <c:x val="1.2767315671879987E-2"/>
                  <c:y val="-1.821653571894752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BE1-4D91-AFE3-08E62E4BC451}"/>
                </c:ext>
              </c:extLst>
            </c:dLbl>
            <c:dLbl>
              <c:idx val="5"/>
              <c:layout>
                <c:manualLayout>
                  <c:x val="1.06394297265665E-2"/>
                  <c:y val="-2.78219395866454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BE1-4D91-AFE3-08E62E4BC451}"/>
                </c:ext>
              </c:extLst>
            </c:dLbl>
            <c:dLbl>
              <c:idx val="6"/>
              <c:layout>
                <c:manualLayout>
                  <c:x val="8.5115437812531679E-3"/>
                  <c:y val="-2.78219395866454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BE1-4D91-AFE3-08E62E4BC451}"/>
                </c:ext>
              </c:extLst>
            </c:dLbl>
            <c:dLbl>
              <c:idx val="7"/>
              <c:layout>
                <c:manualLayout>
                  <c:x val="1.27673156718799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BE1-4D91-AFE3-08E62E4BC451}"/>
                </c:ext>
              </c:extLst>
            </c:dLbl>
            <c:dLbl>
              <c:idx val="8"/>
              <c:layout>
                <c:manualLayout>
                  <c:x val="0"/>
                  <c:y val="-1.98728139904610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BE1-4D91-AFE3-08E62E4BC451}"/>
                </c:ext>
              </c:extLst>
            </c:dLbl>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Bay Area</c:v>
                </c:pt>
                <c:pt idx="1">
                  <c:v>Central Coast</c:v>
                </c:pt>
                <c:pt idx="2">
                  <c:v>Sierra Range/ Foothills</c:v>
                </c:pt>
                <c:pt idx="3">
                  <c:v>Central Valley</c:v>
                </c:pt>
                <c:pt idx="4">
                  <c:v>Los Angeles</c:v>
                </c:pt>
                <c:pt idx="5">
                  <c:v>Far North</c:v>
                </c:pt>
                <c:pt idx="6">
                  <c:v>North Coast</c:v>
                </c:pt>
                <c:pt idx="7">
                  <c:v>Sacramento Valley</c:v>
                </c:pt>
                <c:pt idx="8">
                  <c:v>Southern California</c:v>
                </c:pt>
              </c:strCache>
            </c:strRef>
          </c:cat>
          <c:val>
            <c:numRef>
              <c:f>Sheet1!$C$2:$C$10</c:f>
              <c:numCache>
                <c:formatCode>0.0%</c:formatCode>
                <c:ptCount val="9"/>
                <c:pt idx="0">
                  <c:v>0.16303455462114116</c:v>
                </c:pt>
                <c:pt idx="1">
                  <c:v>3.8931180203980675E-2</c:v>
                </c:pt>
                <c:pt idx="2">
                  <c:v>1.7734504099611616E-2</c:v>
                </c:pt>
                <c:pt idx="3">
                  <c:v>0.15942173899314802</c:v>
                </c:pt>
                <c:pt idx="4">
                  <c:v>0.33050816238461622</c:v>
                </c:pt>
                <c:pt idx="5">
                  <c:v>1.1801513540822448E-3</c:v>
                </c:pt>
                <c:pt idx="6">
                  <c:v>2.5477849466892608E-3</c:v>
                </c:pt>
                <c:pt idx="7">
                  <c:v>6.6491727099537934E-2</c:v>
                </c:pt>
                <c:pt idx="8">
                  <c:v>0.2201501962971929</c:v>
                </c:pt>
              </c:numCache>
            </c:numRef>
          </c:val>
          <c:extLst>
            <c:ext xmlns:c16="http://schemas.microsoft.com/office/drawing/2014/chart" uri="{C3380CC4-5D6E-409C-BE32-E72D297353CC}">
              <c16:uniqueId val="{0000000F-FBE1-4D91-AFE3-08E62E4BC451}"/>
            </c:ext>
          </c:extLst>
        </c:ser>
        <c:dLbls>
          <c:dLblPos val="outEnd"/>
          <c:showLegendKey val="0"/>
          <c:showVal val="1"/>
          <c:showCatName val="0"/>
          <c:showSerName val="0"/>
          <c:showPercent val="0"/>
          <c:showBubbleSize val="0"/>
        </c:dLbls>
        <c:gapWidth val="100"/>
        <c:axId val="145300864"/>
        <c:axId val="145306752"/>
      </c:barChart>
      <c:catAx>
        <c:axId val="145300864"/>
        <c:scaling>
          <c:orientation val="minMax"/>
        </c:scaling>
        <c:delete val="0"/>
        <c:axPos val="b"/>
        <c:numFmt formatCode="General" sourceLinked="1"/>
        <c:majorTickMark val="out"/>
        <c:minorTickMark val="none"/>
        <c:tickLblPos val="nextTo"/>
        <c:crossAx val="145306752"/>
        <c:crosses val="autoZero"/>
        <c:auto val="1"/>
        <c:lblAlgn val="ctr"/>
        <c:lblOffset val="100"/>
        <c:noMultiLvlLbl val="0"/>
      </c:catAx>
      <c:valAx>
        <c:axId val="145306752"/>
        <c:scaling>
          <c:orientation val="minMax"/>
        </c:scaling>
        <c:delete val="0"/>
        <c:axPos val="l"/>
        <c:numFmt formatCode="0%" sourceLinked="0"/>
        <c:majorTickMark val="out"/>
        <c:minorTickMark val="none"/>
        <c:tickLblPos val="nextTo"/>
        <c:crossAx val="145300864"/>
        <c:crosses val="autoZero"/>
        <c:crossBetween val="between"/>
      </c:valAx>
      <c:spPr>
        <a:solidFill>
          <a:sysClr val="window" lastClr="FFFFFF">
            <a:lumMod val="95000"/>
          </a:sysClr>
        </a:solidFill>
      </c:spPr>
    </c:plotArea>
    <c:legend>
      <c:legendPos val="b"/>
      <c:overlay val="0"/>
    </c:legend>
    <c:plotVisOnly val="1"/>
    <c:dispBlanksAs val="gap"/>
    <c:showDLblsOverMax val="0"/>
  </c:chart>
  <c:spPr>
    <a:solidFill>
      <a:schemeClr val="bg1">
        <a:lumMod val="95000"/>
      </a:schemeClr>
    </a:soli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541340890419182E-2"/>
          <c:y val="2.4254847714782871E-2"/>
          <c:w val="0.90956984543598718"/>
          <c:h val="0.70331641275365209"/>
        </c:manualLayout>
      </c:layout>
      <c:barChart>
        <c:barDir val="col"/>
        <c:grouping val="clustered"/>
        <c:varyColors val="0"/>
        <c:ser>
          <c:idx val="0"/>
          <c:order val="0"/>
          <c:tx>
            <c:strRef>
              <c:f>Sheet1!$B$1</c:f>
              <c:strCache>
                <c:ptCount val="1"/>
                <c:pt idx="0">
                  <c:v>2013-14 (n = 1,605,765)</c:v>
                </c:pt>
              </c:strCache>
            </c:strRef>
          </c:tx>
          <c:spPr>
            <a:ln>
              <a:solidFill>
                <a:schemeClr val="tx1"/>
              </a:solidFill>
            </a:ln>
          </c:spPr>
          <c:invertIfNegative val="0"/>
          <c:dPt>
            <c:idx val="0"/>
            <c:invertIfNegative val="0"/>
            <c:bubble3D val="0"/>
            <c:extLst>
              <c:ext xmlns:c16="http://schemas.microsoft.com/office/drawing/2014/chart" uri="{C3380CC4-5D6E-409C-BE32-E72D297353CC}">
                <c16:uniqueId val="{00000000-45C4-4F2E-8ADE-9397A2042F22}"/>
              </c:ext>
            </c:extLst>
          </c:dPt>
          <c:dPt>
            <c:idx val="1"/>
            <c:invertIfNegative val="0"/>
            <c:bubble3D val="0"/>
            <c:extLst>
              <c:ext xmlns:c16="http://schemas.microsoft.com/office/drawing/2014/chart" uri="{C3380CC4-5D6E-409C-BE32-E72D297353CC}">
                <c16:uniqueId val="{00000001-45C4-4F2E-8ADE-9397A2042F22}"/>
              </c:ext>
            </c:extLst>
          </c:dPt>
          <c:dPt>
            <c:idx val="2"/>
            <c:invertIfNegative val="0"/>
            <c:bubble3D val="0"/>
            <c:extLst>
              <c:ext xmlns:c16="http://schemas.microsoft.com/office/drawing/2014/chart" uri="{C3380CC4-5D6E-409C-BE32-E72D297353CC}">
                <c16:uniqueId val="{00000002-45C4-4F2E-8ADE-9397A2042F22}"/>
              </c:ext>
            </c:extLst>
          </c:dPt>
          <c:dPt>
            <c:idx val="3"/>
            <c:invertIfNegative val="0"/>
            <c:bubble3D val="0"/>
            <c:extLst>
              <c:ext xmlns:c16="http://schemas.microsoft.com/office/drawing/2014/chart" uri="{C3380CC4-5D6E-409C-BE32-E72D297353CC}">
                <c16:uniqueId val="{00000003-45C4-4F2E-8ADE-9397A2042F22}"/>
              </c:ext>
            </c:extLst>
          </c:dPt>
          <c:dPt>
            <c:idx val="4"/>
            <c:invertIfNegative val="0"/>
            <c:bubble3D val="0"/>
            <c:extLst>
              <c:ext xmlns:c16="http://schemas.microsoft.com/office/drawing/2014/chart" uri="{C3380CC4-5D6E-409C-BE32-E72D297353CC}">
                <c16:uniqueId val="{00000004-45C4-4F2E-8ADE-9397A2042F22}"/>
              </c:ext>
            </c:extLst>
          </c:dPt>
          <c:dPt>
            <c:idx val="5"/>
            <c:invertIfNegative val="0"/>
            <c:bubble3D val="0"/>
            <c:extLst>
              <c:ext xmlns:c16="http://schemas.microsoft.com/office/drawing/2014/chart" uri="{C3380CC4-5D6E-409C-BE32-E72D297353CC}">
                <c16:uniqueId val="{00000005-45C4-4F2E-8ADE-9397A2042F22}"/>
              </c:ext>
            </c:extLst>
          </c:dPt>
          <c:dLbls>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Hispanic</c:v>
                </c:pt>
                <c:pt idx="1">
                  <c:v>White</c:v>
                </c:pt>
                <c:pt idx="2">
                  <c:v>Not Reported</c:v>
                </c:pt>
                <c:pt idx="3">
                  <c:v>African-American</c:v>
                </c:pt>
                <c:pt idx="4">
                  <c:v>Asian</c:v>
                </c:pt>
                <c:pt idx="5">
                  <c:v>AI/AN</c:v>
                </c:pt>
              </c:strCache>
            </c:strRef>
          </c:cat>
          <c:val>
            <c:numRef>
              <c:f>Sheet1!$B$2:$B$7</c:f>
              <c:numCache>
                <c:formatCode>0.0%</c:formatCode>
                <c:ptCount val="6"/>
                <c:pt idx="0">
                  <c:v>0.52099653436212645</c:v>
                </c:pt>
                <c:pt idx="1">
                  <c:v>0.19851410386949522</c:v>
                </c:pt>
                <c:pt idx="2">
                  <c:v>0.10802327862420716</c:v>
                </c:pt>
                <c:pt idx="3">
                  <c:v>6.2205241738361464E-2</c:v>
                </c:pt>
                <c:pt idx="4">
                  <c:v>0.10694777878456686</c:v>
                </c:pt>
                <c:pt idx="5">
                  <c:v>3.3130626212428344E-3</c:v>
                </c:pt>
              </c:numCache>
            </c:numRef>
          </c:val>
          <c:extLst>
            <c:ext xmlns:c16="http://schemas.microsoft.com/office/drawing/2014/chart" uri="{C3380CC4-5D6E-409C-BE32-E72D297353CC}">
              <c16:uniqueId val="{00000006-45C4-4F2E-8ADE-9397A2042F22}"/>
            </c:ext>
          </c:extLst>
        </c:ser>
        <c:ser>
          <c:idx val="1"/>
          <c:order val="1"/>
          <c:tx>
            <c:strRef>
              <c:f>Sheet1!$C$1</c:f>
              <c:strCache>
                <c:ptCount val="1"/>
                <c:pt idx="0">
                  <c:v>2014-15 (n = 1,520,144)</c:v>
                </c:pt>
              </c:strCache>
            </c:strRef>
          </c:tx>
          <c:spPr>
            <a:ln>
              <a:solidFill>
                <a:sysClr val="windowText" lastClr="000000"/>
              </a:solidFill>
            </a:ln>
          </c:spPr>
          <c:invertIfNegative val="0"/>
          <c:dLbls>
            <c:dLbl>
              <c:idx val="1"/>
              <c:layout>
                <c:manualLayout>
                  <c:x val="8.526057764041351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C4-4F2E-8ADE-9397A2042F22}"/>
                </c:ext>
              </c:extLst>
            </c:dLbl>
            <c:dLbl>
              <c:idx val="2"/>
              <c:layout>
                <c:manualLayout>
                  <c:x val="8.5260577640413511E-3"/>
                  <c:y val="-7.28661428757901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C4-4F2E-8ADE-9397A2042F22}"/>
                </c:ext>
              </c:extLst>
            </c:dLbl>
            <c:dLbl>
              <c:idx val="4"/>
              <c:layout>
                <c:manualLayout>
                  <c:x val="6.394543323031013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C4-4F2E-8ADE-9397A2042F22}"/>
                </c:ext>
              </c:extLst>
            </c:dLbl>
            <c:dLbl>
              <c:idx val="5"/>
              <c:layout>
                <c:manualLayout>
                  <c:x val="6.3945433230310133E-3"/>
                  <c:y val="-7.28661428757901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C4-4F2E-8ADE-9397A2042F22}"/>
                </c:ext>
              </c:extLst>
            </c:dLbl>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Hispanic</c:v>
                </c:pt>
                <c:pt idx="1">
                  <c:v>White</c:v>
                </c:pt>
                <c:pt idx="2">
                  <c:v>Not Reported</c:v>
                </c:pt>
                <c:pt idx="3">
                  <c:v>African-American</c:v>
                </c:pt>
                <c:pt idx="4">
                  <c:v>Asian</c:v>
                </c:pt>
                <c:pt idx="5">
                  <c:v>AI/AN</c:v>
                </c:pt>
              </c:strCache>
            </c:strRef>
          </c:cat>
          <c:val>
            <c:numRef>
              <c:f>Sheet1!$C$2:$C$7</c:f>
              <c:numCache>
                <c:formatCode>0.0%</c:formatCode>
                <c:ptCount val="6"/>
                <c:pt idx="0">
                  <c:v>0.58130874443473779</c:v>
                </c:pt>
                <c:pt idx="1">
                  <c:v>0.16598822216842615</c:v>
                </c:pt>
                <c:pt idx="2">
                  <c:v>0.10086675999115874</c:v>
                </c:pt>
                <c:pt idx="3">
                  <c:v>5.5538159542780158E-2</c:v>
                </c:pt>
                <c:pt idx="4">
                  <c:v>9.2670168089338908E-2</c:v>
                </c:pt>
                <c:pt idx="5">
                  <c:v>3.6279457735582943E-3</c:v>
                </c:pt>
              </c:numCache>
            </c:numRef>
          </c:val>
          <c:extLst>
            <c:ext xmlns:c16="http://schemas.microsoft.com/office/drawing/2014/chart" uri="{C3380CC4-5D6E-409C-BE32-E72D297353CC}">
              <c16:uniqueId val="{0000000B-45C4-4F2E-8ADE-9397A2042F22}"/>
            </c:ext>
          </c:extLst>
        </c:ser>
        <c:dLbls>
          <c:dLblPos val="outEnd"/>
          <c:showLegendKey val="0"/>
          <c:showVal val="1"/>
          <c:showCatName val="0"/>
          <c:showSerName val="0"/>
          <c:showPercent val="0"/>
          <c:showBubbleSize val="0"/>
        </c:dLbls>
        <c:gapWidth val="150"/>
        <c:overlap val="1"/>
        <c:axId val="126057856"/>
        <c:axId val="126060032"/>
      </c:barChart>
      <c:catAx>
        <c:axId val="126057856"/>
        <c:scaling>
          <c:orientation val="minMax"/>
        </c:scaling>
        <c:delete val="0"/>
        <c:axPos val="b"/>
        <c:title>
          <c:tx>
            <c:rich>
              <a:bodyPr/>
              <a:lstStyle/>
              <a:p>
                <a:pPr>
                  <a:defRPr sz="1200" b="1"/>
                </a:pPr>
                <a:r>
                  <a:rPr lang="en-US" sz="1100" b="1"/>
                  <a:t>Race/Ethnicity</a:t>
                </a:r>
                <a:endParaRPr lang="en-US" sz="1200" b="1"/>
              </a:p>
            </c:rich>
          </c:tx>
          <c:layout>
            <c:manualLayout>
              <c:xMode val="edge"/>
              <c:yMode val="edge"/>
              <c:x val="0.43115300665217127"/>
              <c:y val="0.81418418186597896"/>
            </c:manualLayout>
          </c:layout>
          <c:overlay val="0"/>
        </c:title>
        <c:numFmt formatCode="General" sourceLinked="0"/>
        <c:majorTickMark val="out"/>
        <c:minorTickMark val="none"/>
        <c:tickLblPos val="nextTo"/>
        <c:txPr>
          <a:bodyPr rot="0" vert="horz"/>
          <a:lstStyle/>
          <a:p>
            <a:pPr>
              <a:defRPr sz="900"/>
            </a:pPr>
            <a:endParaRPr lang="en-US"/>
          </a:p>
        </c:txPr>
        <c:crossAx val="126060032"/>
        <c:crosses val="autoZero"/>
        <c:auto val="1"/>
        <c:lblAlgn val="ctr"/>
        <c:lblOffset val="100"/>
        <c:noMultiLvlLbl val="0"/>
      </c:catAx>
      <c:valAx>
        <c:axId val="126060032"/>
        <c:scaling>
          <c:orientation val="minMax"/>
        </c:scaling>
        <c:delete val="0"/>
        <c:axPos val="l"/>
        <c:numFmt formatCode="0%" sourceLinked="0"/>
        <c:majorTickMark val="out"/>
        <c:minorTickMark val="none"/>
        <c:tickLblPos val="nextTo"/>
        <c:crossAx val="126057856"/>
        <c:crosses val="autoZero"/>
        <c:crossBetween val="between"/>
      </c:valAx>
      <c:spPr>
        <a:solidFill>
          <a:sysClr val="window" lastClr="FFFFFF">
            <a:lumMod val="95000"/>
          </a:sysClr>
        </a:solidFill>
      </c:spPr>
    </c:plotArea>
    <c:legend>
      <c:legendPos val="b"/>
      <c:overlay val="0"/>
    </c:legend>
    <c:plotVisOnly val="1"/>
    <c:dispBlanksAs val="gap"/>
    <c:showDLblsOverMax val="0"/>
  </c:chart>
  <c:spPr>
    <a:solidFill>
      <a:schemeClr val="bg1">
        <a:lumMod val="95000"/>
      </a:schemeClr>
    </a:solid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8967621562273"/>
          <c:y val="5.0236845394325706E-2"/>
          <c:w val="0.86969396415268452"/>
          <c:h val="0.73708173203309846"/>
        </c:manualLayout>
      </c:layout>
      <c:barChart>
        <c:barDir val="col"/>
        <c:grouping val="clustered"/>
        <c:varyColors val="0"/>
        <c:ser>
          <c:idx val="0"/>
          <c:order val="0"/>
          <c:tx>
            <c:strRef>
              <c:f>Sheet1!$B$1</c:f>
              <c:strCache>
                <c:ptCount val="1"/>
                <c:pt idx="0">
                  <c:v>2013-14 (n = 1,605,765)</c:v>
                </c:pt>
              </c:strCache>
            </c:strRef>
          </c:tx>
          <c:spPr>
            <a:ln>
              <a:solidFill>
                <a:sysClr val="windowText" lastClr="000000"/>
              </a:solidFill>
            </a:ln>
          </c:spPr>
          <c:invertIfNegative val="0"/>
          <c:dPt>
            <c:idx val="0"/>
            <c:invertIfNegative val="0"/>
            <c:bubble3D val="0"/>
            <c:extLst>
              <c:ext xmlns:c16="http://schemas.microsoft.com/office/drawing/2014/chart" uri="{C3380CC4-5D6E-409C-BE32-E72D297353CC}">
                <c16:uniqueId val="{00000000-2D52-47A2-A559-F53D0BC4A513}"/>
              </c:ext>
            </c:extLst>
          </c:dPt>
          <c:dPt>
            <c:idx val="1"/>
            <c:invertIfNegative val="0"/>
            <c:bubble3D val="0"/>
            <c:extLst>
              <c:ext xmlns:c16="http://schemas.microsoft.com/office/drawing/2014/chart" uri="{C3380CC4-5D6E-409C-BE32-E72D297353CC}">
                <c16:uniqueId val="{00000001-2D52-47A2-A559-F53D0BC4A513}"/>
              </c:ext>
            </c:extLst>
          </c:dPt>
          <c:dPt>
            <c:idx val="2"/>
            <c:invertIfNegative val="0"/>
            <c:bubble3D val="0"/>
            <c:extLst>
              <c:ext xmlns:c16="http://schemas.microsoft.com/office/drawing/2014/chart" uri="{C3380CC4-5D6E-409C-BE32-E72D297353CC}">
                <c16:uniqueId val="{00000002-2D52-47A2-A559-F53D0BC4A513}"/>
              </c:ext>
            </c:extLst>
          </c:dPt>
          <c:dPt>
            <c:idx val="3"/>
            <c:invertIfNegative val="0"/>
            <c:bubble3D val="0"/>
            <c:extLst>
              <c:ext xmlns:c16="http://schemas.microsoft.com/office/drawing/2014/chart" uri="{C3380CC4-5D6E-409C-BE32-E72D297353CC}">
                <c16:uniqueId val="{00000003-2D52-47A2-A559-F53D0BC4A513}"/>
              </c:ext>
            </c:extLst>
          </c:dPt>
          <c:dLbls>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Other</c:v>
                </c:pt>
                <c:pt idx="1">
                  <c:v>Unknown</c:v>
                </c:pt>
                <c:pt idx="2">
                  <c:v>English</c:v>
                </c:pt>
                <c:pt idx="3">
                  <c:v>Spanish</c:v>
                </c:pt>
              </c:strCache>
            </c:strRef>
          </c:cat>
          <c:val>
            <c:numRef>
              <c:f>Sheet1!$B$2:$B$5</c:f>
              <c:numCache>
                <c:formatCode>0.0%</c:formatCode>
                <c:ptCount val="4"/>
                <c:pt idx="0">
                  <c:v>0.10562442200446516</c:v>
                </c:pt>
                <c:pt idx="1">
                  <c:v>4.6218469078601165E-2</c:v>
                </c:pt>
                <c:pt idx="2">
                  <c:v>0.3986068945331353</c:v>
                </c:pt>
                <c:pt idx="3">
                  <c:v>0.44955021438379839</c:v>
                </c:pt>
              </c:numCache>
            </c:numRef>
          </c:val>
          <c:extLst>
            <c:ext xmlns:c16="http://schemas.microsoft.com/office/drawing/2014/chart" uri="{C3380CC4-5D6E-409C-BE32-E72D297353CC}">
              <c16:uniqueId val="{00000004-2D52-47A2-A559-F53D0BC4A513}"/>
            </c:ext>
          </c:extLst>
        </c:ser>
        <c:ser>
          <c:idx val="1"/>
          <c:order val="1"/>
          <c:tx>
            <c:strRef>
              <c:f>Sheet1!$C$1</c:f>
              <c:strCache>
                <c:ptCount val="1"/>
                <c:pt idx="0">
                  <c:v>2014-15 (n = 1,520,144)</c:v>
                </c:pt>
              </c:strCache>
            </c:strRef>
          </c:tx>
          <c:spPr>
            <a:ln>
              <a:solidFill>
                <a:sysClr val="windowText" lastClr="000000"/>
              </a:solidFill>
            </a:ln>
          </c:spPr>
          <c:invertIfNegative val="0"/>
          <c:dLbls>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Other</c:v>
                </c:pt>
                <c:pt idx="1">
                  <c:v>Unknown</c:v>
                </c:pt>
                <c:pt idx="2">
                  <c:v>English</c:v>
                </c:pt>
                <c:pt idx="3">
                  <c:v>Spanish</c:v>
                </c:pt>
              </c:strCache>
            </c:strRef>
          </c:cat>
          <c:val>
            <c:numRef>
              <c:f>Sheet1!$C$2:$C$5</c:f>
              <c:numCache>
                <c:formatCode>0.0%</c:formatCode>
                <c:ptCount val="4"/>
                <c:pt idx="0">
                  <c:v>5.870167563072972E-2</c:v>
                </c:pt>
                <c:pt idx="1">
                  <c:v>2.5341678156806196E-2</c:v>
                </c:pt>
                <c:pt idx="2">
                  <c:v>0.41874651348819586</c:v>
                </c:pt>
                <c:pt idx="3">
                  <c:v>0.49721013272426823</c:v>
                </c:pt>
              </c:numCache>
            </c:numRef>
          </c:val>
          <c:extLst>
            <c:ext xmlns:c16="http://schemas.microsoft.com/office/drawing/2014/chart" uri="{C3380CC4-5D6E-409C-BE32-E72D297353CC}">
              <c16:uniqueId val="{00000005-2D52-47A2-A559-F53D0BC4A513}"/>
            </c:ext>
          </c:extLst>
        </c:ser>
        <c:dLbls>
          <c:dLblPos val="outEnd"/>
          <c:showLegendKey val="0"/>
          <c:showVal val="1"/>
          <c:showCatName val="0"/>
          <c:showSerName val="0"/>
          <c:showPercent val="0"/>
          <c:showBubbleSize val="0"/>
        </c:dLbls>
        <c:gapWidth val="100"/>
        <c:axId val="124408960"/>
        <c:axId val="124410496"/>
      </c:barChart>
      <c:catAx>
        <c:axId val="124408960"/>
        <c:scaling>
          <c:orientation val="minMax"/>
        </c:scaling>
        <c:delete val="0"/>
        <c:axPos val="b"/>
        <c:numFmt formatCode="General" sourceLinked="1"/>
        <c:majorTickMark val="out"/>
        <c:minorTickMark val="none"/>
        <c:tickLblPos val="nextTo"/>
        <c:crossAx val="124410496"/>
        <c:crosses val="autoZero"/>
        <c:auto val="1"/>
        <c:lblAlgn val="ctr"/>
        <c:lblOffset val="100"/>
        <c:noMultiLvlLbl val="0"/>
      </c:catAx>
      <c:valAx>
        <c:axId val="124410496"/>
        <c:scaling>
          <c:orientation val="minMax"/>
        </c:scaling>
        <c:delete val="0"/>
        <c:axPos val="l"/>
        <c:numFmt formatCode="0%" sourceLinked="0"/>
        <c:majorTickMark val="out"/>
        <c:minorTickMark val="none"/>
        <c:tickLblPos val="nextTo"/>
        <c:crossAx val="124408960"/>
        <c:crosses val="autoZero"/>
        <c:crossBetween val="between"/>
      </c:valAx>
      <c:spPr>
        <a:solidFill>
          <a:sysClr val="window" lastClr="FFFFFF">
            <a:lumMod val="95000"/>
          </a:sysClr>
        </a:solidFill>
      </c:spPr>
    </c:plotArea>
    <c:legend>
      <c:legendPos val="b"/>
      <c:overlay val="0"/>
    </c:legend>
    <c:plotVisOnly val="1"/>
    <c:dispBlanksAs val="gap"/>
    <c:showDLblsOverMax val="0"/>
  </c:chart>
  <c:spPr>
    <a:solidFill>
      <a:schemeClr val="bg1">
        <a:lumMod val="95000"/>
      </a:schemeClr>
    </a:solidFill>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'Participation Year Trend'!$C$3</c:f>
              <c:strCache>
                <c:ptCount val="1"/>
                <c:pt idx="0">
                  <c:v>SFY13-14</c:v>
                </c:pt>
              </c:strCache>
            </c:strRef>
          </c:tx>
          <c:invertIfNegative val="0"/>
          <c:cat>
            <c:strRef>
              <c:f>'Participation Year Trend'!$B$4:$B$13</c:f>
              <c:strCache>
                <c:ptCount val="10"/>
                <c:pt idx="0">
                  <c:v>STATEWIDE</c:v>
                </c:pt>
                <c:pt idx="1">
                  <c:v>Bay Area</c:v>
                </c:pt>
                <c:pt idx="2">
                  <c:v>Central Coast</c:v>
                </c:pt>
                <c:pt idx="3">
                  <c:v>Central Valley</c:v>
                </c:pt>
                <c:pt idx="4">
                  <c:v>Far North</c:v>
                </c:pt>
                <c:pt idx="5">
                  <c:v>Los Angeles</c:v>
                </c:pt>
                <c:pt idx="6">
                  <c:v>North Coast</c:v>
                </c:pt>
                <c:pt idx="7">
                  <c:v>Sacramento Valley</c:v>
                </c:pt>
                <c:pt idx="8">
                  <c:v>Sierra Range/Foothills</c:v>
                </c:pt>
                <c:pt idx="9">
                  <c:v>Southern California</c:v>
                </c:pt>
              </c:strCache>
            </c:strRef>
          </c:cat>
          <c:val>
            <c:numRef>
              <c:f>'Participation Year Trend'!$C$4:$C$13</c:f>
              <c:numCache>
                <c:formatCode>_(* #,##0_);_(* \(#,##0\);_(* "-"??_);_(@_)</c:formatCode>
                <c:ptCount val="10"/>
                <c:pt idx="0">
                  <c:v>34712</c:v>
                </c:pt>
                <c:pt idx="1">
                  <c:v>9091</c:v>
                </c:pt>
                <c:pt idx="2">
                  <c:v>1950</c:v>
                </c:pt>
                <c:pt idx="3">
                  <c:v>4345</c:v>
                </c:pt>
                <c:pt idx="4">
                  <c:v>390</c:v>
                </c:pt>
                <c:pt idx="5">
                  <c:v>10047</c:v>
                </c:pt>
                <c:pt idx="6">
                  <c:v>480</c:v>
                </c:pt>
                <c:pt idx="7">
                  <c:v>2688</c:v>
                </c:pt>
                <c:pt idx="8">
                  <c:v>1524</c:v>
                </c:pt>
                <c:pt idx="9">
                  <c:v>9494</c:v>
                </c:pt>
              </c:numCache>
            </c:numRef>
          </c:val>
          <c:extLst>
            <c:ext xmlns:c16="http://schemas.microsoft.com/office/drawing/2014/chart" uri="{C3380CC4-5D6E-409C-BE32-E72D297353CC}">
              <c16:uniqueId val="{00000000-D596-4081-AF22-46EA07D6B271}"/>
            </c:ext>
          </c:extLst>
        </c:ser>
        <c:ser>
          <c:idx val="1"/>
          <c:order val="1"/>
          <c:tx>
            <c:strRef>
              <c:f>'Participation Year Trend'!$D$3</c:f>
              <c:strCache>
                <c:ptCount val="1"/>
                <c:pt idx="0">
                  <c:v>SFY14-15</c:v>
                </c:pt>
              </c:strCache>
            </c:strRef>
          </c:tx>
          <c:invertIfNegative val="0"/>
          <c:cat>
            <c:strRef>
              <c:f>'Participation Year Trend'!$B$4:$B$13</c:f>
              <c:strCache>
                <c:ptCount val="10"/>
                <c:pt idx="0">
                  <c:v>STATEWIDE</c:v>
                </c:pt>
                <c:pt idx="1">
                  <c:v>Bay Area</c:v>
                </c:pt>
                <c:pt idx="2">
                  <c:v>Central Coast</c:v>
                </c:pt>
                <c:pt idx="3">
                  <c:v>Central Valley</c:v>
                </c:pt>
                <c:pt idx="4">
                  <c:v>Far North</c:v>
                </c:pt>
                <c:pt idx="5">
                  <c:v>Los Angeles</c:v>
                </c:pt>
                <c:pt idx="6">
                  <c:v>North Coast</c:v>
                </c:pt>
                <c:pt idx="7">
                  <c:v>Sacramento Valley</c:v>
                </c:pt>
                <c:pt idx="8">
                  <c:v>Sierra Range/Foothills</c:v>
                </c:pt>
                <c:pt idx="9">
                  <c:v>Southern California</c:v>
                </c:pt>
              </c:strCache>
            </c:strRef>
          </c:cat>
          <c:val>
            <c:numRef>
              <c:f>'Participation Year Trend'!$D$4:$D$13</c:f>
              <c:numCache>
                <c:formatCode>_(* #,##0_);_(* \(#,##0\);_(* "-"??_);_(@_)</c:formatCode>
                <c:ptCount val="10"/>
                <c:pt idx="0">
                  <c:v>36737</c:v>
                </c:pt>
                <c:pt idx="1">
                  <c:v>9512</c:v>
                </c:pt>
                <c:pt idx="2">
                  <c:v>2014</c:v>
                </c:pt>
                <c:pt idx="3">
                  <c:v>4527</c:v>
                </c:pt>
                <c:pt idx="4">
                  <c:v>354</c:v>
                </c:pt>
                <c:pt idx="5">
                  <c:v>11012</c:v>
                </c:pt>
                <c:pt idx="6">
                  <c:v>410</c:v>
                </c:pt>
                <c:pt idx="7">
                  <c:v>2712</c:v>
                </c:pt>
                <c:pt idx="8">
                  <c:v>1494</c:v>
                </c:pt>
                <c:pt idx="9">
                  <c:v>10095</c:v>
                </c:pt>
              </c:numCache>
            </c:numRef>
          </c:val>
          <c:extLst>
            <c:ext xmlns:c16="http://schemas.microsoft.com/office/drawing/2014/chart" uri="{C3380CC4-5D6E-409C-BE32-E72D297353CC}">
              <c16:uniqueId val="{00000001-D596-4081-AF22-46EA07D6B271}"/>
            </c:ext>
          </c:extLst>
        </c:ser>
        <c:dLbls>
          <c:showLegendKey val="0"/>
          <c:showVal val="0"/>
          <c:showCatName val="0"/>
          <c:showSerName val="0"/>
          <c:showPercent val="0"/>
          <c:showBubbleSize val="0"/>
        </c:dLbls>
        <c:gapWidth val="150"/>
        <c:axId val="145432576"/>
        <c:axId val="145434496"/>
      </c:barChart>
      <c:catAx>
        <c:axId val="145432576"/>
        <c:scaling>
          <c:orientation val="minMax"/>
        </c:scaling>
        <c:delete val="0"/>
        <c:axPos val="b"/>
        <c:title>
          <c:tx>
            <c:rich>
              <a:bodyPr/>
              <a:lstStyle/>
              <a:p>
                <a:pPr>
                  <a:defRPr/>
                </a:pPr>
                <a:r>
                  <a:rPr lang="en-US"/>
                  <a:t>Geographic</a:t>
                </a:r>
                <a:r>
                  <a:rPr lang="en-US" baseline="0"/>
                  <a:t> </a:t>
                </a:r>
                <a:r>
                  <a:rPr lang="en-US"/>
                  <a:t>Region</a:t>
                </a:r>
              </a:p>
            </c:rich>
          </c:tx>
          <c:overlay val="0"/>
        </c:title>
        <c:numFmt formatCode="General" sourceLinked="0"/>
        <c:majorTickMark val="out"/>
        <c:minorTickMark val="none"/>
        <c:tickLblPos val="nextTo"/>
        <c:crossAx val="145434496"/>
        <c:crosses val="autoZero"/>
        <c:auto val="1"/>
        <c:lblAlgn val="ctr"/>
        <c:lblOffset val="100"/>
        <c:noMultiLvlLbl val="0"/>
      </c:catAx>
      <c:valAx>
        <c:axId val="145434496"/>
        <c:scaling>
          <c:orientation val="minMax"/>
        </c:scaling>
        <c:delete val="0"/>
        <c:axPos val="l"/>
        <c:majorGridlines/>
        <c:title>
          <c:tx>
            <c:rich>
              <a:bodyPr rot="-5400000" vert="horz"/>
              <a:lstStyle/>
              <a:p>
                <a:pPr>
                  <a:defRPr b="1"/>
                </a:pPr>
                <a:r>
                  <a:rPr lang="en-US" b="1"/>
                  <a:t>Providers</a:t>
                </a:r>
              </a:p>
            </c:rich>
          </c:tx>
          <c:overlay val="0"/>
        </c:title>
        <c:numFmt formatCode="_(* #,##0_);_(* \(#,##0\);_(* &quot;-&quot;??_);_(@_)" sourceLinked="1"/>
        <c:majorTickMark val="out"/>
        <c:minorTickMark val="none"/>
        <c:tickLblPos val="nextTo"/>
        <c:crossAx val="145432576"/>
        <c:crosses val="autoZero"/>
        <c:crossBetween val="between"/>
      </c:valAx>
      <c:spPr>
        <a:solidFill>
          <a:schemeClr val="bg1">
            <a:lumMod val="95000"/>
          </a:schemeClr>
        </a:solidFill>
        <a:ln>
          <a:solidFill>
            <a:sysClr val="windowText" lastClr="000000"/>
          </a:solidFill>
        </a:ln>
      </c:spPr>
    </c:plotArea>
    <c:legend>
      <c:legendPos val="r"/>
      <c:overlay val="0"/>
    </c:legend>
    <c:plotVisOnly val="1"/>
    <c:dispBlanksAs val="gap"/>
    <c:showDLblsOverMax val="0"/>
  </c:chart>
  <c:spPr>
    <a:solidFill>
      <a:schemeClr val="bg1">
        <a:lumMod val="95000"/>
      </a:schemeClr>
    </a:solidFill>
    <a:ln>
      <a:solidFill>
        <a:sysClr val="windowText" lastClr="000000"/>
      </a:solid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'Participation Year Trend'!$C$16</c:f>
              <c:strCache>
                <c:ptCount val="1"/>
                <c:pt idx="0">
                  <c:v>SFY 13-14</c:v>
                </c:pt>
              </c:strCache>
            </c:strRef>
          </c:tx>
          <c:invertIfNegative val="0"/>
          <c:cat>
            <c:strRef>
              <c:f>'Participation Year Trend'!$B$17:$B$26</c:f>
              <c:strCache>
                <c:ptCount val="10"/>
                <c:pt idx="0">
                  <c:v>STATEWIDE</c:v>
                </c:pt>
                <c:pt idx="1">
                  <c:v>Bay Area</c:v>
                </c:pt>
                <c:pt idx="2">
                  <c:v>Central Coast</c:v>
                </c:pt>
                <c:pt idx="3">
                  <c:v>Central Valley</c:v>
                </c:pt>
                <c:pt idx="4">
                  <c:v>Far North</c:v>
                </c:pt>
                <c:pt idx="5">
                  <c:v>Los Angeles</c:v>
                </c:pt>
                <c:pt idx="6">
                  <c:v>North Coast</c:v>
                </c:pt>
                <c:pt idx="7">
                  <c:v>Sacramento Valley</c:v>
                </c:pt>
                <c:pt idx="8">
                  <c:v>Sierra Range/Foothills</c:v>
                </c:pt>
                <c:pt idx="9">
                  <c:v>Southern California</c:v>
                </c:pt>
              </c:strCache>
            </c:strRef>
          </c:cat>
          <c:val>
            <c:numRef>
              <c:f>'Participation Year Trend'!$C$17:$C$26</c:f>
              <c:numCache>
                <c:formatCode>_(* #,##0_);_(* \(#,##0\);_(* "-"??_);_(@_)</c:formatCode>
                <c:ptCount val="10"/>
                <c:pt idx="0">
                  <c:v>33475</c:v>
                </c:pt>
                <c:pt idx="1">
                  <c:v>8553</c:v>
                </c:pt>
                <c:pt idx="2">
                  <c:v>1896</c:v>
                </c:pt>
                <c:pt idx="3">
                  <c:v>3964</c:v>
                </c:pt>
                <c:pt idx="4">
                  <c:v>290</c:v>
                </c:pt>
                <c:pt idx="5">
                  <c:v>10028</c:v>
                </c:pt>
                <c:pt idx="6">
                  <c:v>404</c:v>
                </c:pt>
                <c:pt idx="7">
                  <c:v>2931</c:v>
                </c:pt>
                <c:pt idx="8">
                  <c:v>1561</c:v>
                </c:pt>
                <c:pt idx="9">
                  <c:v>9269</c:v>
                </c:pt>
              </c:numCache>
            </c:numRef>
          </c:val>
          <c:extLst>
            <c:ext xmlns:c16="http://schemas.microsoft.com/office/drawing/2014/chart" uri="{C3380CC4-5D6E-409C-BE32-E72D297353CC}">
              <c16:uniqueId val="{00000000-6983-415E-B0FE-50013A867CA5}"/>
            </c:ext>
          </c:extLst>
        </c:ser>
        <c:ser>
          <c:idx val="1"/>
          <c:order val="1"/>
          <c:tx>
            <c:strRef>
              <c:f>'Participation Year Trend'!$D$16</c:f>
              <c:strCache>
                <c:ptCount val="1"/>
                <c:pt idx="0">
                  <c:v>SFY 14-15</c:v>
                </c:pt>
              </c:strCache>
            </c:strRef>
          </c:tx>
          <c:invertIfNegative val="0"/>
          <c:cat>
            <c:strRef>
              <c:f>'Participation Year Trend'!$B$17:$B$26</c:f>
              <c:strCache>
                <c:ptCount val="10"/>
                <c:pt idx="0">
                  <c:v>STATEWIDE</c:v>
                </c:pt>
                <c:pt idx="1">
                  <c:v>Bay Area</c:v>
                </c:pt>
                <c:pt idx="2">
                  <c:v>Central Coast</c:v>
                </c:pt>
                <c:pt idx="3">
                  <c:v>Central Valley</c:v>
                </c:pt>
                <c:pt idx="4">
                  <c:v>Far North</c:v>
                </c:pt>
                <c:pt idx="5">
                  <c:v>Los Angeles</c:v>
                </c:pt>
                <c:pt idx="6">
                  <c:v>North Coast</c:v>
                </c:pt>
                <c:pt idx="7">
                  <c:v>Sacramento Valley</c:v>
                </c:pt>
                <c:pt idx="8">
                  <c:v>Sierra Range/Foothills</c:v>
                </c:pt>
                <c:pt idx="9">
                  <c:v>Southern California</c:v>
                </c:pt>
              </c:strCache>
            </c:strRef>
          </c:cat>
          <c:val>
            <c:numRef>
              <c:f>'Participation Year Trend'!$D$17:$D$26</c:f>
              <c:numCache>
                <c:formatCode>_(* #,##0_);_(* \(#,##0\);_(* "-"??_);_(@_)</c:formatCode>
                <c:ptCount val="10"/>
                <c:pt idx="0">
                  <c:v>34782</c:v>
                </c:pt>
                <c:pt idx="1">
                  <c:v>8881</c:v>
                </c:pt>
                <c:pt idx="2">
                  <c:v>1896</c:v>
                </c:pt>
                <c:pt idx="3">
                  <c:v>4139</c:v>
                </c:pt>
                <c:pt idx="4">
                  <c:v>265</c:v>
                </c:pt>
                <c:pt idx="5">
                  <c:v>10648</c:v>
                </c:pt>
                <c:pt idx="6">
                  <c:v>323</c:v>
                </c:pt>
                <c:pt idx="7">
                  <c:v>2932</c:v>
                </c:pt>
                <c:pt idx="8">
                  <c:v>1437</c:v>
                </c:pt>
                <c:pt idx="9">
                  <c:v>9830</c:v>
                </c:pt>
              </c:numCache>
            </c:numRef>
          </c:val>
          <c:extLst>
            <c:ext xmlns:c16="http://schemas.microsoft.com/office/drawing/2014/chart" uri="{C3380CC4-5D6E-409C-BE32-E72D297353CC}">
              <c16:uniqueId val="{00000001-6983-415E-B0FE-50013A867CA5}"/>
            </c:ext>
          </c:extLst>
        </c:ser>
        <c:dLbls>
          <c:showLegendKey val="0"/>
          <c:showVal val="0"/>
          <c:showCatName val="0"/>
          <c:showSerName val="0"/>
          <c:showPercent val="0"/>
          <c:showBubbleSize val="0"/>
        </c:dLbls>
        <c:gapWidth val="150"/>
        <c:axId val="126140416"/>
        <c:axId val="126142336"/>
      </c:barChart>
      <c:catAx>
        <c:axId val="126140416"/>
        <c:scaling>
          <c:orientation val="minMax"/>
        </c:scaling>
        <c:delete val="0"/>
        <c:axPos val="b"/>
        <c:title>
          <c:tx>
            <c:rich>
              <a:bodyPr/>
              <a:lstStyle/>
              <a:p>
                <a:pPr>
                  <a:defRPr/>
                </a:pPr>
                <a:r>
                  <a:rPr lang="en-US"/>
                  <a:t>Geographic</a:t>
                </a:r>
                <a:r>
                  <a:rPr lang="en-US" baseline="0"/>
                  <a:t> </a:t>
                </a:r>
                <a:r>
                  <a:rPr lang="en-US"/>
                  <a:t>Region</a:t>
                </a:r>
              </a:p>
            </c:rich>
          </c:tx>
          <c:overlay val="0"/>
        </c:title>
        <c:numFmt formatCode="General" sourceLinked="0"/>
        <c:majorTickMark val="out"/>
        <c:minorTickMark val="none"/>
        <c:tickLblPos val="nextTo"/>
        <c:crossAx val="126142336"/>
        <c:crosses val="autoZero"/>
        <c:auto val="1"/>
        <c:lblAlgn val="ctr"/>
        <c:lblOffset val="100"/>
        <c:noMultiLvlLbl val="0"/>
      </c:catAx>
      <c:valAx>
        <c:axId val="126142336"/>
        <c:scaling>
          <c:orientation val="minMax"/>
        </c:scaling>
        <c:delete val="0"/>
        <c:axPos val="l"/>
        <c:majorGridlines/>
        <c:title>
          <c:tx>
            <c:rich>
              <a:bodyPr rot="-5400000" vert="horz"/>
              <a:lstStyle/>
              <a:p>
                <a:pPr>
                  <a:defRPr/>
                </a:pPr>
                <a:r>
                  <a:rPr lang="en-US"/>
                  <a:t>Providers</a:t>
                </a:r>
              </a:p>
            </c:rich>
          </c:tx>
          <c:overlay val="0"/>
        </c:title>
        <c:numFmt formatCode="_(* #,##0_);_(* \(#,##0\);_(* &quot;-&quot;??_);_(@_)" sourceLinked="1"/>
        <c:majorTickMark val="out"/>
        <c:minorTickMark val="none"/>
        <c:tickLblPos val="nextTo"/>
        <c:crossAx val="126140416"/>
        <c:crosses val="autoZero"/>
        <c:crossBetween val="between"/>
      </c:valAx>
      <c:spPr>
        <a:solidFill>
          <a:schemeClr val="bg1">
            <a:lumMod val="95000"/>
          </a:schemeClr>
        </a:solidFill>
        <a:ln>
          <a:solidFill>
            <a:sysClr val="windowText" lastClr="000000"/>
          </a:solidFill>
        </a:ln>
      </c:spPr>
    </c:plotArea>
    <c:legend>
      <c:legendPos val="r"/>
      <c:overlay val="0"/>
    </c:legend>
    <c:plotVisOnly val="1"/>
    <c:dispBlanksAs val="gap"/>
    <c:showDLblsOverMax val="0"/>
  </c:chart>
  <c:spPr>
    <a:solidFill>
      <a:schemeClr val="bg1">
        <a:lumMod val="95000"/>
      </a:schemeClr>
    </a:solidFill>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28433945756783"/>
          <c:y val="5.9930633670791142E-2"/>
          <c:w val="0.82730853354869105"/>
          <c:h val="0.67139877785547075"/>
        </c:manualLayout>
      </c:layout>
      <c:lineChart>
        <c:grouping val="standard"/>
        <c:varyColors val="0"/>
        <c:ser>
          <c:idx val="0"/>
          <c:order val="0"/>
          <c:tx>
            <c:strRef>
              <c:f>Sheet1!$B$1</c:f>
              <c:strCache>
                <c:ptCount val="1"/>
                <c:pt idx="0">
                  <c:v>Fee-for-Service</c:v>
                </c:pt>
              </c:strCache>
            </c:strRef>
          </c:tx>
          <c:spPr>
            <a:ln>
              <a:solidFill>
                <a:srgbClr val="C00000"/>
              </a:solidFill>
            </a:ln>
          </c:spPr>
          <c:marker>
            <c:symbol val="none"/>
          </c:marker>
          <c:dPt>
            <c:idx val="0"/>
            <c:marker>
              <c:symbol val="diamond"/>
              <c:size val="8"/>
              <c:spPr>
                <a:solidFill>
                  <a:srgbClr val="C00000"/>
                </a:solidFill>
                <a:ln>
                  <a:solidFill>
                    <a:schemeClr val="tx2">
                      <a:lumMod val="75000"/>
                    </a:schemeClr>
                  </a:solidFill>
                </a:ln>
              </c:spPr>
            </c:marker>
            <c:bubble3D val="0"/>
            <c:extLst>
              <c:ext xmlns:c16="http://schemas.microsoft.com/office/drawing/2014/chart" uri="{C3380CC4-5D6E-409C-BE32-E72D297353CC}">
                <c16:uniqueId val="{00000000-8DC7-4C91-BE91-95DCE109B500}"/>
              </c:ext>
            </c:extLst>
          </c:dPt>
          <c:dPt>
            <c:idx val="10"/>
            <c:marker>
              <c:symbol val="square"/>
              <c:size val="6"/>
              <c:spPr>
                <a:solidFill>
                  <a:srgbClr val="C00000"/>
                </a:solidFill>
                <a:ln>
                  <a:solidFill>
                    <a:srgbClr val="000099"/>
                  </a:solidFill>
                </a:ln>
              </c:spPr>
            </c:marker>
            <c:bubble3D val="0"/>
            <c:extLst>
              <c:ext xmlns:c16="http://schemas.microsoft.com/office/drawing/2014/chart" uri="{C3380CC4-5D6E-409C-BE32-E72D297353CC}">
                <c16:uniqueId val="{00000001-8DC7-4C91-BE91-95DCE109B500}"/>
              </c:ext>
            </c:extLst>
          </c:dPt>
          <c:dPt>
            <c:idx val="11"/>
            <c:bubble3D val="0"/>
            <c:extLst>
              <c:ext xmlns:c16="http://schemas.microsoft.com/office/drawing/2014/chart" uri="{C3380CC4-5D6E-409C-BE32-E72D297353CC}">
                <c16:uniqueId val="{00000002-8DC7-4C91-BE91-95DCE109B500}"/>
              </c:ext>
            </c:extLst>
          </c:dPt>
          <c:dPt>
            <c:idx val="12"/>
            <c:marker>
              <c:symbol val="square"/>
              <c:size val="6"/>
              <c:spPr>
                <a:solidFill>
                  <a:srgbClr val="C00000"/>
                </a:solidFill>
                <a:ln>
                  <a:solidFill>
                    <a:srgbClr val="000099"/>
                  </a:solidFill>
                </a:ln>
              </c:spPr>
            </c:marker>
            <c:bubble3D val="0"/>
            <c:extLst>
              <c:ext xmlns:c16="http://schemas.microsoft.com/office/drawing/2014/chart" uri="{C3380CC4-5D6E-409C-BE32-E72D297353CC}">
                <c16:uniqueId val="{00000003-8DC7-4C91-BE91-95DCE109B500}"/>
              </c:ext>
            </c:extLst>
          </c:dPt>
          <c:dPt>
            <c:idx val="16"/>
            <c:marker>
              <c:symbol val="square"/>
              <c:size val="6"/>
              <c:spPr>
                <a:solidFill>
                  <a:srgbClr val="C00000"/>
                </a:solidFill>
                <a:ln>
                  <a:solidFill>
                    <a:srgbClr val="000099"/>
                  </a:solidFill>
                </a:ln>
              </c:spPr>
            </c:marker>
            <c:bubble3D val="0"/>
            <c:extLst>
              <c:ext xmlns:c16="http://schemas.microsoft.com/office/drawing/2014/chart" uri="{C3380CC4-5D6E-409C-BE32-E72D297353CC}">
                <c16:uniqueId val="{00000004-8DC7-4C91-BE91-95DCE109B500}"/>
              </c:ext>
            </c:extLst>
          </c:dPt>
          <c:dLbls>
            <c:dLbl>
              <c:idx val="0"/>
              <c:layout>
                <c:manualLayout>
                  <c:x val="-3.8461538461538464E-2"/>
                  <c:y val="3.968253968253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DC7-4C91-BE91-95DCE109B500}"/>
                </c:ext>
              </c:extLst>
            </c:dLbl>
            <c:dLbl>
              <c:idx val="10"/>
              <c:layout>
                <c:manualLayout>
                  <c:x val="-0.10897435897435889"/>
                  <c:y val="-3.96828521434820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DC7-4C91-BE91-95DCE109B500}"/>
                </c:ext>
              </c:extLst>
            </c:dLbl>
            <c:dLbl>
              <c:idx val="12"/>
              <c:layout>
                <c:manualLayout>
                  <c:x val="-8.9743589743589744E-2"/>
                  <c:y val="-5.1587301587301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DC7-4C91-BE91-95DCE109B500}"/>
                </c:ext>
              </c:extLst>
            </c:dLbl>
            <c:dLbl>
              <c:idx val="16"/>
              <c:layout>
                <c:manualLayout>
                  <c:x val="0"/>
                  <c:y val="-4.76196725409323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DC7-4C91-BE91-95DCE109B500}"/>
                </c:ext>
              </c:extLst>
            </c:dLbl>
            <c:spPr>
              <a:noFill/>
              <a:ln>
                <a:noFill/>
              </a:ln>
              <a:effectLst/>
            </c:spPr>
            <c:txPr>
              <a:bodyPr/>
              <a:lstStyle/>
              <a:p>
                <a:pPr>
                  <a:defRPr sz="1000"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Sheet1!$A$2:$A$18</c:f>
              <c:strCache>
                <c:ptCount val="17"/>
                <c:pt idx="0">
                  <c:v>2008-01</c:v>
                </c:pt>
                <c:pt idx="1">
                  <c:v>2008-07</c:v>
                </c:pt>
                <c:pt idx="2">
                  <c:v>2009-01</c:v>
                </c:pt>
                <c:pt idx="3">
                  <c:v>2009-07</c:v>
                </c:pt>
                <c:pt idx="4">
                  <c:v>2010-01</c:v>
                </c:pt>
                <c:pt idx="5">
                  <c:v>2010-07</c:v>
                </c:pt>
                <c:pt idx="6">
                  <c:v>2011-01</c:v>
                </c:pt>
                <c:pt idx="7">
                  <c:v>2011-07</c:v>
                </c:pt>
                <c:pt idx="8">
                  <c:v>2012-01</c:v>
                </c:pt>
                <c:pt idx="9">
                  <c:v>2012-07</c:v>
                </c:pt>
                <c:pt idx="10">
                  <c:v>2013-01</c:v>
                </c:pt>
                <c:pt idx="11">
                  <c:v>2013-07</c:v>
                </c:pt>
                <c:pt idx="12">
                  <c:v>2014-01</c:v>
                </c:pt>
                <c:pt idx="13">
                  <c:v>2014-07</c:v>
                </c:pt>
                <c:pt idx="14">
                  <c:v>2015-01</c:v>
                </c:pt>
                <c:pt idx="15">
                  <c:v>2015-07</c:v>
                </c:pt>
                <c:pt idx="16">
                  <c:v>2016-01</c:v>
                </c:pt>
              </c:strCache>
            </c:strRef>
          </c:cat>
          <c:val>
            <c:numRef>
              <c:f>Sheet1!$B$2:$B$18</c:f>
              <c:numCache>
                <c:formatCode>_(* #,##0_);_(* \(#,##0\);_(* "-"_);_(@_)</c:formatCode>
                <c:ptCount val="17"/>
                <c:pt idx="0">
                  <c:v>3303011</c:v>
                </c:pt>
                <c:pt idx="1">
                  <c:v>3320759</c:v>
                </c:pt>
                <c:pt idx="2">
                  <c:v>3375203</c:v>
                </c:pt>
                <c:pt idx="3">
                  <c:v>3446779</c:v>
                </c:pt>
                <c:pt idx="4">
                  <c:v>3368757</c:v>
                </c:pt>
                <c:pt idx="5">
                  <c:v>3384479</c:v>
                </c:pt>
                <c:pt idx="6">
                  <c:v>3333493</c:v>
                </c:pt>
                <c:pt idx="7">
                  <c:v>3063844</c:v>
                </c:pt>
                <c:pt idx="8">
                  <c:v>2849974</c:v>
                </c:pt>
                <c:pt idx="9">
                  <c:v>2773312</c:v>
                </c:pt>
                <c:pt idx="10">
                  <c:v>2801272</c:v>
                </c:pt>
                <c:pt idx="11">
                  <c:v>2780023</c:v>
                </c:pt>
                <c:pt idx="12">
                  <c:v>3177683</c:v>
                </c:pt>
                <c:pt idx="13">
                  <c:v>3670453</c:v>
                </c:pt>
                <c:pt idx="14">
                  <c:v>3138954</c:v>
                </c:pt>
                <c:pt idx="15">
                  <c:v>2985211</c:v>
                </c:pt>
                <c:pt idx="16">
                  <c:v>3108117</c:v>
                </c:pt>
              </c:numCache>
            </c:numRef>
          </c:val>
          <c:smooth val="0"/>
          <c:extLst>
            <c:ext xmlns:c16="http://schemas.microsoft.com/office/drawing/2014/chart" uri="{C3380CC4-5D6E-409C-BE32-E72D297353CC}">
              <c16:uniqueId val="{00000005-8DC7-4C91-BE91-95DCE109B500}"/>
            </c:ext>
          </c:extLst>
        </c:ser>
        <c:ser>
          <c:idx val="1"/>
          <c:order val="1"/>
          <c:tx>
            <c:strRef>
              <c:f>Sheet1!$C$1</c:f>
              <c:strCache>
                <c:ptCount val="1"/>
                <c:pt idx="0">
                  <c:v>Managed Care</c:v>
                </c:pt>
              </c:strCache>
            </c:strRef>
          </c:tx>
          <c:spPr>
            <a:ln>
              <a:solidFill>
                <a:srgbClr val="4F81BD"/>
              </a:solidFill>
            </a:ln>
          </c:spPr>
          <c:marker>
            <c:symbol val="none"/>
          </c:marker>
          <c:dPt>
            <c:idx val="0"/>
            <c:marker>
              <c:symbol val="square"/>
              <c:size val="6"/>
              <c:spPr>
                <a:solidFill>
                  <a:srgbClr val="4F81BD"/>
                </a:solidFill>
                <a:ln>
                  <a:solidFill>
                    <a:srgbClr val="000099"/>
                  </a:solidFill>
                </a:ln>
              </c:spPr>
            </c:marker>
            <c:bubble3D val="0"/>
            <c:extLst>
              <c:ext xmlns:c16="http://schemas.microsoft.com/office/drawing/2014/chart" uri="{C3380CC4-5D6E-409C-BE32-E72D297353CC}">
                <c16:uniqueId val="{00000006-8DC7-4C91-BE91-95DCE109B500}"/>
              </c:ext>
            </c:extLst>
          </c:dPt>
          <c:dPt>
            <c:idx val="10"/>
            <c:marker>
              <c:symbol val="diamond"/>
              <c:size val="8"/>
              <c:spPr>
                <a:solidFill>
                  <a:srgbClr val="4F81BD"/>
                </a:solidFill>
                <a:ln>
                  <a:solidFill>
                    <a:schemeClr val="accent5">
                      <a:lumMod val="50000"/>
                    </a:schemeClr>
                  </a:solidFill>
                </a:ln>
              </c:spPr>
            </c:marker>
            <c:bubble3D val="0"/>
            <c:extLst>
              <c:ext xmlns:c16="http://schemas.microsoft.com/office/drawing/2014/chart" uri="{C3380CC4-5D6E-409C-BE32-E72D297353CC}">
                <c16:uniqueId val="{00000007-8DC7-4C91-BE91-95DCE109B500}"/>
              </c:ext>
            </c:extLst>
          </c:dPt>
          <c:dPt>
            <c:idx val="11"/>
            <c:bubble3D val="0"/>
            <c:extLst>
              <c:ext xmlns:c16="http://schemas.microsoft.com/office/drawing/2014/chart" uri="{C3380CC4-5D6E-409C-BE32-E72D297353CC}">
                <c16:uniqueId val="{00000008-8DC7-4C91-BE91-95DCE109B500}"/>
              </c:ext>
            </c:extLst>
          </c:dPt>
          <c:dPt>
            <c:idx val="12"/>
            <c:marker>
              <c:symbol val="diamond"/>
              <c:size val="8"/>
              <c:spPr>
                <a:solidFill>
                  <a:srgbClr val="4F81BD"/>
                </a:solidFill>
                <a:ln>
                  <a:solidFill>
                    <a:schemeClr val="accent5">
                      <a:lumMod val="50000"/>
                    </a:schemeClr>
                  </a:solidFill>
                </a:ln>
              </c:spPr>
            </c:marker>
            <c:bubble3D val="0"/>
            <c:extLst>
              <c:ext xmlns:c16="http://schemas.microsoft.com/office/drawing/2014/chart" uri="{C3380CC4-5D6E-409C-BE32-E72D297353CC}">
                <c16:uniqueId val="{00000009-8DC7-4C91-BE91-95DCE109B500}"/>
              </c:ext>
            </c:extLst>
          </c:dPt>
          <c:dPt>
            <c:idx val="16"/>
            <c:marker>
              <c:symbol val="diamond"/>
              <c:size val="8"/>
              <c:spPr>
                <a:solidFill>
                  <a:srgbClr val="4F81BD"/>
                </a:solidFill>
                <a:ln>
                  <a:solidFill>
                    <a:schemeClr val="accent5">
                      <a:lumMod val="50000"/>
                    </a:schemeClr>
                  </a:solidFill>
                </a:ln>
              </c:spPr>
            </c:marker>
            <c:bubble3D val="0"/>
            <c:extLst>
              <c:ext xmlns:c16="http://schemas.microsoft.com/office/drawing/2014/chart" uri="{C3380CC4-5D6E-409C-BE32-E72D297353CC}">
                <c16:uniqueId val="{0000000A-8DC7-4C91-BE91-95DCE109B500}"/>
              </c:ext>
            </c:extLst>
          </c:dPt>
          <c:dLbls>
            <c:dLbl>
              <c:idx val="0"/>
              <c:layout>
                <c:manualLayout>
                  <c:x val="-3.6324786324786328E-2"/>
                  <c:y val="-5.95241219847519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DC7-4C91-BE91-95DCE109B500}"/>
                </c:ext>
              </c:extLst>
            </c:dLbl>
            <c:dLbl>
              <c:idx val="10"/>
              <c:layout>
                <c:manualLayout>
                  <c:x val="-0.10897435897435889"/>
                  <c:y val="-3.57142857142856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DC7-4C91-BE91-95DCE109B500}"/>
                </c:ext>
              </c:extLst>
            </c:dLbl>
            <c:dLbl>
              <c:idx val="12"/>
              <c:layout>
                <c:manualLayout>
                  <c:x val="-9.8290598290598288E-2"/>
                  <c:y val="-5.1587301587301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DC7-4C91-BE91-95DCE109B500}"/>
                </c:ext>
              </c:extLst>
            </c:dLbl>
            <c:dLbl>
              <c:idx val="16"/>
              <c:layout>
                <c:manualLayout>
                  <c:x val="0"/>
                  <c:y val="-4.36507936507936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DC7-4C91-BE91-95DCE109B500}"/>
                </c:ext>
              </c:extLst>
            </c:dLbl>
            <c:spPr>
              <a:noFill/>
              <a:ln>
                <a:noFill/>
              </a:ln>
              <a:effectLst/>
            </c:spPr>
            <c:txPr>
              <a:bodyPr/>
              <a:lstStyle/>
              <a:p>
                <a:pPr>
                  <a:defRPr sz="1000"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Sheet1!$A$2:$A$18</c:f>
              <c:strCache>
                <c:ptCount val="17"/>
                <c:pt idx="0">
                  <c:v>2008-01</c:v>
                </c:pt>
                <c:pt idx="1">
                  <c:v>2008-07</c:v>
                </c:pt>
                <c:pt idx="2">
                  <c:v>2009-01</c:v>
                </c:pt>
                <c:pt idx="3">
                  <c:v>2009-07</c:v>
                </c:pt>
                <c:pt idx="4">
                  <c:v>2010-01</c:v>
                </c:pt>
                <c:pt idx="5">
                  <c:v>2010-07</c:v>
                </c:pt>
                <c:pt idx="6">
                  <c:v>2011-01</c:v>
                </c:pt>
                <c:pt idx="7">
                  <c:v>2011-07</c:v>
                </c:pt>
                <c:pt idx="8">
                  <c:v>2012-01</c:v>
                </c:pt>
                <c:pt idx="9">
                  <c:v>2012-07</c:v>
                </c:pt>
                <c:pt idx="10">
                  <c:v>2013-01</c:v>
                </c:pt>
                <c:pt idx="11">
                  <c:v>2013-07</c:v>
                </c:pt>
                <c:pt idx="12">
                  <c:v>2014-01</c:v>
                </c:pt>
                <c:pt idx="13">
                  <c:v>2014-07</c:v>
                </c:pt>
                <c:pt idx="14">
                  <c:v>2015-01</c:v>
                </c:pt>
                <c:pt idx="15">
                  <c:v>2015-07</c:v>
                </c:pt>
                <c:pt idx="16">
                  <c:v>2016-01</c:v>
                </c:pt>
              </c:strCache>
            </c:strRef>
          </c:cat>
          <c:val>
            <c:numRef>
              <c:f>Sheet1!$C$2:$C$18</c:f>
              <c:numCache>
                <c:formatCode>_(* #,##0_);_(* \(#,##0\);_(* "-"_);_(@_)</c:formatCode>
                <c:ptCount val="17"/>
                <c:pt idx="0">
                  <c:v>3299030</c:v>
                </c:pt>
                <c:pt idx="1">
                  <c:v>3400244</c:v>
                </c:pt>
                <c:pt idx="2">
                  <c:v>3481998</c:v>
                </c:pt>
                <c:pt idx="3">
                  <c:v>3642408</c:v>
                </c:pt>
                <c:pt idx="4">
                  <c:v>3875201</c:v>
                </c:pt>
                <c:pt idx="5">
                  <c:v>4008010</c:v>
                </c:pt>
                <c:pt idx="6">
                  <c:v>4167274</c:v>
                </c:pt>
                <c:pt idx="7">
                  <c:v>4526737</c:v>
                </c:pt>
                <c:pt idx="8">
                  <c:v>4745533</c:v>
                </c:pt>
                <c:pt idx="9">
                  <c:v>4852642</c:v>
                </c:pt>
                <c:pt idx="10">
                  <c:v>5063693</c:v>
                </c:pt>
                <c:pt idx="11">
                  <c:v>5688965</c:v>
                </c:pt>
                <c:pt idx="12">
                  <c:v>6730074</c:v>
                </c:pt>
                <c:pt idx="13">
                  <c:v>7852247</c:v>
                </c:pt>
                <c:pt idx="14">
                  <c:v>9230472</c:v>
                </c:pt>
                <c:pt idx="15">
                  <c:v>9842847</c:v>
                </c:pt>
                <c:pt idx="16">
                  <c:v>10376650</c:v>
                </c:pt>
              </c:numCache>
            </c:numRef>
          </c:val>
          <c:smooth val="0"/>
          <c:extLst>
            <c:ext xmlns:c16="http://schemas.microsoft.com/office/drawing/2014/chart" uri="{C3380CC4-5D6E-409C-BE32-E72D297353CC}">
              <c16:uniqueId val="{0000000B-8DC7-4C91-BE91-95DCE109B500}"/>
            </c:ext>
          </c:extLst>
        </c:ser>
        <c:dLbls>
          <c:showLegendKey val="0"/>
          <c:showVal val="0"/>
          <c:showCatName val="0"/>
          <c:showSerName val="0"/>
          <c:showPercent val="0"/>
          <c:showBubbleSize val="0"/>
        </c:dLbls>
        <c:smooth val="0"/>
        <c:axId val="89029632"/>
        <c:axId val="89035904"/>
      </c:lineChart>
      <c:catAx>
        <c:axId val="89029632"/>
        <c:scaling>
          <c:orientation val="minMax"/>
        </c:scaling>
        <c:delete val="0"/>
        <c:axPos val="b"/>
        <c:title>
          <c:tx>
            <c:rich>
              <a:bodyPr/>
              <a:lstStyle/>
              <a:p>
                <a:pPr>
                  <a:defRPr sz="1000" b="1"/>
                </a:pPr>
                <a:r>
                  <a:rPr lang="en-US" sz="1000" b="1"/>
                  <a:t>Month of Eligibility</a:t>
                </a:r>
              </a:p>
            </c:rich>
          </c:tx>
          <c:layout>
            <c:manualLayout>
              <c:xMode val="edge"/>
              <c:yMode val="edge"/>
              <c:x val="0.42314876505821386"/>
              <c:y val="0.9190118596286575"/>
            </c:manualLayout>
          </c:layout>
          <c:overlay val="0"/>
        </c:title>
        <c:numFmt formatCode="General" sourceLinked="0"/>
        <c:majorTickMark val="out"/>
        <c:minorTickMark val="none"/>
        <c:tickLblPos val="nextTo"/>
        <c:crossAx val="89035904"/>
        <c:crosses val="autoZero"/>
        <c:auto val="1"/>
        <c:lblAlgn val="ctr"/>
        <c:lblOffset val="100"/>
        <c:noMultiLvlLbl val="0"/>
      </c:catAx>
      <c:valAx>
        <c:axId val="89035904"/>
        <c:scaling>
          <c:orientation val="minMax"/>
          <c:max val="12000000"/>
          <c:min val="2000000"/>
        </c:scaling>
        <c:delete val="0"/>
        <c:axPos val="l"/>
        <c:majorGridlines>
          <c:spPr>
            <a:ln>
              <a:solidFill>
                <a:schemeClr val="bg1">
                  <a:lumMod val="95000"/>
                </a:schemeClr>
              </a:solidFill>
            </a:ln>
          </c:spPr>
        </c:majorGridlines>
        <c:title>
          <c:tx>
            <c:rich>
              <a:bodyPr rot="-5400000" vert="horz"/>
              <a:lstStyle/>
              <a:p>
                <a:pPr>
                  <a:defRPr/>
                </a:pPr>
                <a:r>
                  <a:rPr lang="en-US" sz="1100"/>
                  <a:t>Certified</a:t>
                </a:r>
                <a:r>
                  <a:rPr lang="en-US" sz="1100" baseline="0"/>
                  <a:t> Eligibles</a:t>
                </a:r>
                <a:endParaRPr lang="en-US" sz="1100"/>
              </a:p>
            </c:rich>
          </c:tx>
          <c:layout>
            <c:manualLayout>
              <c:xMode val="edge"/>
              <c:yMode val="edge"/>
              <c:x val="2.1661955717073829E-3"/>
              <c:y val="0.28108298962629669"/>
            </c:manualLayout>
          </c:layout>
          <c:overlay val="0"/>
        </c:title>
        <c:numFmt formatCode="_(* #,##0_);_(* \(#,##0\);_(* &quot;-&quot;_);_(@_)" sourceLinked="1"/>
        <c:majorTickMark val="out"/>
        <c:minorTickMark val="none"/>
        <c:tickLblPos val="nextTo"/>
        <c:crossAx val="89029632"/>
        <c:crosses val="autoZero"/>
        <c:crossBetween val="between"/>
      </c:valAx>
      <c:spPr>
        <a:solidFill>
          <a:sysClr val="window" lastClr="FFFFFF">
            <a:lumMod val="95000"/>
          </a:sysClr>
        </a:solidFill>
      </c:spPr>
    </c:plotArea>
    <c:legend>
      <c:legendPos val="r"/>
      <c:layout>
        <c:manualLayout>
          <c:xMode val="edge"/>
          <c:yMode val="edge"/>
          <c:x val="0.65381485968100139"/>
          <c:y val="0.92410948631421075"/>
          <c:w val="0.33746012517666063"/>
          <c:h val="7.2415635545556814E-2"/>
        </c:manualLayout>
      </c:layout>
      <c:overlay val="0"/>
    </c:legend>
    <c:plotVisOnly val="1"/>
    <c:dispBlanksAs val="gap"/>
    <c:showDLblsOverMax val="0"/>
  </c:chart>
  <c:spPr>
    <a:solidFill>
      <a:sysClr val="window" lastClr="FFFFFF">
        <a:lumMod val="95000"/>
      </a:sysClr>
    </a:solidFill>
  </c:spPr>
  <c:txPr>
    <a:bodyPr/>
    <a:lstStyle/>
    <a:p>
      <a:pPr>
        <a:defRPr sz="900"/>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'Participation Year Trend'!$C$29</c:f>
              <c:strCache>
                <c:ptCount val="1"/>
                <c:pt idx="0">
                  <c:v>SFY 13-14</c:v>
                </c:pt>
              </c:strCache>
            </c:strRef>
          </c:tx>
          <c:invertIfNegative val="0"/>
          <c:cat>
            <c:strRef>
              <c:f>'Participation Year Trend'!$B$30:$B$39</c:f>
              <c:strCache>
                <c:ptCount val="10"/>
                <c:pt idx="0">
                  <c:v>STATEWIDE</c:v>
                </c:pt>
                <c:pt idx="1">
                  <c:v>Bay Area</c:v>
                </c:pt>
                <c:pt idx="2">
                  <c:v>Central Coast</c:v>
                </c:pt>
                <c:pt idx="3">
                  <c:v>Central Valley</c:v>
                </c:pt>
                <c:pt idx="4">
                  <c:v>Far North</c:v>
                </c:pt>
                <c:pt idx="5">
                  <c:v>Los Angeles</c:v>
                </c:pt>
                <c:pt idx="6">
                  <c:v>North Coast</c:v>
                </c:pt>
                <c:pt idx="7">
                  <c:v>Sacramento Valley</c:v>
                </c:pt>
                <c:pt idx="8">
                  <c:v>Sierra Range/Foothills</c:v>
                </c:pt>
                <c:pt idx="9">
                  <c:v>Southern California</c:v>
                </c:pt>
              </c:strCache>
            </c:strRef>
          </c:cat>
          <c:val>
            <c:numRef>
              <c:f>'Participation Year Trend'!$C$30:$C$39</c:f>
              <c:numCache>
                <c:formatCode>_(* #,##0_);_(* \(#,##0\);_(* "-"??_);_(@_)</c:formatCode>
                <c:ptCount val="10"/>
                <c:pt idx="0">
                  <c:v>863</c:v>
                </c:pt>
                <c:pt idx="1">
                  <c:v>217</c:v>
                </c:pt>
                <c:pt idx="2">
                  <c:v>41</c:v>
                </c:pt>
                <c:pt idx="3">
                  <c:v>83</c:v>
                </c:pt>
                <c:pt idx="4">
                  <c:v>7</c:v>
                </c:pt>
                <c:pt idx="5">
                  <c:v>247</c:v>
                </c:pt>
                <c:pt idx="6">
                  <c:v>5</c:v>
                </c:pt>
                <c:pt idx="7">
                  <c:v>95</c:v>
                </c:pt>
                <c:pt idx="8">
                  <c:v>27</c:v>
                </c:pt>
                <c:pt idx="9">
                  <c:v>197</c:v>
                </c:pt>
              </c:numCache>
            </c:numRef>
          </c:val>
          <c:extLst>
            <c:ext xmlns:c16="http://schemas.microsoft.com/office/drawing/2014/chart" uri="{C3380CC4-5D6E-409C-BE32-E72D297353CC}">
              <c16:uniqueId val="{00000000-1160-4C76-8D67-2F4B8EEBA4C7}"/>
            </c:ext>
          </c:extLst>
        </c:ser>
        <c:ser>
          <c:idx val="1"/>
          <c:order val="1"/>
          <c:tx>
            <c:strRef>
              <c:f>'Participation Year Trend'!$D$29</c:f>
              <c:strCache>
                <c:ptCount val="1"/>
                <c:pt idx="0">
                  <c:v>SFY 14-15</c:v>
                </c:pt>
              </c:strCache>
            </c:strRef>
          </c:tx>
          <c:invertIfNegative val="0"/>
          <c:cat>
            <c:strRef>
              <c:f>'Participation Year Trend'!$B$30:$B$39</c:f>
              <c:strCache>
                <c:ptCount val="10"/>
                <c:pt idx="0">
                  <c:v>STATEWIDE</c:v>
                </c:pt>
                <c:pt idx="1">
                  <c:v>Bay Area</c:v>
                </c:pt>
                <c:pt idx="2">
                  <c:v>Central Coast</c:v>
                </c:pt>
                <c:pt idx="3">
                  <c:v>Central Valley</c:v>
                </c:pt>
                <c:pt idx="4">
                  <c:v>Far North</c:v>
                </c:pt>
                <c:pt idx="5">
                  <c:v>Los Angeles</c:v>
                </c:pt>
                <c:pt idx="6">
                  <c:v>North Coast</c:v>
                </c:pt>
                <c:pt idx="7">
                  <c:v>Sacramento Valley</c:v>
                </c:pt>
                <c:pt idx="8">
                  <c:v>Sierra Range/Foothills</c:v>
                </c:pt>
                <c:pt idx="9">
                  <c:v>Southern California</c:v>
                </c:pt>
              </c:strCache>
            </c:strRef>
          </c:cat>
          <c:val>
            <c:numRef>
              <c:f>'Participation Year Trend'!$D$30:$D$39</c:f>
              <c:numCache>
                <c:formatCode>_(* #,##0_);_(* \(#,##0\);_(* "-"??_);_(@_)</c:formatCode>
                <c:ptCount val="10"/>
                <c:pt idx="0">
                  <c:v>1002</c:v>
                </c:pt>
                <c:pt idx="1">
                  <c:v>263</c:v>
                </c:pt>
                <c:pt idx="2">
                  <c:v>44</c:v>
                </c:pt>
                <c:pt idx="3">
                  <c:v>79</c:v>
                </c:pt>
                <c:pt idx="4">
                  <c:v>5</c:v>
                </c:pt>
                <c:pt idx="5">
                  <c:v>282</c:v>
                </c:pt>
                <c:pt idx="6">
                  <c:v>6</c:v>
                </c:pt>
                <c:pt idx="7">
                  <c:v>110</c:v>
                </c:pt>
                <c:pt idx="8">
                  <c:v>36</c:v>
                </c:pt>
                <c:pt idx="9">
                  <c:v>253</c:v>
                </c:pt>
              </c:numCache>
            </c:numRef>
          </c:val>
          <c:extLst>
            <c:ext xmlns:c16="http://schemas.microsoft.com/office/drawing/2014/chart" uri="{C3380CC4-5D6E-409C-BE32-E72D297353CC}">
              <c16:uniqueId val="{00000001-1160-4C76-8D67-2F4B8EEBA4C7}"/>
            </c:ext>
          </c:extLst>
        </c:ser>
        <c:dLbls>
          <c:showLegendKey val="0"/>
          <c:showVal val="0"/>
          <c:showCatName val="0"/>
          <c:showSerName val="0"/>
          <c:showPercent val="0"/>
          <c:showBubbleSize val="0"/>
        </c:dLbls>
        <c:gapWidth val="150"/>
        <c:axId val="113307008"/>
        <c:axId val="113309184"/>
      </c:barChart>
      <c:catAx>
        <c:axId val="113307008"/>
        <c:scaling>
          <c:orientation val="minMax"/>
        </c:scaling>
        <c:delete val="0"/>
        <c:axPos val="b"/>
        <c:title>
          <c:tx>
            <c:rich>
              <a:bodyPr/>
              <a:lstStyle/>
              <a:p>
                <a:pPr>
                  <a:defRPr/>
                </a:pPr>
                <a:r>
                  <a:rPr lang="en-US"/>
                  <a:t>Geographic</a:t>
                </a:r>
                <a:r>
                  <a:rPr lang="en-US" baseline="0"/>
                  <a:t> </a:t>
                </a:r>
                <a:r>
                  <a:rPr lang="en-US"/>
                  <a:t>Region</a:t>
                </a:r>
              </a:p>
            </c:rich>
          </c:tx>
          <c:overlay val="0"/>
        </c:title>
        <c:numFmt formatCode="General" sourceLinked="0"/>
        <c:majorTickMark val="out"/>
        <c:minorTickMark val="none"/>
        <c:tickLblPos val="nextTo"/>
        <c:crossAx val="113309184"/>
        <c:crosses val="autoZero"/>
        <c:auto val="1"/>
        <c:lblAlgn val="ctr"/>
        <c:lblOffset val="100"/>
        <c:noMultiLvlLbl val="0"/>
      </c:catAx>
      <c:valAx>
        <c:axId val="113309184"/>
        <c:scaling>
          <c:orientation val="minMax"/>
        </c:scaling>
        <c:delete val="0"/>
        <c:axPos val="l"/>
        <c:majorGridlines/>
        <c:title>
          <c:tx>
            <c:rich>
              <a:bodyPr rot="-5400000" vert="horz"/>
              <a:lstStyle/>
              <a:p>
                <a:pPr>
                  <a:defRPr/>
                </a:pPr>
                <a:r>
                  <a:rPr lang="en-US"/>
                  <a:t>Providers</a:t>
                </a:r>
              </a:p>
            </c:rich>
          </c:tx>
          <c:overlay val="0"/>
        </c:title>
        <c:numFmt formatCode="_(* #,##0_);_(* \(#,##0\);_(* &quot;-&quot;??_);_(@_)" sourceLinked="1"/>
        <c:majorTickMark val="out"/>
        <c:minorTickMark val="none"/>
        <c:tickLblPos val="nextTo"/>
        <c:crossAx val="113307008"/>
        <c:crosses val="autoZero"/>
        <c:crossBetween val="between"/>
      </c:valAx>
      <c:spPr>
        <a:solidFill>
          <a:schemeClr val="bg1">
            <a:lumMod val="95000"/>
          </a:schemeClr>
        </a:solidFill>
        <a:ln>
          <a:solidFill>
            <a:sysClr val="windowText" lastClr="000000"/>
          </a:solidFill>
        </a:ln>
      </c:spPr>
    </c:plotArea>
    <c:legend>
      <c:legendPos val="r"/>
      <c:overlay val="0"/>
    </c:legend>
    <c:plotVisOnly val="1"/>
    <c:dispBlanksAs val="gap"/>
    <c:showDLblsOverMax val="0"/>
  </c:chart>
  <c:spPr>
    <a:solidFill>
      <a:schemeClr val="bg1">
        <a:lumMod val="95000"/>
      </a:schemeClr>
    </a:solidFill>
    <a:ln>
      <a:solidFill>
        <a:sysClr val="windowText" lastClr="000000"/>
      </a:solid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'Participation Year Trend'!$C$42</c:f>
              <c:strCache>
                <c:ptCount val="1"/>
                <c:pt idx="0">
                  <c:v>SFY 13-14</c:v>
                </c:pt>
              </c:strCache>
            </c:strRef>
          </c:tx>
          <c:invertIfNegative val="0"/>
          <c:cat>
            <c:strRef>
              <c:f>'Participation Year Trend'!$B$43:$B$52</c:f>
              <c:strCache>
                <c:ptCount val="10"/>
                <c:pt idx="0">
                  <c:v>STATEWIDE</c:v>
                </c:pt>
                <c:pt idx="1">
                  <c:v>Bay Area</c:v>
                </c:pt>
                <c:pt idx="2">
                  <c:v>Central Coast</c:v>
                </c:pt>
                <c:pt idx="3">
                  <c:v>Central Valley</c:v>
                </c:pt>
                <c:pt idx="4">
                  <c:v>Far North</c:v>
                </c:pt>
                <c:pt idx="5">
                  <c:v>Los Angeles</c:v>
                </c:pt>
                <c:pt idx="6">
                  <c:v>North Coast</c:v>
                </c:pt>
                <c:pt idx="7">
                  <c:v>Sacramento Valley</c:v>
                </c:pt>
                <c:pt idx="8">
                  <c:v>Sierra Range/Foothills</c:v>
                </c:pt>
                <c:pt idx="9">
                  <c:v>Southern California</c:v>
                </c:pt>
              </c:strCache>
            </c:strRef>
          </c:cat>
          <c:val>
            <c:numRef>
              <c:f>'Participation Year Trend'!$C$43:$C$52</c:f>
              <c:numCache>
                <c:formatCode>_(* #,##0_);_(* \(#,##0\);_(* "-"??_);_(@_)</c:formatCode>
                <c:ptCount val="10"/>
                <c:pt idx="0">
                  <c:v>4475</c:v>
                </c:pt>
                <c:pt idx="1">
                  <c:v>1092</c:v>
                </c:pt>
                <c:pt idx="2">
                  <c:v>275</c:v>
                </c:pt>
                <c:pt idx="3">
                  <c:v>573</c:v>
                </c:pt>
                <c:pt idx="4">
                  <c:v>30</c:v>
                </c:pt>
                <c:pt idx="5">
                  <c:v>1357</c:v>
                </c:pt>
                <c:pt idx="6">
                  <c:v>54</c:v>
                </c:pt>
                <c:pt idx="7">
                  <c:v>340</c:v>
                </c:pt>
                <c:pt idx="8">
                  <c:v>180</c:v>
                </c:pt>
                <c:pt idx="9">
                  <c:v>1312</c:v>
                </c:pt>
              </c:numCache>
            </c:numRef>
          </c:val>
          <c:extLst>
            <c:ext xmlns:c16="http://schemas.microsoft.com/office/drawing/2014/chart" uri="{C3380CC4-5D6E-409C-BE32-E72D297353CC}">
              <c16:uniqueId val="{00000000-6A6D-4199-A869-91728786F87D}"/>
            </c:ext>
          </c:extLst>
        </c:ser>
        <c:ser>
          <c:idx val="1"/>
          <c:order val="1"/>
          <c:tx>
            <c:strRef>
              <c:f>'Participation Year Trend'!$D$42</c:f>
              <c:strCache>
                <c:ptCount val="1"/>
                <c:pt idx="0">
                  <c:v>SFY 14-15</c:v>
                </c:pt>
              </c:strCache>
            </c:strRef>
          </c:tx>
          <c:invertIfNegative val="0"/>
          <c:cat>
            <c:strRef>
              <c:f>'Participation Year Trend'!$B$43:$B$52</c:f>
              <c:strCache>
                <c:ptCount val="10"/>
                <c:pt idx="0">
                  <c:v>STATEWIDE</c:v>
                </c:pt>
                <c:pt idx="1">
                  <c:v>Bay Area</c:v>
                </c:pt>
                <c:pt idx="2">
                  <c:v>Central Coast</c:v>
                </c:pt>
                <c:pt idx="3">
                  <c:v>Central Valley</c:v>
                </c:pt>
                <c:pt idx="4">
                  <c:v>Far North</c:v>
                </c:pt>
                <c:pt idx="5">
                  <c:v>Los Angeles</c:v>
                </c:pt>
                <c:pt idx="6">
                  <c:v>North Coast</c:v>
                </c:pt>
                <c:pt idx="7">
                  <c:v>Sacramento Valley</c:v>
                </c:pt>
                <c:pt idx="8">
                  <c:v>Sierra Range/Foothills</c:v>
                </c:pt>
                <c:pt idx="9">
                  <c:v>Southern California</c:v>
                </c:pt>
              </c:strCache>
            </c:strRef>
          </c:cat>
          <c:val>
            <c:numRef>
              <c:f>'Participation Year Trend'!$D$43:$D$52</c:f>
              <c:numCache>
                <c:formatCode>_(* #,##0_);_(* \(#,##0\);_(* "-"??_);_(@_)</c:formatCode>
                <c:ptCount val="10"/>
                <c:pt idx="0">
                  <c:v>4670</c:v>
                </c:pt>
                <c:pt idx="1">
                  <c:v>1132</c:v>
                </c:pt>
                <c:pt idx="2">
                  <c:v>288</c:v>
                </c:pt>
                <c:pt idx="3">
                  <c:v>598</c:v>
                </c:pt>
                <c:pt idx="4">
                  <c:v>29</c:v>
                </c:pt>
                <c:pt idx="5">
                  <c:v>1499</c:v>
                </c:pt>
                <c:pt idx="6">
                  <c:v>52</c:v>
                </c:pt>
                <c:pt idx="7">
                  <c:v>360</c:v>
                </c:pt>
                <c:pt idx="8">
                  <c:v>181</c:v>
                </c:pt>
                <c:pt idx="9">
                  <c:v>1415</c:v>
                </c:pt>
              </c:numCache>
            </c:numRef>
          </c:val>
          <c:extLst>
            <c:ext xmlns:c16="http://schemas.microsoft.com/office/drawing/2014/chart" uri="{C3380CC4-5D6E-409C-BE32-E72D297353CC}">
              <c16:uniqueId val="{00000001-6A6D-4199-A869-91728786F87D}"/>
            </c:ext>
          </c:extLst>
        </c:ser>
        <c:dLbls>
          <c:showLegendKey val="0"/>
          <c:showVal val="0"/>
          <c:showCatName val="0"/>
          <c:showSerName val="0"/>
          <c:showPercent val="0"/>
          <c:showBubbleSize val="0"/>
        </c:dLbls>
        <c:gapWidth val="150"/>
        <c:axId val="125955072"/>
        <c:axId val="126006400"/>
      </c:barChart>
      <c:catAx>
        <c:axId val="125955072"/>
        <c:scaling>
          <c:orientation val="minMax"/>
        </c:scaling>
        <c:delete val="0"/>
        <c:axPos val="b"/>
        <c:title>
          <c:tx>
            <c:rich>
              <a:bodyPr/>
              <a:lstStyle/>
              <a:p>
                <a:pPr>
                  <a:defRPr/>
                </a:pPr>
                <a:r>
                  <a:rPr lang="en-US"/>
                  <a:t>Geographic</a:t>
                </a:r>
                <a:r>
                  <a:rPr lang="en-US" baseline="0"/>
                  <a:t> </a:t>
                </a:r>
                <a:r>
                  <a:rPr lang="en-US"/>
                  <a:t>Region</a:t>
                </a:r>
              </a:p>
            </c:rich>
          </c:tx>
          <c:overlay val="0"/>
        </c:title>
        <c:numFmt formatCode="General" sourceLinked="0"/>
        <c:majorTickMark val="out"/>
        <c:minorTickMark val="none"/>
        <c:tickLblPos val="nextTo"/>
        <c:crossAx val="126006400"/>
        <c:crosses val="autoZero"/>
        <c:auto val="1"/>
        <c:lblAlgn val="ctr"/>
        <c:lblOffset val="100"/>
        <c:noMultiLvlLbl val="0"/>
      </c:catAx>
      <c:valAx>
        <c:axId val="126006400"/>
        <c:scaling>
          <c:orientation val="minMax"/>
        </c:scaling>
        <c:delete val="0"/>
        <c:axPos val="l"/>
        <c:majorGridlines/>
        <c:title>
          <c:tx>
            <c:rich>
              <a:bodyPr rot="-5400000" vert="horz"/>
              <a:lstStyle/>
              <a:p>
                <a:pPr>
                  <a:defRPr/>
                </a:pPr>
                <a:r>
                  <a:rPr lang="en-US"/>
                  <a:t>Providers</a:t>
                </a:r>
              </a:p>
            </c:rich>
          </c:tx>
          <c:overlay val="0"/>
        </c:title>
        <c:numFmt formatCode="_(* #,##0_);_(* \(#,##0\);_(* &quot;-&quot;??_);_(@_)" sourceLinked="1"/>
        <c:majorTickMark val="out"/>
        <c:minorTickMark val="none"/>
        <c:tickLblPos val="nextTo"/>
        <c:crossAx val="125955072"/>
        <c:crosses val="autoZero"/>
        <c:crossBetween val="between"/>
      </c:valAx>
      <c:spPr>
        <a:solidFill>
          <a:schemeClr val="bg1">
            <a:lumMod val="95000"/>
          </a:schemeClr>
        </a:solidFill>
        <a:ln>
          <a:solidFill>
            <a:sysClr val="windowText" lastClr="000000"/>
          </a:solidFill>
        </a:ln>
      </c:spPr>
    </c:plotArea>
    <c:legend>
      <c:legendPos val="r"/>
      <c:overlay val="0"/>
    </c:legend>
    <c:plotVisOnly val="1"/>
    <c:dispBlanksAs val="gap"/>
    <c:showDLblsOverMax val="0"/>
  </c:chart>
  <c:spPr>
    <a:solidFill>
      <a:schemeClr val="bg1">
        <a:lumMod val="95000"/>
      </a:schemeClr>
    </a:solidFill>
    <a:ln>
      <a:solidFill>
        <a:sysClr val="windowText" lastClr="000000"/>
      </a:solid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'Participation Year Trend'!$C$55</c:f>
              <c:strCache>
                <c:ptCount val="1"/>
                <c:pt idx="0">
                  <c:v>SFY 13-14</c:v>
                </c:pt>
              </c:strCache>
            </c:strRef>
          </c:tx>
          <c:invertIfNegative val="0"/>
          <c:cat>
            <c:strRef>
              <c:f>'Participation Year Trend'!$B$56:$B$65</c:f>
              <c:strCache>
                <c:ptCount val="10"/>
                <c:pt idx="0">
                  <c:v>STATEWIDE</c:v>
                </c:pt>
                <c:pt idx="1">
                  <c:v>Bay Area</c:v>
                </c:pt>
                <c:pt idx="2">
                  <c:v>Central Coast</c:v>
                </c:pt>
                <c:pt idx="3">
                  <c:v>Central Valley</c:v>
                </c:pt>
                <c:pt idx="4">
                  <c:v>Far North</c:v>
                </c:pt>
                <c:pt idx="5">
                  <c:v>Los Angeles</c:v>
                </c:pt>
                <c:pt idx="6">
                  <c:v>North Coast</c:v>
                </c:pt>
                <c:pt idx="7">
                  <c:v>Sacramento Valley</c:v>
                </c:pt>
                <c:pt idx="8">
                  <c:v>Sierra Range/Foothills</c:v>
                </c:pt>
                <c:pt idx="9">
                  <c:v>Southern California</c:v>
                </c:pt>
              </c:strCache>
            </c:strRef>
          </c:cat>
          <c:val>
            <c:numRef>
              <c:f>'Participation Year Trend'!$C$56:$C$65</c:f>
              <c:numCache>
                <c:formatCode>_(* #,##0_);_(* \(#,##0\);_(* "-"??_);_(@_)</c:formatCode>
                <c:ptCount val="10"/>
                <c:pt idx="0">
                  <c:v>331</c:v>
                </c:pt>
                <c:pt idx="1">
                  <c:v>45</c:v>
                </c:pt>
                <c:pt idx="2">
                  <c:v>14</c:v>
                </c:pt>
                <c:pt idx="3">
                  <c:v>35</c:v>
                </c:pt>
                <c:pt idx="4">
                  <c:v>4</c:v>
                </c:pt>
                <c:pt idx="5">
                  <c:v>108</c:v>
                </c:pt>
                <c:pt idx="6">
                  <c:v>6</c:v>
                </c:pt>
                <c:pt idx="7">
                  <c:v>29</c:v>
                </c:pt>
                <c:pt idx="8">
                  <c:v>14</c:v>
                </c:pt>
                <c:pt idx="9">
                  <c:v>76</c:v>
                </c:pt>
              </c:numCache>
            </c:numRef>
          </c:val>
          <c:extLst>
            <c:ext xmlns:c16="http://schemas.microsoft.com/office/drawing/2014/chart" uri="{C3380CC4-5D6E-409C-BE32-E72D297353CC}">
              <c16:uniqueId val="{00000000-3D85-40AF-9DA9-E5E598B3E998}"/>
            </c:ext>
          </c:extLst>
        </c:ser>
        <c:ser>
          <c:idx val="1"/>
          <c:order val="1"/>
          <c:tx>
            <c:strRef>
              <c:f>'Participation Year Trend'!$D$55</c:f>
              <c:strCache>
                <c:ptCount val="1"/>
                <c:pt idx="0">
                  <c:v>SFY 14-15</c:v>
                </c:pt>
              </c:strCache>
            </c:strRef>
          </c:tx>
          <c:invertIfNegative val="0"/>
          <c:cat>
            <c:strRef>
              <c:f>'Participation Year Trend'!$B$56:$B$65</c:f>
              <c:strCache>
                <c:ptCount val="10"/>
                <c:pt idx="0">
                  <c:v>STATEWIDE</c:v>
                </c:pt>
                <c:pt idx="1">
                  <c:v>Bay Area</c:v>
                </c:pt>
                <c:pt idx="2">
                  <c:v>Central Coast</c:v>
                </c:pt>
                <c:pt idx="3">
                  <c:v>Central Valley</c:v>
                </c:pt>
                <c:pt idx="4">
                  <c:v>Far North</c:v>
                </c:pt>
                <c:pt idx="5">
                  <c:v>Los Angeles</c:v>
                </c:pt>
                <c:pt idx="6">
                  <c:v>North Coast</c:v>
                </c:pt>
                <c:pt idx="7">
                  <c:v>Sacramento Valley</c:v>
                </c:pt>
                <c:pt idx="8">
                  <c:v>Sierra Range/Foothills</c:v>
                </c:pt>
                <c:pt idx="9">
                  <c:v>Southern California</c:v>
                </c:pt>
              </c:strCache>
            </c:strRef>
          </c:cat>
          <c:val>
            <c:numRef>
              <c:f>'Participation Year Trend'!$D$56:$D$65</c:f>
              <c:numCache>
                <c:formatCode>_(* #,##0_);_(* \(#,##0\);_(* "-"??_);_(@_)</c:formatCode>
                <c:ptCount val="10"/>
                <c:pt idx="0">
                  <c:v>330</c:v>
                </c:pt>
                <c:pt idx="1">
                  <c:v>45</c:v>
                </c:pt>
                <c:pt idx="2">
                  <c:v>16</c:v>
                </c:pt>
                <c:pt idx="3">
                  <c:v>35</c:v>
                </c:pt>
                <c:pt idx="4">
                  <c:v>4</c:v>
                </c:pt>
                <c:pt idx="5">
                  <c:v>109</c:v>
                </c:pt>
                <c:pt idx="6">
                  <c:v>5</c:v>
                </c:pt>
                <c:pt idx="7">
                  <c:v>27</c:v>
                </c:pt>
                <c:pt idx="8">
                  <c:v>12</c:v>
                </c:pt>
                <c:pt idx="9">
                  <c:v>78</c:v>
                </c:pt>
              </c:numCache>
            </c:numRef>
          </c:val>
          <c:extLst>
            <c:ext xmlns:c16="http://schemas.microsoft.com/office/drawing/2014/chart" uri="{C3380CC4-5D6E-409C-BE32-E72D297353CC}">
              <c16:uniqueId val="{00000001-3D85-40AF-9DA9-E5E598B3E998}"/>
            </c:ext>
          </c:extLst>
        </c:ser>
        <c:dLbls>
          <c:showLegendKey val="0"/>
          <c:showVal val="0"/>
          <c:showCatName val="0"/>
          <c:showSerName val="0"/>
          <c:showPercent val="0"/>
          <c:showBubbleSize val="0"/>
        </c:dLbls>
        <c:gapWidth val="150"/>
        <c:axId val="145537664"/>
        <c:axId val="145543936"/>
      </c:barChart>
      <c:catAx>
        <c:axId val="145537664"/>
        <c:scaling>
          <c:orientation val="minMax"/>
        </c:scaling>
        <c:delete val="0"/>
        <c:axPos val="b"/>
        <c:title>
          <c:tx>
            <c:rich>
              <a:bodyPr/>
              <a:lstStyle/>
              <a:p>
                <a:pPr>
                  <a:defRPr/>
                </a:pPr>
                <a:r>
                  <a:rPr lang="en-US"/>
                  <a:t>Geographic</a:t>
                </a:r>
                <a:r>
                  <a:rPr lang="en-US" baseline="0"/>
                  <a:t> </a:t>
                </a:r>
                <a:r>
                  <a:rPr lang="en-US"/>
                  <a:t>Region</a:t>
                </a:r>
              </a:p>
            </c:rich>
          </c:tx>
          <c:overlay val="0"/>
        </c:title>
        <c:numFmt formatCode="General" sourceLinked="0"/>
        <c:majorTickMark val="out"/>
        <c:minorTickMark val="none"/>
        <c:tickLblPos val="nextTo"/>
        <c:crossAx val="145543936"/>
        <c:crosses val="autoZero"/>
        <c:auto val="1"/>
        <c:lblAlgn val="ctr"/>
        <c:lblOffset val="100"/>
        <c:noMultiLvlLbl val="0"/>
      </c:catAx>
      <c:valAx>
        <c:axId val="145543936"/>
        <c:scaling>
          <c:orientation val="minMax"/>
        </c:scaling>
        <c:delete val="0"/>
        <c:axPos val="l"/>
        <c:majorGridlines/>
        <c:title>
          <c:tx>
            <c:rich>
              <a:bodyPr rot="-5400000" vert="horz"/>
              <a:lstStyle/>
              <a:p>
                <a:pPr>
                  <a:defRPr/>
                </a:pPr>
                <a:r>
                  <a:rPr lang="en-US"/>
                  <a:t>Providers</a:t>
                </a:r>
              </a:p>
            </c:rich>
          </c:tx>
          <c:overlay val="0"/>
        </c:title>
        <c:numFmt formatCode="_(* #,##0_);_(* \(#,##0\);_(* &quot;-&quot;??_);_(@_)" sourceLinked="1"/>
        <c:majorTickMark val="out"/>
        <c:minorTickMark val="none"/>
        <c:tickLblPos val="nextTo"/>
        <c:crossAx val="145537664"/>
        <c:crosses val="autoZero"/>
        <c:crossBetween val="between"/>
      </c:valAx>
      <c:spPr>
        <a:solidFill>
          <a:schemeClr val="bg1">
            <a:lumMod val="95000"/>
          </a:schemeClr>
        </a:solidFill>
        <a:ln>
          <a:solidFill>
            <a:sysClr val="windowText" lastClr="000000"/>
          </a:solidFill>
        </a:ln>
      </c:spPr>
    </c:plotArea>
    <c:legend>
      <c:legendPos val="r"/>
      <c:overlay val="0"/>
    </c:legend>
    <c:plotVisOnly val="1"/>
    <c:dispBlanksAs val="gap"/>
    <c:showDLblsOverMax val="0"/>
  </c:chart>
  <c:spPr>
    <a:solidFill>
      <a:schemeClr val="bg1">
        <a:lumMod val="95000"/>
      </a:schemeClr>
    </a:solidFill>
    <a:ln>
      <a:solidFill>
        <a:sysClr val="windowText" lastClr="000000"/>
      </a:solid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9685403907845"/>
          <c:y val="4.8447432443036943E-4"/>
          <c:w val="0.43633639545056868"/>
          <c:h val="0.93085097696121322"/>
        </c:manualLayout>
      </c:layout>
      <c:pieChart>
        <c:varyColors val="1"/>
        <c:ser>
          <c:idx val="0"/>
          <c:order val="0"/>
          <c:tx>
            <c:strRef>
              <c:f>Sheet1!$B$1</c:f>
              <c:strCache>
                <c:ptCount val="1"/>
                <c:pt idx="0">
                  <c:v>Number of Births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D4-454C-98B1-0F19E229D8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D4-454C-98B1-0F19E229D8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D4-454C-98B1-0F19E229D8FA}"/>
              </c:ext>
            </c:extLst>
          </c:dPt>
          <c:dLbls>
            <c:dLbl>
              <c:idx val="0"/>
              <c:layout>
                <c:manualLayout>
                  <c:x val="-0.2230686789151356"/>
                  <c:y val="-4.5181986660270497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0D4-454C-98B1-0F19E229D8FA}"/>
                </c:ext>
              </c:extLst>
            </c:dLbl>
            <c:dLbl>
              <c:idx val="1"/>
              <c:layout>
                <c:manualLayout>
                  <c:x val="0.13851560221638962"/>
                  <c:y val="-0.1661046670241488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0D4-454C-98B1-0F19E229D8FA}"/>
                </c:ext>
              </c:extLst>
            </c:dLbl>
            <c:dLbl>
              <c:idx val="2"/>
              <c:layout>
                <c:manualLayout>
                  <c:x val="0.14286636045494314"/>
                  <c:y val="0.1914637014459214"/>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0D4-454C-98B1-0F19E229D8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Non Medi-Cal Births</c:v>
                </c:pt>
                <c:pt idx="1">
                  <c:v>Non FFS Medi-Cal Births</c:v>
                </c:pt>
                <c:pt idx="2">
                  <c:v>FFS Births</c:v>
                </c:pt>
              </c:strCache>
            </c:strRef>
          </c:cat>
          <c:val>
            <c:numRef>
              <c:f>Sheet1!$B$2:$B$4</c:f>
              <c:numCache>
                <c:formatCode>#,##0</c:formatCode>
                <c:ptCount val="3"/>
                <c:pt idx="0">
                  <c:v>244491</c:v>
                </c:pt>
                <c:pt idx="1">
                  <c:v>100806</c:v>
                </c:pt>
                <c:pt idx="2">
                  <c:v>141855</c:v>
                </c:pt>
              </c:numCache>
            </c:numRef>
          </c:val>
          <c:extLst>
            <c:ext xmlns:c16="http://schemas.microsoft.com/office/drawing/2014/chart" uri="{C3380CC4-5D6E-409C-BE32-E72D297353CC}">
              <c16:uniqueId val="{00000006-70D4-454C-98B1-0F19E229D8FA}"/>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47495625546804"/>
          <c:y val="2.8926528068883475E-2"/>
          <c:w val="0.44777230971128607"/>
          <c:h val="0.92775845465359996"/>
        </c:manualLayout>
      </c:layout>
      <c:pieChart>
        <c:varyColors val="1"/>
        <c:ser>
          <c:idx val="0"/>
          <c:order val="0"/>
          <c:tx>
            <c:strRef>
              <c:f>Sheet1!$B$1</c:f>
              <c:strCache>
                <c:ptCount val="1"/>
                <c:pt idx="0">
                  <c:v>Number of Births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57-48D9-A3F0-362B68DD3A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57-48D9-A3F0-362B68DD3A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57-48D9-A3F0-362B68DD3A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57-48D9-A3F0-362B68DD3A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557-48D9-A3F0-362B68DD3A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557-48D9-A3F0-362B68DD3AC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557-48D9-A3F0-362B68DD3AC9}"/>
              </c:ext>
            </c:extLst>
          </c:dPt>
          <c:dLbls>
            <c:dLbl>
              <c:idx val="0"/>
              <c:layout>
                <c:manualLayout>
                  <c:x val="0.13129684310294545"/>
                  <c:y val="0.1347162899601578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557-48D9-A3F0-362B68DD3AC9}"/>
                </c:ext>
              </c:extLst>
            </c:dLbl>
            <c:dLbl>
              <c:idx val="1"/>
              <c:layout>
                <c:manualLayout>
                  <c:x val="5.9011555847185766E-2"/>
                  <c:y val="0.2333265356218961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557-48D9-A3F0-362B68DD3AC9}"/>
                </c:ext>
              </c:extLst>
            </c:dLbl>
            <c:dLbl>
              <c:idx val="2"/>
              <c:layout>
                <c:manualLayout>
                  <c:x val="-0.15182378244386119"/>
                  <c:y val="-0.1036795400574928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557-48D9-A3F0-362B68DD3AC9}"/>
                </c:ext>
              </c:extLst>
            </c:dLbl>
            <c:dLbl>
              <c:idx val="3"/>
              <c:layout>
                <c:manualLayout>
                  <c:x val="0.10945282881306503"/>
                  <c:y val="-0.22636889138857649"/>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557-48D9-A3F0-362B68DD3AC9}"/>
                </c:ext>
              </c:extLst>
            </c:dLbl>
            <c:dLbl>
              <c:idx val="4"/>
              <c:layout>
                <c:manualLayout>
                  <c:x val="0.13700914989792939"/>
                  <c:y val="0.16139388826396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A557-48D9-A3F0-362B68DD3AC9}"/>
                </c:ext>
              </c:extLst>
            </c:dLbl>
            <c:dLbl>
              <c:idx val="6"/>
              <c:tx>
                <c:rich>
                  <a:bodyPr/>
                  <a:lstStyle/>
                  <a:p>
                    <a:fld id="{69EE490A-3FFE-4CC9-89BA-016EA8372951}" type="CATEGORYNAME">
                      <a:rPr lang="en-US"/>
                      <a:pPr/>
                      <a:t>[CATEGORY NAME]</a:t>
                    </a:fld>
                    <a:endParaRPr lang="en-US" baseline="0"/>
                  </a:p>
                  <a:p>
                    <a:r>
                      <a:rPr lang="en-US"/>
                      <a:t>&lt;1%</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A557-48D9-A3F0-362B68DD3A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Age 0-17</c:v>
                </c:pt>
                <c:pt idx="1">
                  <c:v>Age 18-19</c:v>
                </c:pt>
                <c:pt idx="2">
                  <c:v>Age 20-24</c:v>
                </c:pt>
                <c:pt idx="3">
                  <c:v>Age 25-29</c:v>
                </c:pt>
                <c:pt idx="4">
                  <c:v>Age 30-34</c:v>
                </c:pt>
                <c:pt idx="5">
                  <c:v>Age 35 and Older</c:v>
                </c:pt>
                <c:pt idx="6">
                  <c:v>Invalid Age</c:v>
                </c:pt>
              </c:strCache>
            </c:strRef>
          </c:cat>
          <c:val>
            <c:numRef>
              <c:f>Sheet1!$B$2:$B$8</c:f>
              <c:numCache>
                <c:formatCode>#,##0</c:formatCode>
                <c:ptCount val="7"/>
                <c:pt idx="0">
                  <c:v>2942</c:v>
                </c:pt>
                <c:pt idx="1">
                  <c:v>8211</c:v>
                </c:pt>
                <c:pt idx="2">
                  <c:v>38102</c:v>
                </c:pt>
                <c:pt idx="3">
                  <c:v>40928</c:v>
                </c:pt>
                <c:pt idx="4">
                  <c:v>30733</c:v>
                </c:pt>
                <c:pt idx="5">
                  <c:v>20760</c:v>
                </c:pt>
                <c:pt idx="6">
                  <c:v>1</c:v>
                </c:pt>
              </c:numCache>
            </c:numRef>
          </c:val>
          <c:extLst>
            <c:ext xmlns:c16="http://schemas.microsoft.com/office/drawing/2014/chart" uri="{C3380CC4-5D6E-409C-BE32-E72D297353CC}">
              <c16:uniqueId val="{0000000E-A557-48D9-A3F0-362B68DD3AC9}"/>
            </c:ext>
          </c:extLst>
        </c:ser>
        <c:dLbls>
          <c:showLegendKey val="0"/>
          <c:showVal val="1"/>
          <c:showCatName val="0"/>
          <c:showSerName val="0"/>
          <c:showPercent val="0"/>
          <c:showBubbleSize val="0"/>
          <c:showLeaderLines val="1"/>
        </c:dLbls>
        <c:firstSliceAng val="41"/>
      </c:pieChart>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22641440653252"/>
          <c:y val="2.3448094092840908E-2"/>
          <c:w val="0.38621263487897345"/>
          <c:h val="0.93078860958279797"/>
        </c:manualLayout>
      </c:layout>
      <c:pieChart>
        <c:varyColors val="1"/>
        <c:ser>
          <c:idx val="0"/>
          <c:order val="0"/>
          <c:tx>
            <c:strRef>
              <c:f>Sheet1!$B$1</c:f>
              <c:strCache>
                <c:ptCount val="1"/>
                <c:pt idx="0">
                  <c:v>Number of Births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56-4DD4-9C34-7EC383029A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56-4DD4-9C34-7EC383029A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56-4DD4-9C34-7EC383029A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56-4DD4-9C34-7EC383029A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C56-4DD4-9C34-7EC383029A90}"/>
              </c:ext>
            </c:extLst>
          </c:dPt>
          <c:dLbls>
            <c:dLbl>
              <c:idx val="0"/>
              <c:layout>
                <c:manualLayout>
                  <c:x val="9.8998797025371829E-2"/>
                  <c:y val="-0.2194841269841269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56-4DD4-9C34-7EC383029A90}"/>
                </c:ext>
              </c:extLst>
            </c:dLbl>
            <c:dLbl>
              <c:idx val="1"/>
              <c:layout>
                <c:manualLayout>
                  <c:x val="-5.7464457567804113E-2"/>
                  <c:y val="0.15218440791135418"/>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C56-4DD4-9C34-7EC383029A90}"/>
                </c:ext>
              </c:extLst>
            </c:dLbl>
            <c:dLbl>
              <c:idx val="2"/>
              <c:layout>
                <c:manualLayout>
                  <c:x val="2.9385207057451151E-2"/>
                  <c:y val="-0.1487742157230346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C56-4DD4-9C34-7EC383029A90}"/>
                </c:ext>
              </c:extLst>
            </c:dLbl>
            <c:dLbl>
              <c:idx val="3"/>
              <c:tx>
                <c:rich>
                  <a:bodyPr/>
                  <a:lstStyle/>
                  <a:p>
                    <a:fld id="{8F706283-D6A9-4265-8B1F-97B7F5CD962B}" type="CATEGORYNAME">
                      <a:rPr lang="en-US"/>
                      <a:pPr/>
                      <a:t>[CATEGORY NAME]</a:t>
                    </a:fld>
                    <a:endParaRPr lang="en-US" baseline="0"/>
                  </a:p>
                  <a:p>
                    <a:fld id="{858EBA87-6161-4CCB-8C76-DF1E4E20783A}" type="VALUE">
                      <a:rPr lang="en-US"/>
                      <a:pPr/>
                      <a:t>[VALUE]</a:t>
                    </a:fld>
                    <a:endParaRPr lang="en-US" baseline="0"/>
                  </a:p>
                  <a:p>
                    <a:r>
                      <a:rPr lang="en-US"/>
                      <a:t>&lt;1%</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EC56-4DD4-9C34-7EC383029A90}"/>
                </c:ext>
              </c:extLst>
            </c:dLbl>
            <c:dLbl>
              <c:idx val="4"/>
              <c:layout>
                <c:manualLayout>
                  <c:x val="5.4843157626130068E-2"/>
                  <c:y val="0.28113423322084741"/>
                </c:manualLayout>
              </c:layout>
              <c:tx>
                <c:rich>
                  <a:bodyPr/>
                  <a:lstStyle/>
                  <a:p>
                    <a:fld id="{CCF6A6BA-90DC-4858-B1F8-1B7F0FA32B1B}" type="CATEGORYNAME">
                      <a:rPr lang="en-US"/>
                      <a:pPr/>
                      <a:t>[CATEGORY NAME]</a:t>
                    </a:fld>
                    <a:endParaRPr lang="en-US" baseline="0"/>
                  </a:p>
                  <a:p>
                    <a:fld id="{1B731367-29AF-4CDA-8352-48133CF1E621}" type="VALUE">
                      <a:rPr lang="en-US"/>
                      <a:pPr/>
                      <a:t>[VALUE]</a:t>
                    </a:fld>
                    <a:endParaRPr lang="en-US" baseline="0"/>
                  </a:p>
                  <a:p>
                    <a:r>
                      <a:rPr lang="en-US"/>
                      <a:t>&lt;1%</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EC56-4DD4-9C34-7EC383029A9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Parent/Caretaker Relative &amp; Child</c:v>
                </c:pt>
                <c:pt idx="1">
                  <c:v>Undocumented</c:v>
                </c:pt>
                <c:pt idx="2">
                  <c:v>Seniors and Persons with Disabilities</c:v>
                </c:pt>
                <c:pt idx="3">
                  <c:v>Other</c:v>
                </c:pt>
                <c:pt idx="4">
                  <c:v>Adoption/Foster Care</c:v>
                </c:pt>
              </c:strCache>
            </c:strRef>
          </c:cat>
          <c:val>
            <c:numRef>
              <c:f>Sheet1!$B$2:$B$6</c:f>
              <c:numCache>
                <c:formatCode>#,##0</c:formatCode>
                <c:ptCount val="5"/>
                <c:pt idx="0">
                  <c:v>78294</c:v>
                </c:pt>
                <c:pt idx="1">
                  <c:v>61428</c:v>
                </c:pt>
                <c:pt idx="2">
                  <c:v>987</c:v>
                </c:pt>
                <c:pt idx="3">
                  <c:v>506</c:v>
                </c:pt>
                <c:pt idx="4">
                  <c:v>462</c:v>
                </c:pt>
              </c:numCache>
            </c:numRef>
          </c:val>
          <c:extLst>
            <c:ext xmlns:c16="http://schemas.microsoft.com/office/drawing/2014/chart" uri="{C3380CC4-5D6E-409C-BE32-E72D297353CC}">
              <c16:uniqueId val="{0000000A-EC56-4DD4-9C34-7EC383029A90}"/>
            </c:ext>
          </c:extLst>
        </c:ser>
        <c:dLbls>
          <c:showLegendKey val="0"/>
          <c:showVal val="1"/>
          <c:showCatName val="0"/>
          <c:showSerName val="0"/>
          <c:showPercent val="0"/>
          <c:showBubbleSize val="0"/>
          <c:showLeaderLines val="1"/>
        </c:dLbls>
        <c:firstSliceAng val="92"/>
      </c:pieChart>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Number of Births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D2-48CC-B7FA-B46E821039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D2-48CC-B7FA-B46E821039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D2-48CC-B7FA-B46E821039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D2-48CC-B7FA-B46E821039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D2-48CC-B7FA-B46E8210396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D2-48CC-B7FA-B46E82103961}"/>
              </c:ext>
            </c:extLst>
          </c:dPt>
          <c:dLbls>
            <c:dLbl>
              <c:idx val="0"/>
              <c:layout>
                <c:manualLayout>
                  <c:x val="0.16119805336832896"/>
                  <c:y val="-0.20249531308586427"/>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8D2-48CC-B7FA-B46E82103961}"/>
                </c:ext>
              </c:extLst>
            </c:dLbl>
            <c:dLbl>
              <c:idx val="1"/>
              <c:layout>
                <c:manualLayout>
                  <c:x val="-8.6071558763487904E-2"/>
                  <c:y val="0.20634920634920634"/>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8D2-48CC-B7FA-B46E82103961}"/>
                </c:ext>
              </c:extLst>
            </c:dLbl>
            <c:dLbl>
              <c:idx val="2"/>
              <c:layout>
                <c:manualLayout>
                  <c:x val="3.7459900845727701E-2"/>
                  <c:y val="-0.12931039870016248"/>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8D2-48CC-B7FA-B46E82103961}"/>
                </c:ext>
              </c:extLst>
            </c:dLbl>
            <c:dLbl>
              <c:idx val="3"/>
              <c:layout>
                <c:manualLayout>
                  <c:x val="6.6008129192184309E-2"/>
                  <c:y val="-8.434351956005499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8D2-48CC-B7FA-B46E82103961}"/>
                </c:ext>
              </c:extLst>
            </c:dLbl>
            <c:dLbl>
              <c:idx val="4"/>
              <c:layout>
                <c:manualLayout>
                  <c:x val="9.4242946194225727E-2"/>
                  <c:y val="6.378265216847894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A8D2-48CC-B7FA-B46E82103961}"/>
                </c:ext>
              </c:extLst>
            </c:dLbl>
            <c:dLbl>
              <c:idx val="5"/>
              <c:layout>
                <c:manualLayout>
                  <c:x val="4.4699074074074072E-2"/>
                  <c:y val="0.25107799025121857"/>
                </c:manualLayout>
              </c:layout>
              <c:tx>
                <c:rich>
                  <a:bodyPr/>
                  <a:lstStyle/>
                  <a:p>
                    <a:fld id="{3BAA4486-AD07-478D-9C96-839E5C5B910D}" type="CATEGORYNAME">
                      <a:rPr lang="en-US"/>
                      <a:pPr/>
                      <a:t>[CATEGORY NAME]</a:t>
                    </a:fld>
                    <a:endParaRPr lang="en-US" baseline="0"/>
                  </a:p>
                  <a:p>
                    <a:fld id="{71DC7395-AF5B-436A-B084-C6A45D5743E2}" type="VALUE">
                      <a:rPr lang="en-US"/>
                      <a:pPr/>
                      <a:t>[VALUE]</a:t>
                    </a:fld>
                    <a:endParaRPr lang="en-US" baseline="0"/>
                  </a:p>
                  <a:p>
                    <a:r>
                      <a:rPr lang="en-US"/>
                      <a:t>&lt;1%</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A8D2-48CC-B7FA-B46E8210396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Hispanic</c:v>
                </c:pt>
                <c:pt idx="1">
                  <c:v>White</c:v>
                </c:pt>
                <c:pt idx="2">
                  <c:v>Asian/Pacific Islander</c:v>
                </c:pt>
                <c:pt idx="3">
                  <c:v>African American</c:v>
                </c:pt>
                <c:pt idx="4">
                  <c:v>Other</c:v>
                </c:pt>
                <c:pt idx="5">
                  <c:v>American Indian/Alaskan Native</c:v>
                </c:pt>
              </c:strCache>
            </c:strRef>
          </c:cat>
          <c:val>
            <c:numRef>
              <c:f>Sheet1!$B$2:$B$7</c:f>
              <c:numCache>
                <c:formatCode>#,##0</c:formatCode>
                <c:ptCount val="6"/>
                <c:pt idx="0">
                  <c:v>103607</c:v>
                </c:pt>
                <c:pt idx="1">
                  <c:v>19606</c:v>
                </c:pt>
                <c:pt idx="2">
                  <c:v>9058</c:v>
                </c:pt>
                <c:pt idx="3">
                  <c:v>5162</c:v>
                </c:pt>
                <c:pt idx="4">
                  <c:v>3854</c:v>
                </c:pt>
                <c:pt idx="5">
                  <c:v>598</c:v>
                </c:pt>
              </c:numCache>
            </c:numRef>
          </c:val>
          <c:extLst>
            <c:ext xmlns:c16="http://schemas.microsoft.com/office/drawing/2014/chart" uri="{C3380CC4-5D6E-409C-BE32-E72D297353CC}">
              <c16:uniqueId val="{0000000C-A8D2-48CC-B7FA-B46E82103961}"/>
            </c:ext>
          </c:extLst>
        </c:ser>
        <c:dLbls>
          <c:showLegendKey val="0"/>
          <c:showVal val="1"/>
          <c:showCatName val="0"/>
          <c:showSerName val="0"/>
          <c:showPercent val="0"/>
          <c:showBubbleSize val="0"/>
          <c:showLeaderLines val="1"/>
        </c:dLbls>
        <c:firstSliceAng val="98"/>
      </c:pieChart>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Number of Births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C9-4FC0-A2DF-F4F4102A96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C9-4FC0-A2DF-F4F4102A96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C9-4FC0-A2DF-F4F4102A96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C9-4FC0-A2DF-F4F4102A96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AC9-4FC0-A2DF-F4F4102A96B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AC9-4FC0-A2DF-F4F4102A96B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AC9-4FC0-A2DF-F4F4102A96B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AC9-4FC0-A2DF-F4F4102A96B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AC9-4FC0-A2DF-F4F4102A96B0}"/>
              </c:ext>
            </c:extLst>
          </c:dPt>
          <c:dLbls>
            <c:dLbl>
              <c:idx val="0"/>
              <c:layout>
                <c:manualLayout>
                  <c:x val="8.2363480606590836E-2"/>
                  <c:y val="-0.2218497687789027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AC9-4FC0-A2DF-F4F4102A96B0}"/>
                </c:ext>
              </c:extLst>
            </c:dLbl>
            <c:dLbl>
              <c:idx val="1"/>
              <c:layout>
                <c:manualLayout>
                  <c:x val="0.19868795299670111"/>
                  <c:y val="0.167616830915003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AC9-4FC0-A2DF-F4F4102A96B0}"/>
                </c:ext>
              </c:extLst>
            </c:dLbl>
            <c:dLbl>
              <c:idx val="2"/>
              <c:layout>
                <c:manualLayout>
                  <c:x val="-8.7627132545931755E-2"/>
                  <c:y val="0.1716269841269841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1AC9-4FC0-A2DF-F4F4102A96B0}"/>
                </c:ext>
              </c:extLst>
            </c:dLbl>
            <c:dLbl>
              <c:idx val="4"/>
              <c:layout>
                <c:manualLayout>
                  <c:x val="7.7948563721201347E-2"/>
                  <c:y val="-0.2853077740282464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1AC9-4FC0-A2DF-F4F4102A96B0}"/>
                </c:ext>
              </c:extLst>
            </c:dLbl>
            <c:dLbl>
              <c:idx val="5"/>
              <c:layout>
                <c:manualLayout>
                  <c:x val="0.10591271143190435"/>
                  <c:y val="-0.2632277215348081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1AC9-4FC0-A2DF-F4F4102A96B0}"/>
                </c:ext>
              </c:extLst>
            </c:dLbl>
            <c:dLbl>
              <c:idx val="6"/>
              <c:layout>
                <c:manualLayout>
                  <c:x val="0.15023858996792067"/>
                  <c:y val="-0.1756977252843395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1AC9-4FC0-A2DF-F4F4102A96B0}"/>
                </c:ext>
              </c:extLst>
            </c:dLbl>
            <c:dLbl>
              <c:idx val="7"/>
              <c:layout>
                <c:manualLayout>
                  <c:x val="0.10272956765820948"/>
                  <c:y val="-1.017997750281214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1AC9-4FC0-A2DF-F4F4102A96B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Los Angeles</c:v>
                </c:pt>
                <c:pt idx="1">
                  <c:v>Southern California</c:v>
                </c:pt>
                <c:pt idx="2">
                  <c:v>Central Valley</c:v>
                </c:pt>
                <c:pt idx="3">
                  <c:v>Bay Area</c:v>
                </c:pt>
                <c:pt idx="4">
                  <c:v>Central Coast</c:v>
                </c:pt>
                <c:pt idx="5">
                  <c:v>Sacramento Valley</c:v>
                </c:pt>
                <c:pt idx="6">
                  <c:v>Sierra Range/Foothills</c:v>
                </c:pt>
                <c:pt idx="7">
                  <c:v>North Coast</c:v>
                </c:pt>
                <c:pt idx="8">
                  <c:v>Far North</c:v>
                </c:pt>
              </c:strCache>
            </c:strRef>
          </c:cat>
          <c:val>
            <c:numRef>
              <c:f>Sheet1!$B$2:$B$10</c:f>
              <c:numCache>
                <c:formatCode>#,##0</c:formatCode>
                <c:ptCount val="9"/>
                <c:pt idx="0">
                  <c:v>40914</c:v>
                </c:pt>
                <c:pt idx="1">
                  <c:v>40035</c:v>
                </c:pt>
                <c:pt idx="2">
                  <c:v>19639</c:v>
                </c:pt>
                <c:pt idx="3">
                  <c:v>17078</c:v>
                </c:pt>
                <c:pt idx="4">
                  <c:v>10146</c:v>
                </c:pt>
                <c:pt idx="5">
                  <c:v>8180</c:v>
                </c:pt>
                <c:pt idx="6">
                  <c:v>2724</c:v>
                </c:pt>
                <c:pt idx="7">
                  <c:v>1697</c:v>
                </c:pt>
                <c:pt idx="8">
                  <c:v>1258</c:v>
                </c:pt>
              </c:numCache>
            </c:numRef>
          </c:val>
          <c:extLst>
            <c:ext xmlns:c16="http://schemas.microsoft.com/office/drawing/2014/chart" uri="{C3380CC4-5D6E-409C-BE32-E72D297353CC}">
              <c16:uniqueId val="{00000012-1AC9-4FC0-A2DF-F4F4102A96B0}"/>
            </c:ext>
          </c:extLst>
        </c:ser>
        <c:dLbls>
          <c:showLegendKey val="0"/>
          <c:showVal val="1"/>
          <c:showCatName val="0"/>
          <c:showSerName val="0"/>
          <c:showPercent val="0"/>
          <c:showBubbleSize val="0"/>
          <c:showLeaderLines val="1"/>
        </c:dLbls>
        <c:firstSliceAng val="146"/>
      </c:pieChart>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45771361913091E-2"/>
          <c:y val="4.3650793650793648E-2"/>
          <c:w val="0.69260608048993877"/>
          <c:h val="0.77351831021122364"/>
        </c:manualLayout>
      </c:layout>
      <c:barChart>
        <c:barDir val="col"/>
        <c:grouping val="clustered"/>
        <c:varyColors val="0"/>
        <c:ser>
          <c:idx val="0"/>
          <c:order val="0"/>
          <c:tx>
            <c:strRef>
              <c:f>Sheet1!$B$1</c:f>
              <c:strCache>
                <c:ptCount val="1"/>
                <c:pt idx="0">
                  <c:v>Percent of Births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FFS Medi-Cal Births</c:v>
                </c:pt>
                <c:pt idx="1">
                  <c:v>Non-Medi-Cal</c:v>
                </c:pt>
              </c:strCache>
            </c:strRef>
          </c:cat>
          <c:val>
            <c:numRef>
              <c:f>Sheet1!$B$2:$B$3</c:f>
              <c:numCache>
                <c:formatCode>0.0%</c:formatCode>
                <c:ptCount val="2"/>
                <c:pt idx="0">
                  <c:v>0.78172962043929783</c:v>
                </c:pt>
                <c:pt idx="1">
                  <c:v>0.88892245884504839</c:v>
                </c:pt>
              </c:numCache>
            </c:numRef>
          </c:val>
          <c:extLst>
            <c:ext xmlns:c16="http://schemas.microsoft.com/office/drawing/2014/chart" uri="{C3380CC4-5D6E-409C-BE32-E72D297353CC}">
              <c16:uniqueId val="{00000000-4A98-4FF3-AF20-C7DF90CCF16B}"/>
            </c:ext>
          </c:extLst>
        </c:ser>
        <c:dLbls>
          <c:showLegendKey val="0"/>
          <c:showVal val="0"/>
          <c:showCatName val="0"/>
          <c:showSerName val="0"/>
          <c:showPercent val="0"/>
          <c:showBubbleSize val="0"/>
        </c:dLbls>
        <c:gapWidth val="219"/>
        <c:axId val="150473344"/>
        <c:axId val="150479232"/>
      </c:barChart>
      <c:lineChart>
        <c:grouping val="standard"/>
        <c:varyColors val="0"/>
        <c:ser>
          <c:idx val="1"/>
          <c:order val="1"/>
          <c:tx>
            <c:strRef>
              <c:f>Sheet1!$C$1</c:f>
              <c:strCache>
                <c:ptCount val="1"/>
                <c:pt idx="0">
                  <c:v>Healthy People 2020 Goal</c:v>
                </c:pt>
              </c:strCache>
            </c:strRef>
          </c:tx>
          <c:spPr>
            <a:ln w="28575" cap="rnd">
              <a:solidFill>
                <a:schemeClr val="accent2"/>
              </a:solidFill>
              <a:round/>
            </a:ln>
            <a:effectLst/>
          </c:spPr>
          <c:marker>
            <c:symbol val="none"/>
          </c:marker>
          <c:cat>
            <c:strRef>
              <c:f>Sheet1!$A$2:$A$3</c:f>
              <c:strCache>
                <c:ptCount val="2"/>
                <c:pt idx="0">
                  <c:v>FFS Medi-Cal Births</c:v>
                </c:pt>
                <c:pt idx="1">
                  <c:v>Non-Medi-Cal</c:v>
                </c:pt>
              </c:strCache>
            </c:strRef>
          </c:cat>
          <c:val>
            <c:numRef>
              <c:f>Sheet1!$C$2:$C$3</c:f>
              <c:numCache>
                <c:formatCode>0.0%</c:formatCode>
                <c:ptCount val="2"/>
                <c:pt idx="0">
                  <c:v>0.77900000000000003</c:v>
                </c:pt>
                <c:pt idx="1">
                  <c:v>0.77900000000000003</c:v>
                </c:pt>
              </c:numCache>
            </c:numRef>
          </c:val>
          <c:smooth val="0"/>
          <c:extLst>
            <c:ext xmlns:c16="http://schemas.microsoft.com/office/drawing/2014/chart" uri="{C3380CC4-5D6E-409C-BE32-E72D297353CC}">
              <c16:uniqueId val="{00000001-4A98-4FF3-AF20-C7DF90CCF16B}"/>
            </c:ext>
          </c:extLst>
        </c:ser>
        <c:dLbls>
          <c:showLegendKey val="0"/>
          <c:showVal val="0"/>
          <c:showCatName val="0"/>
          <c:showSerName val="0"/>
          <c:showPercent val="0"/>
          <c:showBubbleSize val="0"/>
        </c:dLbls>
        <c:marker val="1"/>
        <c:smooth val="0"/>
        <c:axId val="150482304"/>
        <c:axId val="150480768"/>
      </c:lineChart>
      <c:catAx>
        <c:axId val="15047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0479232"/>
        <c:crosses val="autoZero"/>
        <c:auto val="1"/>
        <c:lblAlgn val="ctr"/>
        <c:lblOffset val="100"/>
        <c:noMultiLvlLbl val="0"/>
      </c:catAx>
      <c:valAx>
        <c:axId val="150479232"/>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73344"/>
        <c:crosses val="autoZero"/>
        <c:crossBetween val="between"/>
        <c:majorUnit val="0.2"/>
      </c:valAx>
      <c:valAx>
        <c:axId val="150480768"/>
        <c:scaling>
          <c:orientation val="minMax"/>
        </c:scaling>
        <c:delete val="1"/>
        <c:axPos val="r"/>
        <c:numFmt formatCode="0.0%" sourceLinked="1"/>
        <c:majorTickMark val="out"/>
        <c:minorTickMark val="none"/>
        <c:tickLblPos val="nextTo"/>
        <c:crossAx val="150482304"/>
        <c:crosses val="max"/>
        <c:crossBetween val="between"/>
      </c:valAx>
      <c:catAx>
        <c:axId val="150482304"/>
        <c:scaling>
          <c:orientation val="minMax"/>
        </c:scaling>
        <c:delete val="1"/>
        <c:axPos val="b"/>
        <c:numFmt formatCode="General" sourceLinked="1"/>
        <c:majorTickMark val="out"/>
        <c:minorTickMark val="none"/>
        <c:tickLblPos val="nextTo"/>
        <c:crossAx val="150480768"/>
        <c:crosses val="autoZero"/>
        <c:auto val="1"/>
        <c:lblAlgn val="ctr"/>
        <c:lblOffset val="100"/>
        <c:noMultiLvlLbl val="0"/>
      </c:cat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8438593613298335"/>
          <c:y val="0.1592257217847769"/>
          <c:w val="0.21363535287255761"/>
          <c:h val="0.166171103612048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Early Prenatal Care Access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Full-Scope</c:v>
                </c:pt>
                <c:pt idx="1">
                  <c:v>Restricted</c:v>
                </c:pt>
              </c:strCache>
            </c:strRef>
          </c:cat>
          <c:val>
            <c:numRef>
              <c:f>Sheet1!$B$2:$B$3</c:f>
              <c:numCache>
                <c:formatCode>0.0%</c:formatCode>
                <c:ptCount val="2"/>
                <c:pt idx="0">
                  <c:v>0.71499999999999997</c:v>
                </c:pt>
                <c:pt idx="1">
                  <c:v>0.80100000000000005</c:v>
                </c:pt>
              </c:numCache>
            </c:numRef>
          </c:val>
          <c:extLst>
            <c:ext xmlns:c16="http://schemas.microsoft.com/office/drawing/2014/chart" uri="{C3380CC4-5D6E-409C-BE32-E72D297353CC}">
              <c16:uniqueId val="{00000000-52AA-47D9-963D-79F7B16A4201}"/>
            </c:ext>
          </c:extLst>
        </c:ser>
        <c:ser>
          <c:idx val="1"/>
          <c:order val="1"/>
          <c:tx>
            <c:strRef>
              <c:f>Sheet1!$C$1</c:f>
              <c:strCache>
                <c:ptCount val="1"/>
                <c:pt idx="0">
                  <c:v>Did Not Access Early Prenatal Care</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Full-Scope</c:v>
                </c:pt>
                <c:pt idx="1">
                  <c:v>Restricted</c:v>
                </c:pt>
              </c:strCache>
            </c:strRef>
          </c:cat>
          <c:val>
            <c:numRef>
              <c:f>Sheet1!$C$2:$C$3</c:f>
              <c:numCache>
                <c:formatCode>0.0%</c:formatCode>
                <c:ptCount val="2"/>
                <c:pt idx="0">
                  <c:v>0.28499999999999998</c:v>
                </c:pt>
                <c:pt idx="1">
                  <c:v>0.19900000000000001</c:v>
                </c:pt>
              </c:numCache>
            </c:numRef>
          </c:val>
          <c:extLst>
            <c:ext xmlns:c16="http://schemas.microsoft.com/office/drawing/2014/chart" uri="{C3380CC4-5D6E-409C-BE32-E72D297353CC}">
              <c16:uniqueId val="{00000001-52AA-47D9-963D-79F7B16A4201}"/>
            </c:ext>
          </c:extLst>
        </c:ser>
        <c:dLbls>
          <c:showLegendKey val="0"/>
          <c:showVal val="0"/>
          <c:showCatName val="0"/>
          <c:showSerName val="0"/>
          <c:showPercent val="0"/>
          <c:showBubbleSize val="0"/>
        </c:dLbls>
        <c:gapWidth val="67"/>
        <c:overlap val="100"/>
        <c:axId val="152713856"/>
        <c:axId val="152732032"/>
      </c:barChart>
      <c:catAx>
        <c:axId val="15271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2732032"/>
        <c:crosses val="autoZero"/>
        <c:auto val="1"/>
        <c:lblAlgn val="ctr"/>
        <c:lblOffset val="100"/>
        <c:noMultiLvlLbl val="0"/>
      </c:catAx>
      <c:valAx>
        <c:axId val="1527320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1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469493944835841"/>
          <c:y val="0.19344526787092789"/>
          <c:w val="0.25735793653323696"/>
          <c:h val="0.65759389990044348"/>
        </c:manualLayout>
      </c:layout>
      <c:pieChart>
        <c:varyColors val="1"/>
        <c:ser>
          <c:idx val="0"/>
          <c:order val="0"/>
          <c:dPt>
            <c:idx val="0"/>
            <c:bubble3D val="0"/>
            <c:explosion val="6"/>
            <c:extLst>
              <c:ext xmlns:c16="http://schemas.microsoft.com/office/drawing/2014/chart" uri="{C3380CC4-5D6E-409C-BE32-E72D297353CC}">
                <c16:uniqueId val="{00000000-04C9-4AF0-B5C0-2144DFE978DE}"/>
              </c:ext>
            </c:extLst>
          </c:dPt>
          <c:dPt>
            <c:idx val="1"/>
            <c:bubble3D val="0"/>
            <c:explosion val="5"/>
            <c:extLst>
              <c:ext xmlns:c16="http://schemas.microsoft.com/office/drawing/2014/chart" uri="{C3380CC4-5D6E-409C-BE32-E72D297353CC}">
                <c16:uniqueId val="{00000001-04C9-4AF0-B5C0-2144DFE978DE}"/>
              </c:ext>
            </c:extLst>
          </c:dPt>
          <c:dPt>
            <c:idx val="2"/>
            <c:bubble3D val="0"/>
            <c:explosion val="5"/>
            <c:extLst>
              <c:ext xmlns:c16="http://schemas.microsoft.com/office/drawing/2014/chart" uri="{C3380CC4-5D6E-409C-BE32-E72D297353CC}">
                <c16:uniqueId val="{00000002-04C9-4AF0-B5C0-2144DFE978DE}"/>
              </c:ext>
            </c:extLst>
          </c:dPt>
          <c:dPt>
            <c:idx val="3"/>
            <c:bubble3D val="0"/>
            <c:explosion val="4"/>
            <c:extLst>
              <c:ext xmlns:c16="http://schemas.microsoft.com/office/drawing/2014/chart" uri="{C3380CC4-5D6E-409C-BE32-E72D297353CC}">
                <c16:uniqueId val="{00000003-04C9-4AF0-B5C0-2144DFE978DE}"/>
              </c:ext>
            </c:extLst>
          </c:dPt>
          <c:dPt>
            <c:idx val="4"/>
            <c:bubble3D val="0"/>
            <c:explosion val="6"/>
            <c:extLst>
              <c:ext xmlns:c16="http://schemas.microsoft.com/office/drawing/2014/chart" uri="{C3380CC4-5D6E-409C-BE32-E72D297353CC}">
                <c16:uniqueId val="{00000004-04C9-4AF0-B5C0-2144DFE978DE}"/>
              </c:ext>
            </c:extLst>
          </c:dPt>
          <c:dPt>
            <c:idx val="5"/>
            <c:bubble3D val="0"/>
            <c:explosion val="5"/>
            <c:extLst>
              <c:ext xmlns:c16="http://schemas.microsoft.com/office/drawing/2014/chart" uri="{C3380CC4-5D6E-409C-BE32-E72D297353CC}">
                <c16:uniqueId val="{00000005-04C9-4AF0-B5C0-2144DFE978DE}"/>
              </c:ext>
            </c:extLst>
          </c:dPt>
          <c:dPt>
            <c:idx val="6"/>
            <c:bubble3D val="0"/>
            <c:explosion val="5"/>
            <c:extLst>
              <c:ext xmlns:c16="http://schemas.microsoft.com/office/drawing/2014/chart" uri="{C3380CC4-5D6E-409C-BE32-E72D297353CC}">
                <c16:uniqueId val="{00000006-04C9-4AF0-B5C0-2144DFE978DE}"/>
              </c:ext>
            </c:extLst>
          </c:dPt>
          <c:dLbls>
            <c:dLbl>
              <c:idx val="0"/>
              <c:layout>
                <c:manualLayout>
                  <c:x val="9.0906781813563636E-3"/>
                  <c:y val="-8.1970853895469875E-2"/>
                </c:manualLayout>
              </c:layout>
              <c:tx>
                <c:rich>
                  <a:bodyPr/>
                  <a:lstStyle/>
                  <a:p>
                    <a:fld id="{D6D99446-7455-425F-A98F-80E73E33C05C}" type="CATEGORYNAME">
                      <a:rPr lang="en-US"/>
                      <a:pPr/>
                      <a:t>[CATEGORY NAME]</a:t>
                    </a:fld>
                    <a:r>
                      <a:rPr lang="en-US" baseline="0"/>
                      <a:t/>
                    </a:r>
                    <a:br>
                      <a:rPr lang="en-US" baseline="0"/>
                    </a:br>
                    <a:fld id="{526E86C1-4C7A-4935-B85C-CA368FE5041B}"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4C9-4AF0-B5C0-2144DFE978DE}"/>
                </c:ext>
              </c:extLst>
            </c:dLbl>
            <c:dLbl>
              <c:idx val="1"/>
              <c:layout>
                <c:manualLayout>
                  <c:x val="2.8100922868512405E-2"/>
                  <c:y val="-2.3067324655036026E-2"/>
                </c:manualLayout>
              </c:layout>
              <c:tx>
                <c:rich>
                  <a:bodyPr/>
                  <a:lstStyle/>
                  <a:p>
                    <a:fld id="{7ABD77B7-5484-45D0-91C2-FA2EEF69647B}" type="CATEGORYNAME">
                      <a:rPr lang="en-US"/>
                      <a:pPr/>
                      <a:t>[CATEGORY NAME]</a:t>
                    </a:fld>
                    <a:r>
                      <a:rPr lang="en-US" baseline="0"/>
                      <a:t/>
                    </a:r>
                    <a:br>
                      <a:rPr lang="en-US" baseline="0"/>
                    </a:br>
                    <a:fld id="{42988303-14E9-42FB-BC2D-AD8088A0C8E5}"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4C9-4AF0-B5C0-2144DFE978DE}"/>
                </c:ext>
              </c:extLst>
            </c:dLbl>
            <c:dLbl>
              <c:idx val="2"/>
              <c:layout>
                <c:manualLayout>
                  <c:x val="1.9049592485149883E-2"/>
                  <c:y val="1.9521769337656321E-2"/>
                </c:manualLayout>
              </c:layout>
              <c:tx>
                <c:rich>
                  <a:bodyPr/>
                  <a:lstStyle/>
                  <a:p>
                    <a:fld id="{CD893210-701F-46BC-8F95-9A834E61574D}" type="CATEGORYNAME">
                      <a:rPr lang="en-US"/>
                      <a:pPr/>
                      <a:t>[CATEGORY NAME]</a:t>
                    </a:fld>
                    <a:r>
                      <a:rPr lang="en-US" baseline="0"/>
                      <a:t> </a:t>
                    </a:r>
                    <a:fld id="{8DE866E2-E6EA-49EB-8DC5-83351110BD5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4C9-4AF0-B5C0-2144DFE978DE}"/>
                </c:ext>
              </c:extLst>
            </c:dLbl>
            <c:dLbl>
              <c:idx val="3"/>
              <c:layout>
                <c:manualLayout>
                  <c:x val="-1.9865379730759462E-2"/>
                  <c:y val="-1.3583090890435669E-2"/>
                </c:manualLayout>
              </c:layout>
              <c:tx>
                <c:rich>
                  <a:bodyPr/>
                  <a:lstStyle/>
                  <a:p>
                    <a:fld id="{377FED04-8720-4799-9332-CF5879F2D5A5}" type="CATEGORYNAME">
                      <a:rPr lang="en-US"/>
                      <a:pPr/>
                      <a:t>[CATEGORY NAME]</a:t>
                    </a:fld>
                    <a:r>
                      <a:rPr lang="en-US" baseline="0"/>
                      <a:t/>
                    </a:r>
                    <a:br>
                      <a:rPr lang="en-US" baseline="0"/>
                    </a:br>
                    <a:fld id="{B2E124A5-1D8E-459E-8BBE-AC1E8C64E493}"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C9-4AF0-B5C0-2144DFE978DE}"/>
                </c:ext>
              </c:extLst>
            </c:dLbl>
            <c:dLbl>
              <c:idx val="4"/>
              <c:layout>
                <c:manualLayout>
                  <c:x val="-1.7660443654220641E-2"/>
                  <c:y val="-1.9224646099565423E-2"/>
                </c:manualLayout>
              </c:layout>
              <c:tx>
                <c:rich>
                  <a:bodyPr/>
                  <a:lstStyle/>
                  <a:p>
                    <a:fld id="{6EB60F5E-3C20-463F-AB06-C200E15B409A}" type="CATEGORYNAME">
                      <a:rPr lang="en-US"/>
                      <a:pPr/>
                      <a:t>[CATEGORY NAME]</a:t>
                    </a:fld>
                    <a:r>
                      <a:rPr lang="en-US" baseline="0"/>
                      <a:t/>
                    </a:r>
                    <a:br>
                      <a:rPr lang="en-US" baseline="0"/>
                    </a:br>
                    <a:fld id="{7DEE155A-1052-4A59-AC79-01458A3CE16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4C9-4AF0-B5C0-2144DFE978DE}"/>
                </c:ext>
              </c:extLst>
            </c:dLbl>
            <c:dLbl>
              <c:idx val="5"/>
              <c:layout>
                <c:manualLayout>
                  <c:x val="-1.5889530945728557E-2"/>
                  <c:y val="-1.9362002826569757E-2"/>
                </c:manualLayout>
              </c:layout>
              <c:tx>
                <c:rich>
                  <a:bodyPr/>
                  <a:lstStyle/>
                  <a:p>
                    <a:fld id="{0BB2FAAA-F413-4988-B95D-5CC2BE69B250}" type="CATEGORYNAME">
                      <a:rPr lang="en-US"/>
                      <a:pPr/>
                      <a:t>[CATEGORY NAME]</a:t>
                    </a:fld>
                    <a:r>
                      <a:rPr lang="en-US" baseline="0"/>
                      <a:t> </a:t>
                    </a:r>
                    <a:fld id="{F6D957FF-0B97-474F-9A1A-01761EF5E2F0}"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4C9-4AF0-B5C0-2144DFE978DE}"/>
                </c:ext>
              </c:extLst>
            </c:dLbl>
            <c:dLbl>
              <c:idx val="6"/>
              <c:layout>
                <c:manualLayout>
                  <c:x val="2.9354529064433789E-2"/>
                  <c:y val="-1.6997066543152695E-2"/>
                </c:manualLayout>
              </c:layout>
              <c:tx>
                <c:rich>
                  <a:bodyPr/>
                  <a:lstStyle/>
                  <a:p>
                    <a:fld id="{D24A39A0-271F-4532-8029-CA6591884108}" type="CATEGORYNAME">
                      <a:rPr lang="en-US"/>
                      <a:pPr/>
                      <a:t>[CATEGORY NAME]</a:t>
                    </a:fld>
                    <a:r>
                      <a:rPr lang="en-US" baseline="0"/>
                      <a:t/>
                    </a:r>
                    <a:br>
                      <a:rPr lang="en-US" baseline="0"/>
                    </a:br>
                    <a:fld id="{9D090E5A-EFB8-444F-89AA-8A6F4B4FA000}"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4C9-4AF0-B5C0-2144DFE978DE}"/>
                </c:ext>
              </c:extLst>
            </c:dLbl>
            <c:spPr>
              <a:noFill/>
              <a:ln>
                <a:noFill/>
              </a:ln>
              <a:effectLst/>
            </c:spPr>
            <c:txPr>
              <a:bodyPr/>
              <a:lstStyle/>
              <a:p>
                <a:pPr>
                  <a:defRPr b="1"/>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Sheet1!$A$3:$A$9</c:f>
              <c:strCache>
                <c:ptCount val="7"/>
                <c:pt idx="0">
                  <c:v>Los Angeles</c:v>
                </c:pt>
                <c:pt idx="1">
                  <c:v>San Diego</c:v>
                </c:pt>
                <c:pt idx="2">
                  <c:v>San Bernardino</c:v>
                </c:pt>
                <c:pt idx="3">
                  <c:v>Riverside</c:v>
                </c:pt>
                <c:pt idx="4">
                  <c:v>San Mateo</c:v>
                </c:pt>
                <c:pt idx="5">
                  <c:v>Orange County</c:v>
                </c:pt>
                <c:pt idx="6">
                  <c:v>Santa Clara</c:v>
                </c:pt>
              </c:strCache>
            </c:strRef>
          </c:cat>
          <c:val>
            <c:numRef>
              <c:f>Sheet1!$B$3:$B$9</c:f>
              <c:numCache>
                <c:formatCode>#,##0</c:formatCode>
                <c:ptCount val="7"/>
                <c:pt idx="0">
                  <c:v>39316</c:v>
                </c:pt>
                <c:pt idx="1">
                  <c:v>14874</c:v>
                </c:pt>
                <c:pt idx="2">
                  <c:v>13028</c:v>
                </c:pt>
                <c:pt idx="3">
                  <c:v>13453</c:v>
                </c:pt>
                <c:pt idx="4">
                  <c:v>9396</c:v>
                </c:pt>
                <c:pt idx="5">
                  <c:v>18439</c:v>
                </c:pt>
                <c:pt idx="6">
                  <c:v>11308</c:v>
                </c:pt>
              </c:numCache>
            </c:numRef>
          </c:val>
          <c:extLst>
            <c:ext xmlns:c16="http://schemas.microsoft.com/office/drawing/2014/chart" uri="{C3380CC4-5D6E-409C-BE32-E72D297353CC}">
              <c16:uniqueId val="{00000007-04C9-4AF0-B5C0-2144DFE978D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solidFill>
      <a:sysClr val="window" lastClr="FFFFFF">
        <a:lumMod val="95000"/>
      </a:sysClr>
    </a:solidFill>
    <a:ln>
      <a:solidFill>
        <a:sysClr val="windowText" lastClr="000000"/>
      </a:solid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Early Prenatal Care Access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Adoption/Foster Care</c:v>
                </c:pt>
                <c:pt idx="1">
                  <c:v>Dual</c:v>
                </c:pt>
                <c:pt idx="2">
                  <c:v>Parent/Caretaker Relative &amp; Child</c:v>
                </c:pt>
                <c:pt idx="3">
                  <c:v>Senior and Person with Disabilities</c:v>
                </c:pt>
                <c:pt idx="4">
                  <c:v>Undocumented</c:v>
                </c:pt>
                <c:pt idx="5">
                  <c:v>Other</c:v>
                </c:pt>
              </c:strCache>
            </c:strRef>
          </c:cat>
          <c:val>
            <c:numRef>
              <c:f>Sheet1!$B$2:$B$7</c:f>
              <c:numCache>
                <c:formatCode>0.0%</c:formatCode>
                <c:ptCount val="6"/>
                <c:pt idx="0">
                  <c:v>0.69299999999999995</c:v>
                </c:pt>
                <c:pt idx="1">
                  <c:v>0.75</c:v>
                </c:pt>
                <c:pt idx="2">
                  <c:v>0.71299999999999997</c:v>
                </c:pt>
                <c:pt idx="3">
                  <c:v>0.68500000000000005</c:v>
                </c:pt>
                <c:pt idx="4">
                  <c:v>0.80700000000000005</c:v>
                </c:pt>
                <c:pt idx="5">
                  <c:v>0.79300000000000004</c:v>
                </c:pt>
              </c:numCache>
            </c:numRef>
          </c:val>
          <c:extLst>
            <c:ext xmlns:c16="http://schemas.microsoft.com/office/drawing/2014/chart" uri="{C3380CC4-5D6E-409C-BE32-E72D297353CC}">
              <c16:uniqueId val="{00000000-1207-4B72-A3C4-E09995121C11}"/>
            </c:ext>
          </c:extLst>
        </c:ser>
        <c:ser>
          <c:idx val="1"/>
          <c:order val="1"/>
          <c:tx>
            <c:strRef>
              <c:f>Sheet1!$C$1</c:f>
              <c:strCache>
                <c:ptCount val="1"/>
                <c:pt idx="0">
                  <c:v>Did Not Access Early Prenatal Care</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Adoption/Foster Care</c:v>
                </c:pt>
                <c:pt idx="1">
                  <c:v>Dual</c:v>
                </c:pt>
                <c:pt idx="2">
                  <c:v>Parent/Caretaker Relative &amp; Child</c:v>
                </c:pt>
                <c:pt idx="3">
                  <c:v>Senior and Person with Disabilities</c:v>
                </c:pt>
                <c:pt idx="4">
                  <c:v>Undocumented</c:v>
                </c:pt>
                <c:pt idx="5">
                  <c:v>Other</c:v>
                </c:pt>
              </c:strCache>
            </c:strRef>
          </c:cat>
          <c:val>
            <c:numRef>
              <c:f>Sheet1!$C$2:$C$7</c:f>
              <c:numCache>
                <c:formatCode>0.0%</c:formatCode>
                <c:ptCount val="6"/>
                <c:pt idx="0">
                  <c:v>0.307</c:v>
                </c:pt>
                <c:pt idx="1">
                  <c:v>0.25</c:v>
                </c:pt>
                <c:pt idx="2">
                  <c:v>0.28699999999999998</c:v>
                </c:pt>
                <c:pt idx="3">
                  <c:v>0.315</c:v>
                </c:pt>
                <c:pt idx="4">
                  <c:v>0.17299999999999999</c:v>
                </c:pt>
                <c:pt idx="5">
                  <c:v>0.20699999999999999</c:v>
                </c:pt>
              </c:numCache>
            </c:numRef>
          </c:val>
          <c:extLst>
            <c:ext xmlns:c16="http://schemas.microsoft.com/office/drawing/2014/chart" uri="{C3380CC4-5D6E-409C-BE32-E72D297353CC}">
              <c16:uniqueId val="{00000001-1207-4B72-A3C4-E09995121C11}"/>
            </c:ext>
          </c:extLst>
        </c:ser>
        <c:dLbls>
          <c:showLegendKey val="0"/>
          <c:showVal val="0"/>
          <c:showCatName val="0"/>
          <c:showSerName val="0"/>
          <c:showPercent val="0"/>
          <c:showBubbleSize val="0"/>
        </c:dLbls>
        <c:gapWidth val="67"/>
        <c:overlap val="100"/>
        <c:axId val="152836352"/>
        <c:axId val="152846336"/>
      </c:barChart>
      <c:catAx>
        <c:axId val="1528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846336"/>
        <c:crosses val="autoZero"/>
        <c:auto val="1"/>
        <c:lblAlgn val="ctr"/>
        <c:lblOffset val="100"/>
        <c:noMultiLvlLbl val="0"/>
      </c:catAx>
      <c:valAx>
        <c:axId val="1528463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83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935586176727914E-2"/>
          <c:y val="5.0925925925925923E-2"/>
          <c:w val="0.89360145086030918"/>
          <c:h val="0.54267643627879836"/>
        </c:manualLayout>
      </c:layout>
      <c:barChart>
        <c:barDir val="col"/>
        <c:grouping val="percentStacked"/>
        <c:varyColors val="0"/>
        <c:ser>
          <c:idx val="0"/>
          <c:order val="0"/>
          <c:tx>
            <c:strRef>
              <c:f>Sheet1!$B$1</c:f>
              <c:strCache>
                <c:ptCount val="1"/>
                <c:pt idx="0">
                  <c:v>Early Prenatal Care Access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Bay Area</c:v>
                </c:pt>
                <c:pt idx="1">
                  <c:v>Central Coast</c:v>
                </c:pt>
                <c:pt idx="2">
                  <c:v>Central Valley</c:v>
                </c:pt>
                <c:pt idx="3">
                  <c:v>Far North</c:v>
                </c:pt>
                <c:pt idx="4">
                  <c:v>Los Angeles</c:v>
                </c:pt>
                <c:pt idx="5">
                  <c:v>North Coast</c:v>
                </c:pt>
                <c:pt idx="6">
                  <c:v>Sacramento Valley</c:v>
                </c:pt>
                <c:pt idx="7">
                  <c:v>Sierra Range/Foothills</c:v>
                </c:pt>
                <c:pt idx="8">
                  <c:v>Southern California</c:v>
                </c:pt>
              </c:strCache>
            </c:strRef>
          </c:cat>
          <c:val>
            <c:numRef>
              <c:f>Sheet1!$B$2:$B$10</c:f>
              <c:numCache>
                <c:formatCode>0.0%</c:formatCode>
                <c:ptCount val="9"/>
                <c:pt idx="0">
                  <c:v>0.78200000000000003</c:v>
                </c:pt>
                <c:pt idx="1">
                  <c:v>0.70399999999999996</c:v>
                </c:pt>
                <c:pt idx="2">
                  <c:v>0.752</c:v>
                </c:pt>
                <c:pt idx="3">
                  <c:v>0.61299999999999999</c:v>
                </c:pt>
                <c:pt idx="4">
                  <c:v>0.81699999999999995</c:v>
                </c:pt>
                <c:pt idx="5">
                  <c:v>0.69299999999999995</c:v>
                </c:pt>
                <c:pt idx="6">
                  <c:v>0.70099999999999996</c:v>
                </c:pt>
                <c:pt idx="7">
                  <c:v>0.69099999999999995</c:v>
                </c:pt>
                <c:pt idx="8">
                  <c:v>0.80400000000000005</c:v>
                </c:pt>
              </c:numCache>
            </c:numRef>
          </c:val>
          <c:extLst>
            <c:ext xmlns:c16="http://schemas.microsoft.com/office/drawing/2014/chart" uri="{C3380CC4-5D6E-409C-BE32-E72D297353CC}">
              <c16:uniqueId val="{00000000-A67A-4009-AB6B-C6A9FE72A570}"/>
            </c:ext>
          </c:extLst>
        </c:ser>
        <c:ser>
          <c:idx val="1"/>
          <c:order val="1"/>
          <c:tx>
            <c:strRef>
              <c:f>Sheet1!$C$1</c:f>
              <c:strCache>
                <c:ptCount val="1"/>
                <c:pt idx="0">
                  <c:v>Did Not Access Early Prenatal Care</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Bay Area</c:v>
                </c:pt>
                <c:pt idx="1">
                  <c:v>Central Coast</c:v>
                </c:pt>
                <c:pt idx="2">
                  <c:v>Central Valley</c:v>
                </c:pt>
                <c:pt idx="3">
                  <c:v>Far North</c:v>
                </c:pt>
                <c:pt idx="4">
                  <c:v>Los Angeles</c:v>
                </c:pt>
                <c:pt idx="5">
                  <c:v>North Coast</c:v>
                </c:pt>
                <c:pt idx="6">
                  <c:v>Sacramento Valley</c:v>
                </c:pt>
                <c:pt idx="7">
                  <c:v>Sierra Range/Foothills</c:v>
                </c:pt>
                <c:pt idx="8">
                  <c:v>Southern California</c:v>
                </c:pt>
              </c:strCache>
            </c:strRef>
          </c:cat>
          <c:val>
            <c:numRef>
              <c:f>Sheet1!$C$2:$C$10</c:f>
              <c:numCache>
                <c:formatCode>0.0%</c:formatCode>
                <c:ptCount val="9"/>
                <c:pt idx="0">
                  <c:v>0.218</c:v>
                </c:pt>
                <c:pt idx="1">
                  <c:v>0.29599999999999999</c:v>
                </c:pt>
                <c:pt idx="2">
                  <c:v>0.248</c:v>
                </c:pt>
                <c:pt idx="3">
                  <c:v>0.38700000000000001</c:v>
                </c:pt>
                <c:pt idx="4">
                  <c:v>0.183</c:v>
                </c:pt>
                <c:pt idx="5">
                  <c:v>0.307</c:v>
                </c:pt>
                <c:pt idx="6">
                  <c:v>0.29899999999999999</c:v>
                </c:pt>
                <c:pt idx="7">
                  <c:v>0.309</c:v>
                </c:pt>
                <c:pt idx="8">
                  <c:v>0.19600000000000001</c:v>
                </c:pt>
              </c:numCache>
            </c:numRef>
          </c:val>
          <c:extLst>
            <c:ext xmlns:c16="http://schemas.microsoft.com/office/drawing/2014/chart" uri="{C3380CC4-5D6E-409C-BE32-E72D297353CC}">
              <c16:uniqueId val="{00000001-A67A-4009-AB6B-C6A9FE72A570}"/>
            </c:ext>
          </c:extLst>
        </c:ser>
        <c:dLbls>
          <c:showLegendKey val="0"/>
          <c:showVal val="0"/>
          <c:showCatName val="0"/>
          <c:showSerName val="0"/>
          <c:showPercent val="0"/>
          <c:showBubbleSize val="0"/>
        </c:dLbls>
        <c:gapWidth val="67"/>
        <c:overlap val="100"/>
        <c:axId val="152995712"/>
        <c:axId val="152997248"/>
      </c:barChart>
      <c:catAx>
        <c:axId val="15299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2997248"/>
        <c:crosses val="autoZero"/>
        <c:auto val="1"/>
        <c:lblAlgn val="ctr"/>
        <c:lblOffset val="100"/>
        <c:noMultiLvlLbl val="0"/>
      </c:catAx>
      <c:valAx>
        <c:axId val="1529972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95712"/>
        <c:crosses val="autoZero"/>
        <c:crossBetween val="between"/>
      </c:valAx>
      <c:spPr>
        <a:noFill/>
        <a:ln>
          <a:noFill/>
        </a:ln>
        <a:effectLst/>
      </c:spPr>
    </c:plotArea>
    <c:legend>
      <c:legendPos val="b"/>
      <c:layout>
        <c:manualLayout>
          <c:xMode val="edge"/>
          <c:yMode val="edge"/>
          <c:x val="0.16463327500729075"/>
          <c:y val="0.90402244547017829"/>
          <c:w val="0.67073344998541851"/>
          <c:h val="9.59775545298216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Early Prenatal Care Access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Age 15 or Less</c:v>
                </c:pt>
                <c:pt idx="1">
                  <c:v>Age 16-17</c:v>
                </c:pt>
                <c:pt idx="2">
                  <c:v>Age 18-19</c:v>
                </c:pt>
                <c:pt idx="3">
                  <c:v>Age 20-24</c:v>
                </c:pt>
                <c:pt idx="4">
                  <c:v>Age 25-34</c:v>
                </c:pt>
                <c:pt idx="5">
                  <c:v>Age 35-44</c:v>
                </c:pt>
                <c:pt idx="6">
                  <c:v>Age 45 and Older</c:v>
                </c:pt>
              </c:strCache>
            </c:strRef>
          </c:cat>
          <c:val>
            <c:numRef>
              <c:f>Sheet1!$B$2:$B$8</c:f>
              <c:numCache>
                <c:formatCode>0.0%</c:formatCode>
                <c:ptCount val="7"/>
                <c:pt idx="0">
                  <c:v>0.52</c:v>
                </c:pt>
                <c:pt idx="1">
                  <c:v>0.621</c:v>
                </c:pt>
                <c:pt idx="2">
                  <c:v>0.69199999999999995</c:v>
                </c:pt>
                <c:pt idx="3">
                  <c:v>0.75700000000000001</c:v>
                </c:pt>
                <c:pt idx="4">
                  <c:v>0.80300000000000005</c:v>
                </c:pt>
                <c:pt idx="5">
                  <c:v>0.80100000000000005</c:v>
                </c:pt>
                <c:pt idx="6">
                  <c:v>0.72199999999999998</c:v>
                </c:pt>
              </c:numCache>
            </c:numRef>
          </c:val>
          <c:extLst>
            <c:ext xmlns:c16="http://schemas.microsoft.com/office/drawing/2014/chart" uri="{C3380CC4-5D6E-409C-BE32-E72D297353CC}">
              <c16:uniqueId val="{00000000-D085-4CD2-9F6C-DB1B4377C0C4}"/>
            </c:ext>
          </c:extLst>
        </c:ser>
        <c:ser>
          <c:idx val="1"/>
          <c:order val="1"/>
          <c:tx>
            <c:strRef>
              <c:f>Sheet1!$C$1</c:f>
              <c:strCache>
                <c:ptCount val="1"/>
                <c:pt idx="0">
                  <c:v>Did Not Access Early Prenatal Care</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Age 15 or Less</c:v>
                </c:pt>
                <c:pt idx="1">
                  <c:v>Age 16-17</c:v>
                </c:pt>
                <c:pt idx="2">
                  <c:v>Age 18-19</c:v>
                </c:pt>
                <c:pt idx="3">
                  <c:v>Age 20-24</c:v>
                </c:pt>
                <c:pt idx="4">
                  <c:v>Age 25-34</c:v>
                </c:pt>
                <c:pt idx="5">
                  <c:v>Age 35-44</c:v>
                </c:pt>
                <c:pt idx="6">
                  <c:v>Age 45 and Older</c:v>
                </c:pt>
              </c:strCache>
            </c:strRef>
          </c:cat>
          <c:val>
            <c:numRef>
              <c:f>Sheet1!$C$2:$C$8</c:f>
              <c:numCache>
                <c:formatCode>0.0%</c:formatCode>
                <c:ptCount val="7"/>
                <c:pt idx="0">
                  <c:v>0.48</c:v>
                </c:pt>
                <c:pt idx="1">
                  <c:v>0.379</c:v>
                </c:pt>
                <c:pt idx="2">
                  <c:v>0.308</c:v>
                </c:pt>
                <c:pt idx="3">
                  <c:v>0.24299999999999999</c:v>
                </c:pt>
                <c:pt idx="4">
                  <c:v>0.19700000000000001</c:v>
                </c:pt>
                <c:pt idx="5">
                  <c:v>0.19900000000000001</c:v>
                </c:pt>
                <c:pt idx="6">
                  <c:v>0.27800000000000002</c:v>
                </c:pt>
              </c:numCache>
            </c:numRef>
          </c:val>
          <c:extLst>
            <c:ext xmlns:c16="http://schemas.microsoft.com/office/drawing/2014/chart" uri="{C3380CC4-5D6E-409C-BE32-E72D297353CC}">
              <c16:uniqueId val="{00000001-D085-4CD2-9F6C-DB1B4377C0C4}"/>
            </c:ext>
          </c:extLst>
        </c:ser>
        <c:dLbls>
          <c:showLegendKey val="0"/>
          <c:showVal val="0"/>
          <c:showCatName val="0"/>
          <c:showSerName val="0"/>
          <c:showPercent val="0"/>
          <c:showBubbleSize val="0"/>
        </c:dLbls>
        <c:gapWidth val="67"/>
        <c:overlap val="100"/>
        <c:axId val="152913792"/>
        <c:axId val="152915328"/>
      </c:barChart>
      <c:catAx>
        <c:axId val="1529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15328"/>
        <c:crosses val="autoZero"/>
        <c:auto val="1"/>
        <c:lblAlgn val="ctr"/>
        <c:lblOffset val="100"/>
        <c:noMultiLvlLbl val="0"/>
      </c:catAx>
      <c:valAx>
        <c:axId val="1529153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Early Prenatal Care Access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White</c:v>
                </c:pt>
                <c:pt idx="1">
                  <c:v>African-American</c:v>
                </c:pt>
                <c:pt idx="2">
                  <c:v>Hispanic</c:v>
                </c:pt>
                <c:pt idx="3">
                  <c:v>Asian</c:v>
                </c:pt>
                <c:pt idx="4">
                  <c:v>American Indian/Alaskan Native</c:v>
                </c:pt>
                <c:pt idx="5">
                  <c:v>Other/Not Reported</c:v>
                </c:pt>
              </c:strCache>
            </c:strRef>
          </c:cat>
          <c:val>
            <c:numRef>
              <c:f>Sheet1!$B$2:$B$7</c:f>
              <c:numCache>
                <c:formatCode>0.0%</c:formatCode>
                <c:ptCount val="6"/>
                <c:pt idx="0">
                  <c:v>0.73899999999999999</c:v>
                </c:pt>
                <c:pt idx="1">
                  <c:v>0.73799999999999999</c:v>
                </c:pt>
                <c:pt idx="2">
                  <c:v>0.79600000000000004</c:v>
                </c:pt>
                <c:pt idx="3">
                  <c:v>0.76700000000000002</c:v>
                </c:pt>
                <c:pt idx="4">
                  <c:v>0.63400000000000001</c:v>
                </c:pt>
                <c:pt idx="5">
                  <c:v>0.76300000000000001</c:v>
                </c:pt>
              </c:numCache>
            </c:numRef>
          </c:val>
          <c:extLst>
            <c:ext xmlns:c16="http://schemas.microsoft.com/office/drawing/2014/chart" uri="{C3380CC4-5D6E-409C-BE32-E72D297353CC}">
              <c16:uniqueId val="{00000000-C00E-4CC8-B28A-CB094D0ABAF7}"/>
            </c:ext>
          </c:extLst>
        </c:ser>
        <c:ser>
          <c:idx val="1"/>
          <c:order val="1"/>
          <c:tx>
            <c:strRef>
              <c:f>Sheet1!$C$1</c:f>
              <c:strCache>
                <c:ptCount val="1"/>
                <c:pt idx="0">
                  <c:v>Did Not Access Early Prenatal Care</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White</c:v>
                </c:pt>
                <c:pt idx="1">
                  <c:v>African-American</c:v>
                </c:pt>
                <c:pt idx="2">
                  <c:v>Hispanic</c:v>
                </c:pt>
                <c:pt idx="3">
                  <c:v>Asian</c:v>
                </c:pt>
                <c:pt idx="4">
                  <c:v>American Indian/Alaskan Native</c:v>
                </c:pt>
                <c:pt idx="5">
                  <c:v>Other/Not Reported</c:v>
                </c:pt>
              </c:strCache>
            </c:strRef>
          </c:cat>
          <c:val>
            <c:numRef>
              <c:f>Sheet1!$C$2:$C$7</c:f>
              <c:numCache>
                <c:formatCode>0.0%</c:formatCode>
                <c:ptCount val="6"/>
                <c:pt idx="0">
                  <c:v>0.26100000000000001</c:v>
                </c:pt>
                <c:pt idx="1">
                  <c:v>0.26200000000000001</c:v>
                </c:pt>
                <c:pt idx="2">
                  <c:v>0.20399999999999999</c:v>
                </c:pt>
                <c:pt idx="3">
                  <c:v>0.23300000000000001</c:v>
                </c:pt>
                <c:pt idx="4">
                  <c:v>0.36599999999999999</c:v>
                </c:pt>
                <c:pt idx="5">
                  <c:v>0.23699999999999999</c:v>
                </c:pt>
              </c:numCache>
            </c:numRef>
          </c:val>
          <c:extLst>
            <c:ext xmlns:c16="http://schemas.microsoft.com/office/drawing/2014/chart" uri="{C3380CC4-5D6E-409C-BE32-E72D297353CC}">
              <c16:uniqueId val="{00000001-C00E-4CC8-B28A-CB094D0ABAF7}"/>
            </c:ext>
          </c:extLst>
        </c:ser>
        <c:dLbls>
          <c:showLegendKey val="0"/>
          <c:showVal val="0"/>
          <c:showCatName val="0"/>
          <c:showSerName val="0"/>
          <c:showPercent val="0"/>
          <c:showBubbleSize val="0"/>
        </c:dLbls>
        <c:gapWidth val="67"/>
        <c:overlap val="100"/>
        <c:axId val="154301952"/>
        <c:axId val="154303488"/>
      </c:barChart>
      <c:catAx>
        <c:axId val="15430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03488"/>
        <c:crosses val="autoZero"/>
        <c:auto val="1"/>
        <c:lblAlgn val="ctr"/>
        <c:lblOffset val="100"/>
        <c:noMultiLvlLbl val="0"/>
      </c:catAx>
      <c:valAx>
        <c:axId val="1543034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0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45771361913091E-2"/>
          <c:y val="4.3650793650793648E-2"/>
          <c:w val="0.69260608048993877"/>
          <c:h val="0.77351831021122364"/>
        </c:manualLayout>
      </c:layout>
      <c:barChart>
        <c:barDir val="col"/>
        <c:grouping val="clustered"/>
        <c:varyColors val="0"/>
        <c:ser>
          <c:idx val="0"/>
          <c:order val="0"/>
          <c:tx>
            <c:strRef>
              <c:f>Sheet1!$B$1</c:f>
              <c:strCache>
                <c:ptCount val="1"/>
                <c:pt idx="0">
                  <c:v>Percent of Population with Low-Birthweight</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FFS Medi-Cal Births</c:v>
                </c:pt>
                <c:pt idx="1">
                  <c:v>Non-Medi-Cal</c:v>
                </c:pt>
              </c:strCache>
            </c:strRef>
          </c:cat>
          <c:val>
            <c:numRef>
              <c:f>Sheet1!$B$2:$B$3</c:f>
              <c:numCache>
                <c:formatCode>0.0%</c:formatCode>
                <c:ptCount val="2"/>
                <c:pt idx="0">
                  <c:v>5.5E-2</c:v>
                </c:pt>
                <c:pt idx="1">
                  <c:v>4.8000000000000001E-2</c:v>
                </c:pt>
              </c:numCache>
            </c:numRef>
          </c:val>
          <c:extLst>
            <c:ext xmlns:c16="http://schemas.microsoft.com/office/drawing/2014/chart" uri="{C3380CC4-5D6E-409C-BE32-E72D297353CC}">
              <c16:uniqueId val="{00000000-C95F-42F8-898D-898AAEB47E97}"/>
            </c:ext>
          </c:extLst>
        </c:ser>
        <c:dLbls>
          <c:showLegendKey val="0"/>
          <c:showVal val="0"/>
          <c:showCatName val="0"/>
          <c:showSerName val="0"/>
          <c:showPercent val="0"/>
          <c:showBubbleSize val="0"/>
        </c:dLbls>
        <c:gapWidth val="219"/>
        <c:axId val="154224512"/>
        <c:axId val="154226048"/>
      </c:barChart>
      <c:lineChart>
        <c:grouping val="standard"/>
        <c:varyColors val="0"/>
        <c:ser>
          <c:idx val="1"/>
          <c:order val="1"/>
          <c:tx>
            <c:strRef>
              <c:f>Sheet1!$C$1</c:f>
              <c:strCache>
                <c:ptCount val="1"/>
                <c:pt idx="0">
                  <c:v>Healthy People 2020 Goal</c:v>
                </c:pt>
              </c:strCache>
            </c:strRef>
          </c:tx>
          <c:spPr>
            <a:ln w="28575" cap="rnd">
              <a:solidFill>
                <a:schemeClr val="accent2"/>
              </a:solidFill>
              <a:round/>
            </a:ln>
            <a:effectLst/>
          </c:spPr>
          <c:marker>
            <c:symbol val="none"/>
          </c:marker>
          <c:cat>
            <c:strRef>
              <c:f>Sheet1!$A$2:$A$3</c:f>
              <c:strCache>
                <c:ptCount val="2"/>
                <c:pt idx="0">
                  <c:v>FFS Medi-Cal Births</c:v>
                </c:pt>
                <c:pt idx="1">
                  <c:v>Non-Medi-Cal</c:v>
                </c:pt>
              </c:strCache>
            </c:strRef>
          </c:cat>
          <c:val>
            <c:numRef>
              <c:f>Sheet1!$C$2:$C$3</c:f>
              <c:numCache>
                <c:formatCode>0.0%</c:formatCode>
                <c:ptCount val="2"/>
                <c:pt idx="0">
                  <c:v>7.8E-2</c:v>
                </c:pt>
                <c:pt idx="1">
                  <c:v>7.8E-2</c:v>
                </c:pt>
              </c:numCache>
            </c:numRef>
          </c:val>
          <c:smooth val="0"/>
          <c:extLst>
            <c:ext xmlns:c16="http://schemas.microsoft.com/office/drawing/2014/chart" uri="{C3380CC4-5D6E-409C-BE32-E72D297353CC}">
              <c16:uniqueId val="{00000001-C95F-42F8-898D-898AAEB47E97}"/>
            </c:ext>
          </c:extLst>
        </c:ser>
        <c:dLbls>
          <c:showLegendKey val="0"/>
          <c:showVal val="0"/>
          <c:showCatName val="0"/>
          <c:showSerName val="0"/>
          <c:showPercent val="0"/>
          <c:showBubbleSize val="0"/>
        </c:dLbls>
        <c:marker val="1"/>
        <c:smooth val="0"/>
        <c:axId val="154233472"/>
        <c:axId val="154231936"/>
      </c:lineChart>
      <c:catAx>
        <c:axId val="15422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4226048"/>
        <c:crosses val="autoZero"/>
        <c:auto val="1"/>
        <c:lblAlgn val="ctr"/>
        <c:lblOffset val="100"/>
        <c:noMultiLvlLbl val="0"/>
      </c:catAx>
      <c:valAx>
        <c:axId val="1542260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24512"/>
        <c:crosses val="autoZero"/>
        <c:crossBetween val="between"/>
      </c:valAx>
      <c:valAx>
        <c:axId val="154231936"/>
        <c:scaling>
          <c:orientation val="minMax"/>
        </c:scaling>
        <c:delete val="1"/>
        <c:axPos val="r"/>
        <c:numFmt formatCode="0.0%" sourceLinked="1"/>
        <c:majorTickMark val="out"/>
        <c:minorTickMark val="none"/>
        <c:tickLblPos val="nextTo"/>
        <c:crossAx val="154233472"/>
        <c:crosses val="max"/>
        <c:crossBetween val="between"/>
      </c:valAx>
      <c:catAx>
        <c:axId val="154233472"/>
        <c:scaling>
          <c:orientation val="minMax"/>
        </c:scaling>
        <c:delete val="1"/>
        <c:axPos val="b"/>
        <c:numFmt formatCode="General" sourceLinked="1"/>
        <c:majorTickMark val="out"/>
        <c:minorTickMark val="none"/>
        <c:tickLblPos val="nextTo"/>
        <c:crossAx val="154231936"/>
        <c:crosses val="autoZero"/>
        <c:auto val="1"/>
        <c:lblAlgn val="ctr"/>
        <c:lblOffset val="100"/>
        <c:noMultiLvlLbl val="0"/>
      </c:cat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8438593613298335"/>
          <c:y val="9.6650463818376497E-2"/>
          <c:w val="0.21363535287255761"/>
          <c:h val="0.166171103612048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Prenatal Care</c:v>
                </c:pt>
                <c:pt idx="1">
                  <c:v>Early Prenatal Care</c:v>
                </c:pt>
                <c:pt idx="2">
                  <c:v>Late Prenatal Care</c:v>
                </c:pt>
              </c:strCache>
            </c:strRef>
          </c:cat>
          <c:val>
            <c:numRef>
              <c:f>Sheet1!$B$2:$B$4</c:f>
              <c:numCache>
                <c:formatCode>0.0%</c:formatCode>
                <c:ptCount val="3"/>
                <c:pt idx="0">
                  <c:v>9.1999999999999998E-2</c:v>
                </c:pt>
                <c:pt idx="1">
                  <c:v>5.5E-2</c:v>
                </c:pt>
                <c:pt idx="2">
                  <c:v>5.0999999999999997E-2</c:v>
                </c:pt>
              </c:numCache>
            </c:numRef>
          </c:val>
          <c:extLst>
            <c:ext xmlns:c16="http://schemas.microsoft.com/office/drawing/2014/chart" uri="{C3380CC4-5D6E-409C-BE32-E72D297353CC}">
              <c16:uniqueId val="{00000000-A0E6-400A-902F-4C068AC3A315}"/>
            </c:ext>
          </c:extLst>
        </c:ser>
        <c:dLbls>
          <c:showLegendKey val="0"/>
          <c:showVal val="0"/>
          <c:showCatName val="0"/>
          <c:showSerName val="0"/>
          <c:showPercent val="0"/>
          <c:showBubbleSize val="0"/>
        </c:dLbls>
        <c:gapWidth val="219"/>
        <c:overlap val="-27"/>
        <c:axId val="154349952"/>
        <c:axId val="154351488"/>
      </c:barChart>
      <c:catAx>
        <c:axId val="15434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4351488"/>
        <c:crosses val="autoZero"/>
        <c:auto val="1"/>
        <c:lblAlgn val="ctr"/>
        <c:lblOffset val="100"/>
        <c:noMultiLvlLbl val="0"/>
      </c:catAx>
      <c:valAx>
        <c:axId val="1543514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49952"/>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Full-Scope</c:v>
                </c:pt>
                <c:pt idx="1">
                  <c:v>Restricted</c:v>
                </c:pt>
              </c:strCache>
            </c:strRef>
          </c:cat>
          <c:val>
            <c:numRef>
              <c:f>Sheet1!$B$2:$B$3</c:f>
              <c:numCache>
                <c:formatCode>0.0%</c:formatCode>
                <c:ptCount val="2"/>
                <c:pt idx="0">
                  <c:v>7.0000000000000007E-2</c:v>
                </c:pt>
                <c:pt idx="1">
                  <c:v>0.05</c:v>
                </c:pt>
              </c:numCache>
            </c:numRef>
          </c:val>
          <c:extLst>
            <c:ext xmlns:c16="http://schemas.microsoft.com/office/drawing/2014/chart" uri="{C3380CC4-5D6E-409C-BE32-E72D297353CC}">
              <c16:uniqueId val="{00000000-CF12-44FC-A686-6B5A8E9C8554}"/>
            </c:ext>
          </c:extLst>
        </c:ser>
        <c:dLbls>
          <c:showLegendKey val="0"/>
          <c:showVal val="0"/>
          <c:showCatName val="0"/>
          <c:showSerName val="0"/>
          <c:showPercent val="0"/>
          <c:showBubbleSize val="0"/>
        </c:dLbls>
        <c:gapWidth val="219"/>
        <c:overlap val="-27"/>
        <c:axId val="149981056"/>
        <c:axId val="149982592"/>
      </c:barChart>
      <c:catAx>
        <c:axId val="14998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9982592"/>
        <c:crosses val="autoZero"/>
        <c:auto val="1"/>
        <c:lblAlgn val="ctr"/>
        <c:lblOffset val="100"/>
        <c:noMultiLvlLbl val="0"/>
      </c:catAx>
      <c:valAx>
        <c:axId val="14998259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81056"/>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Adoption/Foster Care</c:v>
                </c:pt>
                <c:pt idx="1">
                  <c:v>Dual</c:v>
                </c:pt>
                <c:pt idx="2">
                  <c:v>Parent/Caretaker Relative &amp; Child</c:v>
                </c:pt>
                <c:pt idx="3">
                  <c:v>Senior and Person with Disabilities</c:v>
                </c:pt>
                <c:pt idx="4">
                  <c:v>Undocumented</c:v>
                </c:pt>
                <c:pt idx="5">
                  <c:v>Other</c:v>
                </c:pt>
              </c:strCache>
            </c:strRef>
          </c:cat>
          <c:val>
            <c:numRef>
              <c:f>Sheet1!$B$2:$B$7</c:f>
              <c:numCache>
                <c:formatCode>0.0%</c:formatCode>
                <c:ptCount val="6"/>
                <c:pt idx="0">
                  <c:v>7.0999999999999994E-2</c:v>
                </c:pt>
                <c:pt idx="1">
                  <c:v>8.5999999999999993E-2</c:v>
                </c:pt>
                <c:pt idx="2">
                  <c:v>6.9000000000000006E-2</c:v>
                </c:pt>
                <c:pt idx="3">
                  <c:v>8.5000000000000006E-2</c:v>
                </c:pt>
                <c:pt idx="4">
                  <c:v>4.7E-2</c:v>
                </c:pt>
                <c:pt idx="5">
                  <c:v>5.3999999999999999E-2</c:v>
                </c:pt>
              </c:numCache>
            </c:numRef>
          </c:val>
          <c:extLst>
            <c:ext xmlns:c16="http://schemas.microsoft.com/office/drawing/2014/chart" uri="{C3380CC4-5D6E-409C-BE32-E72D297353CC}">
              <c16:uniqueId val="{00000000-0B74-4D5D-BFDD-885777565C2E}"/>
            </c:ext>
          </c:extLst>
        </c:ser>
        <c:dLbls>
          <c:showLegendKey val="0"/>
          <c:showVal val="0"/>
          <c:showCatName val="0"/>
          <c:showSerName val="0"/>
          <c:showPercent val="0"/>
          <c:showBubbleSize val="0"/>
        </c:dLbls>
        <c:gapWidth val="219"/>
        <c:overlap val="-27"/>
        <c:axId val="149994880"/>
        <c:axId val="150025344"/>
      </c:barChart>
      <c:catAx>
        <c:axId val="14999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25344"/>
        <c:crosses val="autoZero"/>
        <c:auto val="1"/>
        <c:lblAlgn val="ctr"/>
        <c:lblOffset val="100"/>
        <c:noMultiLvlLbl val="0"/>
      </c:catAx>
      <c:valAx>
        <c:axId val="1500253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94880"/>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Early Prenatal Care Access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Bay Area</c:v>
                </c:pt>
                <c:pt idx="1">
                  <c:v>Central Coast</c:v>
                </c:pt>
                <c:pt idx="2">
                  <c:v>Central Valley</c:v>
                </c:pt>
                <c:pt idx="3">
                  <c:v>Far North</c:v>
                </c:pt>
                <c:pt idx="4">
                  <c:v>Los Angeles</c:v>
                </c:pt>
                <c:pt idx="5">
                  <c:v>North Coast</c:v>
                </c:pt>
                <c:pt idx="6">
                  <c:v>Sacramento Valley</c:v>
                </c:pt>
                <c:pt idx="7">
                  <c:v>Sierra Range/Foothills</c:v>
                </c:pt>
                <c:pt idx="8">
                  <c:v>Southern California </c:v>
                </c:pt>
              </c:strCache>
            </c:strRef>
          </c:cat>
          <c:val>
            <c:numRef>
              <c:f>Sheet1!$B$2:$B$10</c:f>
              <c:numCache>
                <c:formatCode>0.0%</c:formatCode>
                <c:ptCount val="9"/>
                <c:pt idx="0">
                  <c:v>5.0999999999999997E-2</c:v>
                </c:pt>
                <c:pt idx="1">
                  <c:v>4.9000000000000002E-2</c:v>
                </c:pt>
                <c:pt idx="2">
                  <c:v>5.8999999999999997E-2</c:v>
                </c:pt>
                <c:pt idx="3">
                  <c:v>5.5E-2</c:v>
                </c:pt>
                <c:pt idx="4">
                  <c:v>5.8000000000000003E-2</c:v>
                </c:pt>
                <c:pt idx="5">
                  <c:v>4.8000000000000001E-2</c:v>
                </c:pt>
                <c:pt idx="6">
                  <c:v>5.8000000000000003E-2</c:v>
                </c:pt>
                <c:pt idx="7">
                  <c:v>5.2999999999999999E-2</c:v>
                </c:pt>
                <c:pt idx="8">
                  <c:v>5.2999999999999999E-2</c:v>
                </c:pt>
              </c:numCache>
            </c:numRef>
          </c:val>
          <c:extLst>
            <c:ext xmlns:c16="http://schemas.microsoft.com/office/drawing/2014/chart" uri="{C3380CC4-5D6E-409C-BE32-E72D297353CC}">
              <c16:uniqueId val="{00000000-DEDE-488D-9740-2ABA994E7F99}"/>
            </c:ext>
          </c:extLst>
        </c:ser>
        <c:dLbls>
          <c:showLegendKey val="0"/>
          <c:showVal val="0"/>
          <c:showCatName val="0"/>
          <c:showSerName val="0"/>
          <c:showPercent val="0"/>
          <c:showBubbleSize val="0"/>
        </c:dLbls>
        <c:gapWidth val="67"/>
        <c:axId val="32716288"/>
        <c:axId val="32717824"/>
      </c:barChart>
      <c:catAx>
        <c:axId val="3271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17824"/>
        <c:crosses val="autoZero"/>
        <c:auto val="1"/>
        <c:lblAlgn val="ctr"/>
        <c:lblOffset val="100"/>
        <c:noMultiLvlLbl val="0"/>
      </c:catAx>
      <c:valAx>
        <c:axId val="327178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16288"/>
        <c:crosses val="autoZero"/>
        <c:crossBetween val="between"/>
        <c:majorUnit val="2.0000000000000004E-2"/>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Percent Low Birthweight</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Age 15 or Less</c:v>
                </c:pt>
                <c:pt idx="1">
                  <c:v>Age 16-17</c:v>
                </c:pt>
                <c:pt idx="2">
                  <c:v>Age 18-19</c:v>
                </c:pt>
                <c:pt idx="3">
                  <c:v>Age 20-24</c:v>
                </c:pt>
                <c:pt idx="4">
                  <c:v>Age 25-34</c:v>
                </c:pt>
                <c:pt idx="5">
                  <c:v>Age 35-44</c:v>
                </c:pt>
                <c:pt idx="6">
                  <c:v>Age 45 and Older</c:v>
                </c:pt>
              </c:strCache>
            </c:strRef>
          </c:cat>
          <c:val>
            <c:numRef>
              <c:f>Sheet1!$B$2:$B$8</c:f>
              <c:numCache>
                <c:formatCode>0.0%</c:formatCode>
                <c:ptCount val="7"/>
                <c:pt idx="0">
                  <c:v>4.9000000000000002E-2</c:v>
                </c:pt>
                <c:pt idx="1">
                  <c:v>6.5000000000000002E-2</c:v>
                </c:pt>
                <c:pt idx="2">
                  <c:v>6.2E-2</c:v>
                </c:pt>
                <c:pt idx="3">
                  <c:v>5.3999999999999999E-2</c:v>
                </c:pt>
                <c:pt idx="4">
                  <c:v>5.0999999999999997E-2</c:v>
                </c:pt>
                <c:pt idx="5">
                  <c:v>6.5000000000000002E-2</c:v>
                </c:pt>
                <c:pt idx="6">
                  <c:v>0.13</c:v>
                </c:pt>
              </c:numCache>
            </c:numRef>
          </c:val>
          <c:extLst>
            <c:ext xmlns:c16="http://schemas.microsoft.com/office/drawing/2014/chart" uri="{C3380CC4-5D6E-409C-BE32-E72D297353CC}">
              <c16:uniqueId val="{00000000-4873-4668-9F2A-EB6A19E4BA17}"/>
            </c:ext>
          </c:extLst>
        </c:ser>
        <c:dLbls>
          <c:showLegendKey val="0"/>
          <c:showVal val="0"/>
          <c:showCatName val="0"/>
          <c:showSerName val="0"/>
          <c:showPercent val="0"/>
          <c:showBubbleSize val="0"/>
        </c:dLbls>
        <c:gapWidth val="67"/>
        <c:axId val="32746496"/>
        <c:axId val="32764672"/>
      </c:barChart>
      <c:catAx>
        <c:axId val="3274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764672"/>
        <c:crosses val="autoZero"/>
        <c:auto val="1"/>
        <c:lblAlgn val="ctr"/>
        <c:lblOffset val="100"/>
        <c:noMultiLvlLbl val="0"/>
      </c:catAx>
      <c:valAx>
        <c:axId val="327646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46496"/>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Sheet1!$A$2</c:f>
              <c:strCache>
                <c:ptCount val="1"/>
                <c:pt idx="0">
                  <c:v>Jan-13</c:v>
                </c:pt>
              </c:strCache>
            </c:strRef>
          </c:tx>
          <c:invertIfNegative val="0"/>
          <c:dLbls>
            <c:dLbl>
              <c:idx val="0"/>
              <c:layout>
                <c:manualLayout>
                  <c:x val="1.2241756516456289E-2"/>
                  <c:y val="9.493330877500855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E5-4CAC-B992-907FFD4F10F0}"/>
                </c:ext>
              </c:extLst>
            </c:dLbl>
            <c:dLbl>
              <c:idx val="1"/>
              <c:layout>
                <c:manualLayout>
                  <c:x val="-4.2629586776295355E-4"/>
                  <c:y val="-1.2695891083789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E5-4CAC-B992-907FFD4F10F0}"/>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Fee-for-Service</c:v>
                </c:pt>
                <c:pt idx="1">
                  <c:v>Managed Care</c:v>
                </c:pt>
              </c:strCache>
            </c:strRef>
          </c:cat>
          <c:val>
            <c:numRef>
              <c:f>Sheet1!$B$2:$C$2</c:f>
              <c:numCache>
                <c:formatCode>#,##0</c:formatCode>
                <c:ptCount val="2"/>
                <c:pt idx="0">
                  <c:v>2801272</c:v>
                </c:pt>
                <c:pt idx="1">
                  <c:v>5063693</c:v>
                </c:pt>
              </c:numCache>
            </c:numRef>
          </c:val>
          <c:extLst>
            <c:ext xmlns:c16="http://schemas.microsoft.com/office/drawing/2014/chart" uri="{C3380CC4-5D6E-409C-BE32-E72D297353CC}">
              <c16:uniqueId val="{00000002-18E5-4CAC-B992-907FFD4F10F0}"/>
            </c:ext>
          </c:extLst>
        </c:ser>
        <c:ser>
          <c:idx val="1"/>
          <c:order val="1"/>
          <c:tx>
            <c:strRef>
              <c:f>Sheet1!$A$3</c:f>
              <c:strCache>
                <c:ptCount val="1"/>
                <c:pt idx="0">
                  <c:v>Jan-16</c:v>
                </c:pt>
              </c:strCache>
            </c:strRef>
          </c:tx>
          <c:invertIfNegative val="0"/>
          <c:dLbls>
            <c:dLbl>
              <c:idx val="0"/>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E5-4CAC-B992-907FFD4F10F0}"/>
                </c:ext>
              </c:extLst>
            </c:dLbl>
            <c:dLbl>
              <c:idx val="1"/>
              <c:layout>
                <c:manualLayout>
                  <c:x val="0"/>
                  <c:y val="4.80307396733909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E5-4CAC-B992-907FFD4F10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Fee-for-Service</c:v>
                </c:pt>
                <c:pt idx="1">
                  <c:v>Managed Care</c:v>
                </c:pt>
              </c:strCache>
            </c:strRef>
          </c:cat>
          <c:val>
            <c:numRef>
              <c:f>Sheet1!$B$3:$C$3</c:f>
              <c:numCache>
                <c:formatCode>#,##0</c:formatCode>
                <c:ptCount val="2"/>
                <c:pt idx="0">
                  <c:v>3160871</c:v>
                </c:pt>
                <c:pt idx="1">
                  <c:v>10377148</c:v>
                </c:pt>
              </c:numCache>
            </c:numRef>
          </c:val>
          <c:extLst>
            <c:ext xmlns:c16="http://schemas.microsoft.com/office/drawing/2014/chart" uri="{C3380CC4-5D6E-409C-BE32-E72D297353CC}">
              <c16:uniqueId val="{00000005-18E5-4CAC-B992-907FFD4F10F0}"/>
            </c:ext>
          </c:extLst>
        </c:ser>
        <c:dLbls>
          <c:showLegendKey val="0"/>
          <c:showVal val="0"/>
          <c:showCatName val="0"/>
          <c:showSerName val="0"/>
          <c:showPercent val="0"/>
          <c:showBubbleSize val="0"/>
        </c:dLbls>
        <c:gapWidth val="75"/>
        <c:axId val="88673280"/>
        <c:axId val="88675072"/>
      </c:barChart>
      <c:catAx>
        <c:axId val="88673280"/>
        <c:scaling>
          <c:orientation val="minMax"/>
        </c:scaling>
        <c:delete val="0"/>
        <c:axPos val="l"/>
        <c:numFmt formatCode="General" sourceLinked="1"/>
        <c:majorTickMark val="none"/>
        <c:minorTickMark val="none"/>
        <c:tickLblPos val="nextTo"/>
        <c:crossAx val="88675072"/>
        <c:crosses val="autoZero"/>
        <c:auto val="1"/>
        <c:lblAlgn val="ctr"/>
        <c:lblOffset val="100"/>
        <c:noMultiLvlLbl val="0"/>
      </c:catAx>
      <c:valAx>
        <c:axId val="88675072"/>
        <c:scaling>
          <c:orientation val="minMax"/>
        </c:scaling>
        <c:delete val="0"/>
        <c:axPos val="b"/>
        <c:numFmt formatCode="#,##0" sourceLinked="1"/>
        <c:majorTickMark val="none"/>
        <c:minorTickMark val="none"/>
        <c:tickLblPos val="nextTo"/>
        <c:txPr>
          <a:bodyPr rot="-1500000"/>
          <a:lstStyle/>
          <a:p>
            <a:pPr>
              <a:defRPr/>
            </a:pPr>
            <a:endParaRPr lang="en-US"/>
          </a:p>
        </c:txPr>
        <c:crossAx val="88673280"/>
        <c:crosses val="autoZero"/>
        <c:crossBetween val="between"/>
      </c:valAx>
      <c:spPr>
        <a:solidFill>
          <a:sysClr val="window" lastClr="FFFFFF">
            <a:lumMod val="95000"/>
          </a:sysClr>
        </a:solidFill>
      </c:spPr>
    </c:plotArea>
    <c:legend>
      <c:legendPos val="r"/>
      <c:overlay val="0"/>
    </c:legend>
    <c:plotVisOnly val="1"/>
    <c:dispBlanksAs val="gap"/>
    <c:showDLblsOverMax val="0"/>
  </c:chart>
  <c:spPr>
    <a:solidFill>
      <a:sysClr val="window" lastClr="FFFFFF">
        <a:lumMod val="95000"/>
      </a:sysClr>
    </a:solidFill>
  </c:sp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Early Prenatal Care Access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White</c:v>
                </c:pt>
                <c:pt idx="1">
                  <c:v>African-American</c:v>
                </c:pt>
                <c:pt idx="2">
                  <c:v>Hispanic</c:v>
                </c:pt>
                <c:pt idx="3">
                  <c:v>Asian</c:v>
                </c:pt>
                <c:pt idx="4">
                  <c:v>American Indian/Alaskan Native</c:v>
                </c:pt>
                <c:pt idx="5">
                  <c:v>Other/Not Reported</c:v>
                </c:pt>
              </c:strCache>
            </c:strRef>
          </c:cat>
          <c:val>
            <c:numRef>
              <c:f>Sheet1!$B$2:$B$7</c:f>
              <c:numCache>
                <c:formatCode>0.0%</c:formatCode>
                <c:ptCount val="6"/>
                <c:pt idx="0">
                  <c:v>5.2999999999999999E-2</c:v>
                </c:pt>
                <c:pt idx="1">
                  <c:v>9.6000000000000002E-2</c:v>
                </c:pt>
                <c:pt idx="2">
                  <c:v>5.0999999999999997E-2</c:v>
                </c:pt>
                <c:pt idx="3">
                  <c:v>6.0999999999999999E-2</c:v>
                </c:pt>
                <c:pt idx="4">
                  <c:v>6.0999999999999999E-2</c:v>
                </c:pt>
                <c:pt idx="5">
                  <c:v>5.8000000000000003E-2</c:v>
                </c:pt>
              </c:numCache>
            </c:numRef>
          </c:val>
          <c:extLst>
            <c:ext xmlns:c16="http://schemas.microsoft.com/office/drawing/2014/chart" uri="{C3380CC4-5D6E-409C-BE32-E72D297353CC}">
              <c16:uniqueId val="{00000000-DF2C-4695-8BA2-82AE9A816DD4}"/>
            </c:ext>
          </c:extLst>
        </c:ser>
        <c:dLbls>
          <c:showLegendKey val="0"/>
          <c:showVal val="0"/>
          <c:showCatName val="0"/>
          <c:showSerName val="0"/>
          <c:showPercent val="0"/>
          <c:showBubbleSize val="0"/>
        </c:dLbls>
        <c:gapWidth val="67"/>
        <c:axId val="32826112"/>
        <c:axId val="32827648"/>
      </c:barChart>
      <c:catAx>
        <c:axId val="3282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27648"/>
        <c:crosses val="autoZero"/>
        <c:auto val="1"/>
        <c:lblAlgn val="ctr"/>
        <c:lblOffset val="100"/>
        <c:noMultiLvlLbl val="0"/>
      </c:catAx>
      <c:valAx>
        <c:axId val="328276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26112"/>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45771361913091E-2"/>
          <c:y val="4.3650793650793648E-2"/>
          <c:w val="0.69260608048993877"/>
          <c:h val="0.77351831021122364"/>
        </c:manualLayout>
      </c:layout>
      <c:barChart>
        <c:barDir val="col"/>
        <c:grouping val="clustered"/>
        <c:varyColors val="0"/>
        <c:ser>
          <c:idx val="0"/>
          <c:order val="0"/>
          <c:tx>
            <c:strRef>
              <c:f>Sheet1!$B$1</c:f>
              <c:strCache>
                <c:ptCount val="1"/>
                <c:pt idx="0">
                  <c:v>Percent of Population with Low-Birthweight</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FFS Medi-Cal Births</c:v>
                </c:pt>
                <c:pt idx="1">
                  <c:v>Non-Medi-Cal</c:v>
                </c:pt>
              </c:strCache>
            </c:strRef>
          </c:cat>
          <c:val>
            <c:numRef>
              <c:f>Sheet1!$B$2:$B$3</c:f>
              <c:numCache>
                <c:formatCode>0.0%</c:formatCode>
                <c:ptCount val="2"/>
                <c:pt idx="0">
                  <c:v>9.0999999999999998E-2</c:v>
                </c:pt>
                <c:pt idx="1">
                  <c:v>7.5999999999999998E-2</c:v>
                </c:pt>
              </c:numCache>
            </c:numRef>
          </c:val>
          <c:extLst>
            <c:ext xmlns:c16="http://schemas.microsoft.com/office/drawing/2014/chart" uri="{C3380CC4-5D6E-409C-BE32-E72D297353CC}">
              <c16:uniqueId val="{00000000-42CC-4097-B275-159BB93824DB}"/>
            </c:ext>
          </c:extLst>
        </c:ser>
        <c:dLbls>
          <c:showLegendKey val="0"/>
          <c:showVal val="0"/>
          <c:showCatName val="0"/>
          <c:showSerName val="0"/>
          <c:showPercent val="0"/>
          <c:showBubbleSize val="0"/>
        </c:dLbls>
        <c:gapWidth val="219"/>
        <c:axId val="150192896"/>
        <c:axId val="150194432"/>
      </c:barChart>
      <c:lineChart>
        <c:grouping val="standard"/>
        <c:varyColors val="0"/>
        <c:ser>
          <c:idx val="1"/>
          <c:order val="1"/>
          <c:tx>
            <c:strRef>
              <c:f>Sheet1!$C$1</c:f>
              <c:strCache>
                <c:ptCount val="1"/>
                <c:pt idx="0">
                  <c:v>Healthy People 2020</c:v>
                </c:pt>
              </c:strCache>
            </c:strRef>
          </c:tx>
          <c:spPr>
            <a:ln w="28575" cap="rnd">
              <a:solidFill>
                <a:schemeClr val="accent2"/>
              </a:solidFill>
              <a:round/>
            </a:ln>
            <a:effectLst/>
          </c:spPr>
          <c:marker>
            <c:symbol val="none"/>
          </c:marker>
          <c:cat>
            <c:strRef>
              <c:f>Sheet1!$A$2:$A$3</c:f>
              <c:strCache>
                <c:ptCount val="2"/>
                <c:pt idx="0">
                  <c:v>FFS Medi-Cal Births</c:v>
                </c:pt>
                <c:pt idx="1">
                  <c:v>Non-Medi-Cal</c:v>
                </c:pt>
              </c:strCache>
            </c:strRef>
          </c:cat>
          <c:val>
            <c:numRef>
              <c:f>Sheet1!$C$2:$C$3</c:f>
              <c:numCache>
                <c:formatCode>0.0%</c:formatCode>
                <c:ptCount val="2"/>
                <c:pt idx="0">
                  <c:v>0.114</c:v>
                </c:pt>
                <c:pt idx="1">
                  <c:v>0.114</c:v>
                </c:pt>
              </c:numCache>
            </c:numRef>
          </c:val>
          <c:smooth val="0"/>
          <c:extLst>
            <c:ext xmlns:c16="http://schemas.microsoft.com/office/drawing/2014/chart" uri="{C3380CC4-5D6E-409C-BE32-E72D297353CC}">
              <c16:uniqueId val="{00000001-42CC-4097-B275-159BB93824DB}"/>
            </c:ext>
          </c:extLst>
        </c:ser>
        <c:dLbls>
          <c:showLegendKey val="0"/>
          <c:showVal val="0"/>
          <c:showCatName val="0"/>
          <c:showSerName val="0"/>
          <c:showPercent val="0"/>
          <c:showBubbleSize val="0"/>
        </c:dLbls>
        <c:marker val="1"/>
        <c:smooth val="0"/>
        <c:axId val="150205952"/>
        <c:axId val="150204416"/>
      </c:lineChart>
      <c:catAx>
        <c:axId val="15019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0194432"/>
        <c:crosses val="autoZero"/>
        <c:auto val="1"/>
        <c:lblAlgn val="ctr"/>
        <c:lblOffset val="100"/>
        <c:noMultiLvlLbl val="0"/>
      </c:catAx>
      <c:valAx>
        <c:axId val="15019443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92896"/>
        <c:crosses val="autoZero"/>
        <c:crossBetween val="between"/>
      </c:valAx>
      <c:valAx>
        <c:axId val="150204416"/>
        <c:scaling>
          <c:orientation val="minMax"/>
        </c:scaling>
        <c:delete val="1"/>
        <c:axPos val="r"/>
        <c:numFmt formatCode="0.0%" sourceLinked="1"/>
        <c:majorTickMark val="out"/>
        <c:minorTickMark val="none"/>
        <c:tickLblPos val="nextTo"/>
        <c:crossAx val="150205952"/>
        <c:crosses val="max"/>
        <c:crossBetween val="between"/>
      </c:valAx>
      <c:catAx>
        <c:axId val="150205952"/>
        <c:scaling>
          <c:orientation val="minMax"/>
        </c:scaling>
        <c:delete val="1"/>
        <c:axPos val="b"/>
        <c:numFmt formatCode="General" sourceLinked="1"/>
        <c:majorTickMark val="out"/>
        <c:minorTickMark val="none"/>
        <c:tickLblPos val="nextTo"/>
        <c:crossAx val="150204416"/>
        <c:crosses val="autoZero"/>
        <c:auto val="1"/>
        <c:lblAlgn val="ctr"/>
        <c:lblOffset val="100"/>
        <c:noMultiLvlLbl val="0"/>
      </c:cat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172563065033537"/>
          <c:y val="3.4102380559073481E-3"/>
          <c:w val="0.26687609361329834"/>
          <c:h val="0.166171103612048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Prenatal Care</c:v>
                </c:pt>
                <c:pt idx="1">
                  <c:v>Early Prenatal Care</c:v>
                </c:pt>
                <c:pt idx="2">
                  <c:v>Late Prenatal Care</c:v>
                </c:pt>
              </c:strCache>
            </c:strRef>
          </c:cat>
          <c:val>
            <c:numRef>
              <c:f>Sheet1!$B$2:$B$4</c:f>
              <c:numCache>
                <c:formatCode>0.0%</c:formatCode>
                <c:ptCount val="3"/>
                <c:pt idx="0">
                  <c:v>0.46200000000000002</c:v>
                </c:pt>
                <c:pt idx="1">
                  <c:v>8.5999999999999993E-2</c:v>
                </c:pt>
                <c:pt idx="2">
                  <c:v>7.9000000000000001E-2</c:v>
                </c:pt>
              </c:numCache>
            </c:numRef>
          </c:val>
          <c:extLst>
            <c:ext xmlns:c16="http://schemas.microsoft.com/office/drawing/2014/chart" uri="{C3380CC4-5D6E-409C-BE32-E72D297353CC}">
              <c16:uniqueId val="{00000000-4339-4412-ABA6-70F78BECC2EC}"/>
            </c:ext>
          </c:extLst>
        </c:ser>
        <c:dLbls>
          <c:showLegendKey val="0"/>
          <c:showVal val="0"/>
          <c:showCatName val="0"/>
          <c:showSerName val="0"/>
          <c:showPercent val="0"/>
          <c:showBubbleSize val="0"/>
        </c:dLbls>
        <c:gapWidth val="219"/>
        <c:overlap val="-27"/>
        <c:axId val="157031808"/>
        <c:axId val="157033600"/>
      </c:barChart>
      <c:catAx>
        <c:axId val="1570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7033600"/>
        <c:crosses val="autoZero"/>
        <c:auto val="1"/>
        <c:lblAlgn val="ctr"/>
        <c:lblOffset val="100"/>
        <c:noMultiLvlLbl val="0"/>
      </c:catAx>
      <c:valAx>
        <c:axId val="1570336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31808"/>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Full-Scope</c:v>
                </c:pt>
                <c:pt idx="1">
                  <c:v>Restricted</c:v>
                </c:pt>
              </c:strCache>
            </c:strRef>
          </c:cat>
          <c:val>
            <c:numRef>
              <c:f>Sheet1!$B$2:$B$3</c:f>
              <c:numCache>
                <c:formatCode>0.0%</c:formatCode>
                <c:ptCount val="2"/>
                <c:pt idx="0">
                  <c:v>0.112</c:v>
                </c:pt>
                <c:pt idx="1">
                  <c:v>8.4000000000000005E-2</c:v>
                </c:pt>
              </c:numCache>
            </c:numRef>
          </c:val>
          <c:extLst>
            <c:ext xmlns:c16="http://schemas.microsoft.com/office/drawing/2014/chart" uri="{C3380CC4-5D6E-409C-BE32-E72D297353CC}">
              <c16:uniqueId val="{00000000-D0E0-4B5D-AC9B-C6A19E5F7F1C}"/>
            </c:ext>
          </c:extLst>
        </c:ser>
        <c:dLbls>
          <c:showLegendKey val="0"/>
          <c:showVal val="0"/>
          <c:showCatName val="0"/>
          <c:showSerName val="0"/>
          <c:showPercent val="0"/>
          <c:showBubbleSize val="0"/>
        </c:dLbls>
        <c:gapWidth val="219"/>
        <c:overlap val="-27"/>
        <c:axId val="157074560"/>
        <c:axId val="157076096"/>
      </c:barChart>
      <c:catAx>
        <c:axId val="15707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7076096"/>
        <c:crosses val="autoZero"/>
        <c:auto val="1"/>
        <c:lblAlgn val="ctr"/>
        <c:lblOffset val="100"/>
        <c:noMultiLvlLbl val="0"/>
      </c:catAx>
      <c:valAx>
        <c:axId val="1570760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74560"/>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Adoption/Foster Care</c:v>
                </c:pt>
                <c:pt idx="1">
                  <c:v>Dual</c:v>
                </c:pt>
                <c:pt idx="2">
                  <c:v>Parent/Caretaker Relative &amp; Child</c:v>
                </c:pt>
                <c:pt idx="3">
                  <c:v>Senior and Person with Disabilities</c:v>
                </c:pt>
                <c:pt idx="4">
                  <c:v>Undocumented</c:v>
                </c:pt>
                <c:pt idx="5">
                  <c:v>Other</c:v>
                </c:pt>
              </c:strCache>
            </c:strRef>
          </c:cat>
          <c:val>
            <c:numRef>
              <c:f>Sheet1!$B$2:$B$7</c:f>
              <c:numCache>
                <c:formatCode>0.0%</c:formatCode>
                <c:ptCount val="6"/>
                <c:pt idx="0">
                  <c:v>0.108</c:v>
                </c:pt>
                <c:pt idx="1">
                  <c:v>0.14699999999999999</c:v>
                </c:pt>
                <c:pt idx="2">
                  <c:v>0.111</c:v>
                </c:pt>
                <c:pt idx="3">
                  <c:v>0.16900000000000001</c:v>
                </c:pt>
                <c:pt idx="4">
                  <c:v>8.5999999999999993E-2</c:v>
                </c:pt>
                <c:pt idx="5">
                  <c:v>8.1000000000000003E-2</c:v>
                </c:pt>
              </c:numCache>
            </c:numRef>
          </c:val>
          <c:extLst>
            <c:ext xmlns:c16="http://schemas.microsoft.com/office/drawing/2014/chart" uri="{C3380CC4-5D6E-409C-BE32-E72D297353CC}">
              <c16:uniqueId val="{00000000-90B7-4E9A-8C5A-F39236A5BF09}"/>
            </c:ext>
          </c:extLst>
        </c:ser>
        <c:dLbls>
          <c:showLegendKey val="0"/>
          <c:showVal val="0"/>
          <c:showCatName val="0"/>
          <c:showSerName val="0"/>
          <c:showPercent val="0"/>
          <c:showBubbleSize val="0"/>
        </c:dLbls>
        <c:gapWidth val="219"/>
        <c:overlap val="-27"/>
        <c:axId val="112519808"/>
        <c:axId val="112521600"/>
      </c:barChart>
      <c:catAx>
        <c:axId val="1125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21600"/>
        <c:crosses val="autoZero"/>
        <c:auto val="1"/>
        <c:lblAlgn val="ctr"/>
        <c:lblOffset val="100"/>
        <c:noMultiLvlLbl val="0"/>
      </c:catAx>
      <c:valAx>
        <c:axId val="1125216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19808"/>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Early Prenatal Care Access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Bay Area</c:v>
                </c:pt>
                <c:pt idx="1">
                  <c:v>Central Coast</c:v>
                </c:pt>
                <c:pt idx="2">
                  <c:v>Central Valley</c:v>
                </c:pt>
                <c:pt idx="3">
                  <c:v>Far North</c:v>
                </c:pt>
                <c:pt idx="4">
                  <c:v>Los Angeles</c:v>
                </c:pt>
                <c:pt idx="5">
                  <c:v>North Coast</c:v>
                </c:pt>
                <c:pt idx="6">
                  <c:v>Sacramento Valley</c:v>
                </c:pt>
                <c:pt idx="7">
                  <c:v>Sierra Range/Foothills</c:v>
                </c:pt>
                <c:pt idx="8">
                  <c:v>Southern California</c:v>
                </c:pt>
              </c:strCache>
            </c:strRef>
          </c:cat>
          <c:val>
            <c:numRef>
              <c:f>Sheet1!$B$2:$B$10</c:f>
              <c:numCache>
                <c:formatCode>0.0%</c:formatCode>
                <c:ptCount val="9"/>
                <c:pt idx="0">
                  <c:v>0.08</c:v>
                </c:pt>
                <c:pt idx="1">
                  <c:v>7.9000000000000001E-2</c:v>
                </c:pt>
                <c:pt idx="2">
                  <c:v>9.7000000000000003E-2</c:v>
                </c:pt>
                <c:pt idx="3">
                  <c:v>8.8999999999999996E-2</c:v>
                </c:pt>
                <c:pt idx="4">
                  <c:v>0.105</c:v>
                </c:pt>
                <c:pt idx="5">
                  <c:v>9.7000000000000003E-2</c:v>
                </c:pt>
                <c:pt idx="6">
                  <c:v>8.5000000000000006E-2</c:v>
                </c:pt>
                <c:pt idx="7">
                  <c:v>8.8999999999999996E-2</c:v>
                </c:pt>
                <c:pt idx="8">
                  <c:v>8.2000000000000003E-2</c:v>
                </c:pt>
              </c:numCache>
            </c:numRef>
          </c:val>
          <c:extLst>
            <c:ext xmlns:c16="http://schemas.microsoft.com/office/drawing/2014/chart" uri="{C3380CC4-5D6E-409C-BE32-E72D297353CC}">
              <c16:uniqueId val="{00000000-330F-41FF-B662-BE913E83800E}"/>
            </c:ext>
          </c:extLst>
        </c:ser>
        <c:dLbls>
          <c:showLegendKey val="0"/>
          <c:showVal val="0"/>
          <c:showCatName val="0"/>
          <c:showSerName val="0"/>
          <c:showPercent val="0"/>
          <c:showBubbleSize val="0"/>
        </c:dLbls>
        <c:gapWidth val="67"/>
        <c:axId val="157389184"/>
        <c:axId val="157390720"/>
      </c:barChart>
      <c:catAx>
        <c:axId val="15738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90720"/>
        <c:crosses val="autoZero"/>
        <c:auto val="1"/>
        <c:lblAlgn val="ctr"/>
        <c:lblOffset val="100"/>
        <c:noMultiLvlLbl val="0"/>
      </c:catAx>
      <c:valAx>
        <c:axId val="1573907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9184"/>
        <c:crosses val="autoZero"/>
        <c:crossBetween val="between"/>
        <c:majorUnit val="2.0000000000000004E-2"/>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Percent Low Birthweight</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Age 15 or Less</c:v>
                </c:pt>
                <c:pt idx="1">
                  <c:v>Age 16-17</c:v>
                </c:pt>
                <c:pt idx="2">
                  <c:v>Age 18-19</c:v>
                </c:pt>
                <c:pt idx="3">
                  <c:v>Age 20-24</c:v>
                </c:pt>
                <c:pt idx="4">
                  <c:v>Age 25-34</c:v>
                </c:pt>
                <c:pt idx="5">
                  <c:v>Age 35-44</c:v>
                </c:pt>
                <c:pt idx="6">
                  <c:v>Age 45 and Older</c:v>
                </c:pt>
              </c:strCache>
            </c:strRef>
          </c:cat>
          <c:val>
            <c:numRef>
              <c:f>Sheet1!$B$2:$B$8</c:f>
              <c:numCache>
                <c:formatCode>0.0%</c:formatCode>
                <c:ptCount val="7"/>
                <c:pt idx="0">
                  <c:v>0.13100000000000001</c:v>
                </c:pt>
                <c:pt idx="1">
                  <c:v>0.1</c:v>
                </c:pt>
                <c:pt idx="2">
                  <c:v>9.2999999999999999E-2</c:v>
                </c:pt>
                <c:pt idx="3">
                  <c:v>8.5000000000000006E-2</c:v>
                </c:pt>
                <c:pt idx="4">
                  <c:v>8.6999999999999994E-2</c:v>
                </c:pt>
                <c:pt idx="5">
                  <c:v>0.112</c:v>
                </c:pt>
                <c:pt idx="6">
                  <c:v>0.193</c:v>
                </c:pt>
              </c:numCache>
            </c:numRef>
          </c:val>
          <c:extLst>
            <c:ext xmlns:c16="http://schemas.microsoft.com/office/drawing/2014/chart" uri="{C3380CC4-5D6E-409C-BE32-E72D297353CC}">
              <c16:uniqueId val="{00000000-9AAA-4612-B0B3-44B9E9C0E945}"/>
            </c:ext>
          </c:extLst>
        </c:ser>
        <c:dLbls>
          <c:showLegendKey val="0"/>
          <c:showVal val="0"/>
          <c:showCatName val="0"/>
          <c:showSerName val="0"/>
          <c:showPercent val="0"/>
          <c:showBubbleSize val="0"/>
        </c:dLbls>
        <c:gapWidth val="67"/>
        <c:axId val="163166080"/>
        <c:axId val="163167616"/>
      </c:barChart>
      <c:catAx>
        <c:axId val="16316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67616"/>
        <c:crosses val="autoZero"/>
        <c:auto val="1"/>
        <c:lblAlgn val="ctr"/>
        <c:lblOffset val="100"/>
        <c:noMultiLvlLbl val="0"/>
      </c:catAx>
      <c:valAx>
        <c:axId val="16316761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66080"/>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Early Prenatal Care Access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White</c:v>
                </c:pt>
                <c:pt idx="1">
                  <c:v>African-American</c:v>
                </c:pt>
                <c:pt idx="2">
                  <c:v>Hispanic</c:v>
                </c:pt>
                <c:pt idx="3">
                  <c:v>Asian</c:v>
                </c:pt>
                <c:pt idx="4">
                  <c:v>American Indian/Alaskan Native</c:v>
                </c:pt>
                <c:pt idx="5">
                  <c:v>Other/Not Reported</c:v>
                </c:pt>
              </c:strCache>
            </c:strRef>
          </c:cat>
          <c:val>
            <c:numRef>
              <c:f>Sheet1!$B$2:$B$7</c:f>
              <c:numCache>
                <c:formatCode>0.0%</c:formatCode>
                <c:ptCount val="6"/>
                <c:pt idx="0">
                  <c:v>8.6999999999999994E-2</c:v>
                </c:pt>
                <c:pt idx="1">
                  <c:v>0.13</c:v>
                </c:pt>
                <c:pt idx="2">
                  <c:v>0.09</c:v>
                </c:pt>
                <c:pt idx="3">
                  <c:v>8.4000000000000005E-2</c:v>
                </c:pt>
                <c:pt idx="4">
                  <c:v>0.128</c:v>
                </c:pt>
                <c:pt idx="5">
                  <c:v>8.8999999999999996E-2</c:v>
                </c:pt>
              </c:numCache>
            </c:numRef>
          </c:val>
          <c:extLst>
            <c:ext xmlns:c16="http://schemas.microsoft.com/office/drawing/2014/chart" uri="{C3380CC4-5D6E-409C-BE32-E72D297353CC}">
              <c16:uniqueId val="{00000000-00C5-4FC2-94F6-10FBF7623FE5}"/>
            </c:ext>
          </c:extLst>
        </c:ser>
        <c:dLbls>
          <c:showLegendKey val="0"/>
          <c:showVal val="0"/>
          <c:showCatName val="0"/>
          <c:showSerName val="0"/>
          <c:showPercent val="0"/>
          <c:showBubbleSize val="0"/>
        </c:dLbls>
        <c:gapWidth val="67"/>
        <c:axId val="163204480"/>
        <c:axId val="163210368"/>
      </c:barChart>
      <c:catAx>
        <c:axId val="16320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10368"/>
        <c:crosses val="autoZero"/>
        <c:auto val="1"/>
        <c:lblAlgn val="ctr"/>
        <c:lblOffset val="100"/>
        <c:noMultiLvlLbl val="0"/>
      </c:catAx>
      <c:valAx>
        <c:axId val="1632103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04480"/>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'Figure1 Calls x Quarter'!$C$1</c:f>
              <c:strCache>
                <c:ptCount val="1"/>
                <c:pt idx="0">
                  <c:v># of Calls</c:v>
                </c:pt>
              </c:strCache>
            </c:strRef>
          </c:tx>
          <c:dLbls>
            <c:dLbl>
              <c:idx val="0"/>
              <c:layout>
                <c:manualLayout>
                  <c:x val="-1.9586668320030757E-17"/>
                  <c:y val="-0.10016694490818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2F-4A19-95F7-F8A607E70377}"/>
                </c:ext>
              </c:extLst>
            </c:dLbl>
            <c:dLbl>
              <c:idx val="1"/>
              <c:layout>
                <c:manualLayout>
                  <c:x val="1.0683760683760644E-2"/>
                  <c:y val="3.338898163606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2F-4A19-95F7-F8A607E70377}"/>
                </c:ext>
              </c:extLst>
            </c:dLbl>
            <c:dLbl>
              <c:idx val="5"/>
              <c:layout>
                <c:manualLayout>
                  <c:x val="4.2735042735042739E-3"/>
                  <c:y val="-3.338898163606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2F-4A19-95F7-F8A607E70377}"/>
                </c:ext>
              </c:extLst>
            </c:dLbl>
            <c:dLbl>
              <c:idx val="6"/>
              <c:layout>
                <c:manualLayout>
                  <c:x val="6.41025641025641E-3"/>
                  <c:y val="-4.451864218141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2F-4A19-95F7-F8A607E7037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'Figure1 Calls x Quarter'!$A$2:$B$9</c:f>
              <c:multiLvlStrCache>
                <c:ptCount val="8"/>
                <c:lvl>
                  <c:pt idx="0">
                    <c:v>2013-14</c:v>
                  </c:pt>
                  <c:pt idx="1">
                    <c:v>2013-14</c:v>
                  </c:pt>
                  <c:pt idx="2">
                    <c:v>2013-14</c:v>
                  </c:pt>
                  <c:pt idx="3">
                    <c:v>2013-14</c:v>
                  </c:pt>
                  <c:pt idx="4">
                    <c:v>2014-15</c:v>
                  </c:pt>
                  <c:pt idx="5">
                    <c:v>2014-15</c:v>
                  </c:pt>
                  <c:pt idx="6">
                    <c:v>2014-15</c:v>
                  </c:pt>
                  <c:pt idx="7">
                    <c:v>2014-15</c:v>
                  </c:pt>
                </c:lvl>
                <c:lvl>
                  <c:pt idx="0">
                    <c:v>Qtr 1</c:v>
                  </c:pt>
                  <c:pt idx="1">
                    <c:v>Qtr 2</c:v>
                  </c:pt>
                  <c:pt idx="2">
                    <c:v>Qtr 3</c:v>
                  </c:pt>
                  <c:pt idx="3">
                    <c:v>Qtr 4</c:v>
                  </c:pt>
                  <c:pt idx="4">
                    <c:v>Qtr 1</c:v>
                  </c:pt>
                  <c:pt idx="5">
                    <c:v>Qtr 2</c:v>
                  </c:pt>
                  <c:pt idx="6">
                    <c:v>Qtr 3</c:v>
                  </c:pt>
                  <c:pt idx="7">
                    <c:v>Qtr 4</c:v>
                  </c:pt>
                </c:lvl>
              </c:multiLvlStrCache>
            </c:multiLvlStrRef>
          </c:cat>
          <c:val>
            <c:numRef>
              <c:f>'Figure1 Calls x Quarter'!$C$2:$C$9</c:f>
              <c:numCache>
                <c:formatCode>#,##0</c:formatCode>
                <c:ptCount val="8"/>
                <c:pt idx="0">
                  <c:v>2854</c:v>
                </c:pt>
                <c:pt idx="1">
                  <c:v>3881</c:v>
                </c:pt>
                <c:pt idx="2">
                  <c:v>6258</c:v>
                </c:pt>
                <c:pt idx="3">
                  <c:v>16034</c:v>
                </c:pt>
                <c:pt idx="4">
                  <c:v>19510</c:v>
                </c:pt>
                <c:pt idx="5">
                  <c:v>15184</c:v>
                </c:pt>
                <c:pt idx="6">
                  <c:v>11997</c:v>
                </c:pt>
                <c:pt idx="7">
                  <c:v>9391</c:v>
                </c:pt>
              </c:numCache>
            </c:numRef>
          </c:val>
          <c:smooth val="0"/>
          <c:extLst>
            <c:ext xmlns:c16="http://schemas.microsoft.com/office/drawing/2014/chart" uri="{C3380CC4-5D6E-409C-BE32-E72D297353CC}">
              <c16:uniqueId val="{00000000-D44A-402A-A77E-5D51D119B7F2}"/>
            </c:ext>
          </c:extLst>
        </c:ser>
        <c:dLbls>
          <c:showLegendKey val="0"/>
          <c:showVal val="0"/>
          <c:showCatName val="0"/>
          <c:showSerName val="0"/>
          <c:showPercent val="0"/>
          <c:showBubbleSize val="0"/>
        </c:dLbls>
        <c:marker val="1"/>
        <c:smooth val="0"/>
        <c:axId val="163269632"/>
        <c:axId val="163291904"/>
      </c:lineChart>
      <c:catAx>
        <c:axId val="163269632"/>
        <c:scaling>
          <c:orientation val="minMax"/>
        </c:scaling>
        <c:delete val="0"/>
        <c:axPos val="b"/>
        <c:numFmt formatCode="General" sourceLinked="1"/>
        <c:majorTickMark val="out"/>
        <c:minorTickMark val="none"/>
        <c:tickLblPos val="nextTo"/>
        <c:txPr>
          <a:bodyPr/>
          <a:lstStyle/>
          <a:p>
            <a:pPr>
              <a:defRPr b="1"/>
            </a:pPr>
            <a:endParaRPr lang="en-US"/>
          </a:p>
        </c:txPr>
        <c:crossAx val="163291904"/>
        <c:crosses val="autoZero"/>
        <c:auto val="1"/>
        <c:lblAlgn val="ctr"/>
        <c:lblOffset val="100"/>
        <c:noMultiLvlLbl val="0"/>
      </c:catAx>
      <c:valAx>
        <c:axId val="163291904"/>
        <c:scaling>
          <c:orientation val="minMax"/>
        </c:scaling>
        <c:delete val="0"/>
        <c:axPos val="l"/>
        <c:majorGridlines/>
        <c:numFmt formatCode="#,##0" sourceLinked="1"/>
        <c:majorTickMark val="out"/>
        <c:minorTickMark val="none"/>
        <c:tickLblPos val="nextTo"/>
        <c:crossAx val="163269632"/>
        <c:crosses val="autoZero"/>
        <c:crossBetween val="between"/>
      </c:valAx>
      <c:spPr>
        <a:solidFill>
          <a:sysClr val="window" lastClr="FFFFFF">
            <a:lumMod val="95000"/>
          </a:sysClr>
        </a:solidFill>
      </c:spPr>
    </c:plotArea>
    <c:plotVisOnly val="1"/>
    <c:dispBlanksAs val="gap"/>
    <c:showDLblsOverMax val="0"/>
  </c:chart>
  <c:spPr>
    <a:solidFill>
      <a:sysClr val="window" lastClr="FFFFFF">
        <a:lumMod val="95000"/>
      </a:sysClr>
    </a:solidFill>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'Figure2 Calls x Region (South)'!$B$2</c:f>
              <c:strCache>
                <c:ptCount val="1"/>
                <c:pt idx="0">
                  <c:v>Los Angeles</c:v>
                </c:pt>
              </c:strCache>
            </c:strRef>
          </c:tx>
          <c:dLbls>
            <c:dLbl>
              <c:idx val="3"/>
              <c:layout>
                <c:manualLayout>
                  <c:x val="-0.11508547008547008"/>
                  <c:y val="-3.2921810699588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F5-456B-8BA5-B1DC18C560A7}"/>
                </c:ext>
              </c:extLst>
            </c:dLbl>
            <c:dLbl>
              <c:idx val="4"/>
              <c:layout>
                <c:manualLayout>
                  <c:x val="-8.7307692307692392E-2"/>
                  <c:y val="2.8806584362139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F5-456B-8BA5-B1DC18C560A7}"/>
                </c:ext>
              </c:extLst>
            </c:dLbl>
            <c:dLbl>
              <c:idx val="7"/>
              <c:layout>
                <c:manualLayout>
                  <c:x val="-7.2350427350427501E-2"/>
                  <c:y val="8.64197530864196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F5-456B-8BA5-B1DC18C560A7}"/>
                </c:ext>
              </c:extLst>
            </c:dLbl>
            <c:spPr>
              <a:noFill/>
              <a:ln>
                <a:noFill/>
              </a:ln>
              <a:effectLst/>
            </c:spPr>
            <c:txPr>
              <a:bodyPr/>
              <a:lstStyle/>
              <a:p>
                <a:pPr>
                  <a:defRPr b="1"/>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('Figure2 Calls x Region (South)'!$F$2:$G$5,'Figure2 Calls x Region (South)'!$F$14:$G$17)</c:f>
              <c:multiLvlStrCache>
                <c:ptCount val="8"/>
                <c:lvl>
                  <c:pt idx="0">
                    <c:v>2013-14</c:v>
                  </c:pt>
                  <c:pt idx="1">
                    <c:v>2013-14</c:v>
                  </c:pt>
                  <c:pt idx="2">
                    <c:v>2013-14</c:v>
                  </c:pt>
                  <c:pt idx="3">
                    <c:v>2013-14</c:v>
                  </c:pt>
                  <c:pt idx="4">
                    <c:v>2014-15</c:v>
                  </c:pt>
                  <c:pt idx="5">
                    <c:v>2014-15</c:v>
                  </c:pt>
                  <c:pt idx="6">
                    <c:v>2014-15</c:v>
                  </c:pt>
                  <c:pt idx="7">
                    <c:v>2014-15</c:v>
                  </c:pt>
                </c:lvl>
                <c:lvl>
                  <c:pt idx="0">
                    <c:v>Qtr 1</c:v>
                  </c:pt>
                  <c:pt idx="1">
                    <c:v>Qtr 2</c:v>
                  </c:pt>
                  <c:pt idx="2">
                    <c:v>Qtr 3</c:v>
                  </c:pt>
                  <c:pt idx="3">
                    <c:v>Qtr 4</c:v>
                  </c:pt>
                  <c:pt idx="4">
                    <c:v>Qtr 1</c:v>
                  </c:pt>
                  <c:pt idx="5">
                    <c:v>Qtr 2</c:v>
                  </c:pt>
                  <c:pt idx="6">
                    <c:v>Qtr 3</c:v>
                  </c:pt>
                  <c:pt idx="7">
                    <c:v>Qtr 4</c:v>
                  </c:pt>
                </c:lvl>
              </c:multiLvlStrCache>
            </c:multiLvlStrRef>
          </c:cat>
          <c:val>
            <c:numRef>
              <c:f>('Figure2 Calls x Region (South)'!$D$2:$D$5,'Figure2 Calls x Region (South)'!$D$14:$D$17)</c:f>
              <c:numCache>
                <c:formatCode>#,##0</c:formatCode>
                <c:ptCount val="8"/>
                <c:pt idx="0" formatCode="General">
                  <c:v>671</c:v>
                </c:pt>
                <c:pt idx="1">
                  <c:v>1636</c:v>
                </c:pt>
                <c:pt idx="2">
                  <c:v>2078</c:v>
                </c:pt>
                <c:pt idx="3">
                  <c:v>2608</c:v>
                </c:pt>
                <c:pt idx="4">
                  <c:v>2463</c:v>
                </c:pt>
                <c:pt idx="5">
                  <c:v>1863</c:v>
                </c:pt>
                <c:pt idx="6">
                  <c:v>1105</c:v>
                </c:pt>
                <c:pt idx="7">
                  <c:v>1192</c:v>
                </c:pt>
              </c:numCache>
            </c:numRef>
          </c:val>
          <c:smooth val="0"/>
          <c:extLst>
            <c:ext xmlns:c16="http://schemas.microsoft.com/office/drawing/2014/chart" uri="{C3380CC4-5D6E-409C-BE32-E72D297353CC}">
              <c16:uniqueId val="{00000000-ED64-4535-8B47-018FF3BF8A29}"/>
            </c:ext>
          </c:extLst>
        </c:ser>
        <c:ser>
          <c:idx val="1"/>
          <c:order val="1"/>
          <c:tx>
            <c:strRef>
              <c:f>'Figure2 Calls x Region (South)'!$B$6</c:f>
              <c:strCache>
                <c:ptCount val="1"/>
                <c:pt idx="0">
                  <c:v>Southern California</c:v>
                </c:pt>
              </c:strCache>
            </c:strRef>
          </c:tx>
          <c:dLbls>
            <c:dLbl>
              <c:idx val="0"/>
              <c:layout>
                <c:manualLayout>
                  <c:x val="-5.3418803418803416E-2"/>
                  <c:y val="-4.5267489711934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3B-4021-A212-B68A1E2DEEA5}"/>
                </c:ext>
              </c:extLst>
            </c:dLbl>
            <c:dLbl>
              <c:idx val="4"/>
              <c:layout>
                <c:manualLayout>
                  <c:x val="-7.8346673280123027E-17"/>
                  <c:y val="-2.4691358024691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F5-456B-8BA5-B1DC18C560A7}"/>
                </c:ext>
              </c:extLst>
            </c:dLbl>
            <c:dLbl>
              <c:idx val="5"/>
              <c:layout>
                <c:manualLayout>
                  <c:x val="2.136752136752137E-3"/>
                  <c:y val="-1.2345679012345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F5-456B-8BA5-B1DC18C560A7}"/>
                </c:ext>
              </c:extLst>
            </c:dLbl>
            <c:dLbl>
              <c:idx val="7"/>
              <c:layout>
                <c:manualLayout>
                  <c:x val="-1.7094017094017252E-2"/>
                  <c:y val="-2.4691358024691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F5-456B-8BA5-B1DC18C560A7}"/>
                </c:ext>
              </c:extLst>
            </c:dLbl>
            <c:spPr>
              <a:noFill/>
              <a:ln>
                <a:noFill/>
              </a:ln>
              <a:effectLst/>
            </c:spPr>
            <c:txPr>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('Figure2 Calls x Region (South)'!$F$2:$G$5,'Figure2 Calls x Region (South)'!$F$14:$G$17)</c:f>
              <c:multiLvlStrCache>
                <c:ptCount val="8"/>
                <c:lvl>
                  <c:pt idx="0">
                    <c:v>2013-14</c:v>
                  </c:pt>
                  <c:pt idx="1">
                    <c:v>2013-14</c:v>
                  </c:pt>
                  <c:pt idx="2">
                    <c:v>2013-14</c:v>
                  </c:pt>
                  <c:pt idx="3">
                    <c:v>2013-14</c:v>
                  </c:pt>
                  <c:pt idx="4">
                    <c:v>2014-15</c:v>
                  </c:pt>
                  <c:pt idx="5">
                    <c:v>2014-15</c:v>
                  </c:pt>
                  <c:pt idx="6">
                    <c:v>2014-15</c:v>
                  </c:pt>
                  <c:pt idx="7">
                    <c:v>2014-15</c:v>
                  </c:pt>
                </c:lvl>
                <c:lvl>
                  <c:pt idx="0">
                    <c:v>Qtr 1</c:v>
                  </c:pt>
                  <c:pt idx="1">
                    <c:v>Qtr 2</c:v>
                  </c:pt>
                  <c:pt idx="2">
                    <c:v>Qtr 3</c:v>
                  </c:pt>
                  <c:pt idx="3">
                    <c:v>Qtr 4</c:v>
                  </c:pt>
                  <c:pt idx="4">
                    <c:v>Qtr 1</c:v>
                  </c:pt>
                  <c:pt idx="5">
                    <c:v>Qtr 2</c:v>
                  </c:pt>
                  <c:pt idx="6">
                    <c:v>Qtr 3</c:v>
                  </c:pt>
                  <c:pt idx="7">
                    <c:v>Qtr 4</c:v>
                  </c:pt>
                </c:lvl>
              </c:multiLvlStrCache>
            </c:multiLvlStrRef>
          </c:cat>
          <c:val>
            <c:numRef>
              <c:f>('Figure2 Calls x Region (South)'!$D$6:$D$9,'Figure2 Calls x Region (South)'!$D$18:$D$21)</c:f>
              <c:numCache>
                <c:formatCode>#,##0</c:formatCode>
                <c:ptCount val="8"/>
                <c:pt idx="0">
                  <c:v>1189</c:v>
                </c:pt>
                <c:pt idx="1">
                  <c:v>1244</c:v>
                </c:pt>
                <c:pt idx="2">
                  <c:v>1856</c:v>
                </c:pt>
                <c:pt idx="3">
                  <c:v>3032</c:v>
                </c:pt>
                <c:pt idx="4">
                  <c:v>2517</c:v>
                </c:pt>
                <c:pt idx="5">
                  <c:v>2081</c:v>
                </c:pt>
                <c:pt idx="6">
                  <c:v>1746</c:v>
                </c:pt>
                <c:pt idx="7">
                  <c:v>2180</c:v>
                </c:pt>
              </c:numCache>
            </c:numRef>
          </c:val>
          <c:smooth val="0"/>
          <c:extLst>
            <c:ext xmlns:c16="http://schemas.microsoft.com/office/drawing/2014/chart" uri="{C3380CC4-5D6E-409C-BE32-E72D297353CC}">
              <c16:uniqueId val="{00000001-ED64-4535-8B47-018FF3BF8A29}"/>
            </c:ext>
          </c:extLst>
        </c:ser>
        <c:dLbls>
          <c:dLblPos val="b"/>
          <c:showLegendKey val="0"/>
          <c:showVal val="1"/>
          <c:showCatName val="0"/>
          <c:showSerName val="0"/>
          <c:showPercent val="0"/>
          <c:showBubbleSize val="0"/>
        </c:dLbls>
        <c:marker val="1"/>
        <c:smooth val="0"/>
        <c:axId val="162686080"/>
        <c:axId val="162687616"/>
      </c:lineChart>
      <c:catAx>
        <c:axId val="162686080"/>
        <c:scaling>
          <c:orientation val="minMax"/>
        </c:scaling>
        <c:delete val="0"/>
        <c:axPos val="b"/>
        <c:numFmt formatCode="General" sourceLinked="0"/>
        <c:majorTickMark val="out"/>
        <c:minorTickMark val="none"/>
        <c:tickLblPos val="nextTo"/>
        <c:txPr>
          <a:bodyPr/>
          <a:lstStyle/>
          <a:p>
            <a:pPr>
              <a:defRPr b="1"/>
            </a:pPr>
            <a:endParaRPr lang="en-US"/>
          </a:p>
        </c:txPr>
        <c:crossAx val="162687616"/>
        <c:crosses val="autoZero"/>
        <c:auto val="1"/>
        <c:lblAlgn val="ctr"/>
        <c:lblOffset val="100"/>
        <c:noMultiLvlLbl val="0"/>
      </c:catAx>
      <c:valAx>
        <c:axId val="162687616"/>
        <c:scaling>
          <c:orientation val="minMax"/>
        </c:scaling>
        <c:delete val="0"/>
        <c:axPos val="l"/>
        <c:majorGridlines/>
        <c:numFmt formatCode="General" sourceLinked="1"/>
        <c:majorTickMark val="out"/>
        <c:minorTickMark val="none"/>
        <c:tickLblPos val="nextTo"/>
        <c:crossAx val="162686080"/>
        <c:crosses val="autoZero"/>
        <c:crossBetween val="between"/>
      </c:valAx>
      <c:spPr>
        <a:solidFill>
          <a:sysClr val="window" lastClr="FFFFFF">
            <a:lumMod val="95000"/>
          </a:sysClr>
        </a:solidFill>
        <a:ln w="25400" cap="flat" cmpd="sng" algn="ctr">
          <a:solidFill>
            <a:schemeClr val="dk1"/>
          </a:solidFill>
          <a:prstDash val="solid"/>
        </a:ln>
        <a:effectLst/>
      </c:spPr>
    </c:plotArea>
    <c:legend>
      <c:legendPos val="b"/>
      <c:overlay val="0"/>
    </c:legend>
    <c:plotVisOnly val="1"/>
    <c:dispBlanksAs val="gap"/>
    <c:showDLblsOverMax val="0"/>
  </c:chart>
  <c:spPr>
    <a:solidFill>
      <a:sysClr val="window" lastClr="FFFFFF">
        <a:lumMod val="95000"/>
      </a:sys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91726034245718"/>
          <c:y val="0.32646060418918221"/>
          <c:w val="0.83462317210348702"/>
          <c:h val="0.461765863010966"/>
        </c:manualLayout>
      </c:layout>
      <c:lineChart>
        <c:grouping val="standard"/>
        <c:varyColors val="0"/>
        <c:ser>
          <c:idx val="0"/>
          <c:order val="0"/>
          <c:tx>
            <c:strRef>
              <c:f>Trend!$C$2</c:f>
              <c:strCache>
                <c:ptCount val="1"/>
                <c:pt idx="0">
                  <c:v>OTLICP Eligibles</c:v>
                </c:pt>
              </c:strCache>
            </c:strRef>
          </c:tx>
          <c:spPr>
            <a:ln w="19050">
              <a:solidFill>
                <a:srgbClr val="4F81BD"/>
              </a:solidFill>
            </a:ln>
          </c:spPr>
          <c:marker>
            <c:symbol val="circle"/>
            <c:size val="5"/>
            <c:spPr>
              <a:solidFill>
                <a:srgbClr val="4F81BD"/>
              </a:solidFill>
              <a:ln w="15875">
                <a:solidFill>
                  <a:schemeClr val="accent1"/>
                </a:solidFill>
              </a:ln>
            </c:spPr>
          </c:marker>
          <c:cat>
            <c:strRef>
              <c:f>Trend!$B$3:$B$15</c:f>
              <c:strCache>
                <c:ptCount val="13"/>
                <c:pt idx="0">
                  <c:v>2012-Dec</c:v>
                </c:pt>
                <c:pt idx="1">
                  <c:v>2013-Jan</c:v>
                </c:pt>
                <c:pt idx="2">
                  <c:v>2013-Feb</c:v>
                </c:pt>
                <c:pt idx="3">
                  <c:v>2013-Mar</c:v>
                </c:pt>
                <c:pt idx="4">
                  <c:v>2013-Apr</c:v>
                </c:pt>
                <c:pt idx="5">
                  <c:v>2013-May</c:v>
                </c:pt>
                <c:pt idx="6">
                  <c:v>2013-Jun</c:v>
                </c:pt>
                <c:pt idx="7">
                  <c:v>2013-Jul</c:v>
                </c:pt>
                <c:pt idx="8">
                  <c:v>2013-Aug</c:v>
                </c:pt>
                <c:pt idx="9">
                  <c:v>2013-Sep</c:v>
                </c:pt>
                <c:pt idx="10">
                  <c:v>2013-Oct</c:v>
                </c:pt>
                <c:pt idx="11">
                  <c:v>2013-Nov</c:v>
                </c:pt>
                <c:pt idx="12">
                  <c:v>2013-Dec</c:v>
                </c:pt>
              </c:strCache>
            </c:strRef>
          </c:cat>
          <c:val>
            <c:numRef>
              <c:f>Trend!$C$3:$C$15</c:f>
              <c:numCache>
                <c:formatCode>_(* #,##0_);_(* \(#,##0\);_(* "-"??_);_(@_)</c:formatCode>
                <c:ptCount val="13"/>
                <c:pt idx="0">
                  <c:v>219</c:v>
                </c:pt>
                <c:pt idx="1">
                  <c:v>226288</c:v>
                </c:pt>
                <c:pt idx="2">
                  <c:v>276021</c:v>
                </c:pt>
                <c:pt idx="3">
                  <c:v>403520</c:v>
                </c:pt>
                <c:pt idx="4">
                  <c:v>717351</c:v>
                </c:pt>
                <c:pt idx="5">
                  <c:v>772872</c:v>
                </c:pt>
                <c:pt idx="6">
                  <c:v>776062</c:v>
                </c:pt>
                <c:pt idx="7">
                  <c:v>788221</c:v>
                </c:pt>
                <c:pt idx="8">
                  <c:v>878629</c:v>
                </c:pt>
                <c:pt idx="9">
                  <c:v>889313</c:v>
                </c:pt>
                <c:pt idx="10">
                  <c:v>891882</c:v>
                </c:pt>
                <c:pt idx="11">
                  <c:v>913601</c:v>
                </c:pt>
                <c:pt idx="12">
                  <c:v>901654</c:v>
                </c:pt>
              </c:numCache>
            </c:numRef>
          </c:val>
          <c:smooth val="0"/>
          <c:extLst>
            <c:ext xmlns:c16="http://schemas.microsoft.com/office/drawing/2014/chart" uri="{C3380CC4-5D6E-409C-BE32-E72D297353CC}">
              <c16:uniqueId val="{00000000-003C-4E23-B31A-DCB0CF3040DB}"/>
            </c:ext>
          </c:extLst>
        </c:ser>
        <c:dLbls>
          <c:showLegendKey val="0"/>
          <c:showVal val="0"/>
          <c:showCatName val="0"/>
          <c:showSerName val="0"/>
          <c:showPercent val="0"/>
          <c:showBubbleSize val="0"/>
        </c:dLbls>
        <c:dropLines>
          <c:spPr>
            <a:ln>
              <a:solidFill>
                <a:schemeClr val="bg1">
                  <a:lumMod val="75000"/>
                </a:schemeClr>
              </a:solidFill>
            </a:ln>
          </c:spPr>
        </c:dropLines>
        <c:upDownBars>
          <c:gapWidth val="150"/>
          <c:upBars/>
          <c:downBars/>
        </c:upDownBars>
        <c:marker val="1"/>
        <c:smooth val="0"/>
        <c:axId val="88953216"/>
        <c:axId val="88954752"/>
      </c:lineChart>
      <c:catAx>
        <c:axId val="88953216"/>
        <c:scaling>
          <c:orientation val="minMax"/>
        </c:scaling>
        <c:delete val="0"/>
        <c:axPos val="b"/>
        <c:numFmt formatCode="General" sourceLinked="1"/>
        <c:majorTickMark val="out"/>
        <c:minorTickMark val="none"/>
        <c:tickLblPos val="nextTo"/>
        <c:txPr>
          <a:bodyPr rot="-2040000"/>
          <a:lstStyle/>
          <a:p>
            <a:pPr>
              <a:defRPr sz="900"/>
            </a:pPr>
            <a:endParaRPr lang="en-US"/>
          </a:p>
        </c:txPr>
        <c:crossAx val="88954752"/>
        <c:crosses val="autoZero"/>
        <c:auto val="1"/>
        <c:lblAlgn val="ctr"/>
        <c:lblOffset val="100"/>
        <c:noMultiLvlLbl val="0"/>
      </c:catAx>
      <c:valAx>
        <c:axId val="88954752"/>
        <c:scaling>
          <c:orientation val="minMax"/>
        </c:scaling>
        <c:delete val="0"/>
        <c:axPos val="l"/>
        <c:title>
          <c:tx>
            <c:rich>
              <a:bodyPr rot="-5400000" vert="horz"/>
              <a:lstStyle/>
              <a:p>
                <a:pPr>
                  <a:lnSpc>
                    <a:spcPct val="90000"/>
                  </a:lnSpc>
                  <a:defRPr sz="950"/>
                </a:pPr>
                <a:r>
                  <a:rPr lang="en-US" sz="950"/>
                  <a:t>Number</a:t>
                </a:r>
                <a:r>
                  <a:rPr lang="en-US" sz="950" baseline="0"/>
                  <a:t> of Medi-Cal OTLIPC Beneficiaries</a:t>
                </a:r>
                <a:endParaRPr lang="en-US" sz="950"/>
              </a:p>
            </c:rich>
          </c:tx>
          <c:layout>
            <c:manualLayout>
              <c:xMode val="edge"/>
              <c:yMode val="edge"/>
              <c:x val="5.0634295713035864E-3"/>
              <c:y val="0.20718233750192991"/>
            </c:manualLayout>
          </c:layout>
          <c:overlay val="0"/>
        </c:title>
        <c:numFmt formatCode="_(* #,##0_);_(* \(#,##0\);_(* &quot;-&quot;??_);_(@_)" sourceLinked="1"/>
        <c:majorTickMark val="out"/>
        <c:minorTickMark val="none"/>
        <c:tickLblPos val="nextTo"/>
        <c:txPr>
          <a:bodyPr/>
          <a:lstStyle/>
          <a:p>
            <a:pPr>
              <a:defRPr sz="900"/>
            </a:pPr>
            <a:endParaRPr lang="en-US"/>
          </a:p>
        </c:txPr>
        <c:crossAx val="88953216"/>
        <c:crosses val="autoZero"/>
        <c:crossBetween val="between"/>
        <c:majorUnit val="200000"/>
      </c:valAx>
      <c:spPr>
        <a:solidFill>
          <a:sysClr val="window" lastClr="FFFFFF">
            <a:lumMod val="95000"/>
          </a:sysClr>
        </a:solidFill>
      </c:spPr>
    </c:plotArea>
    <c:legend>
      <c:legendPos val="r"/>
      <c:layout>
        <c:manualLayout>
          <c:xMode val="edge"/>
          <c:yMode val="edge"/>
          <c:x val="2.333411448568929E-2"/>
          <c:y val="4.6712278226692897E-2"/>
          <c:w val="0.26079286964129483"/>
          <c:h val="7.5110775908872676E-2"/>
        </c:manualLayout>
      </c:layout>
      <c:overlay val="0"/>
    </c:legend>
    <c:plotVisOnly val="1"/>
    <c:dispBlanksAs val="gap"/>
    <c:showDLblsOverMax val="0"/>
  </c:chart>
  <c:spPr>
    <a:solidFill>
      <a:sysClr val="window" lastClr="FFFFFF">
        <a:lumMod val="95000"/>
      </a:sysClr>
    </a:solidFill>
    <a:ln>
      <a:solidFill>
        <a:sysClr val="windowText" lastClr="000000"/>
      </a:solidFill>
    </a:ln>
  </c:sp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'Figure3 Calls x Region (Not So)'!$B$2</c:f>
              <c:strCache>
                <c:ptCount val="1"/>
                <c:pt idx="0">
                  <c:v>Bay Area</c:v>
                </c:pt>
              </c:strCache>
            </c:strRef>
          </c:tx>
          <c:marker>
            <c:symbol val="none"/>
          </c:marker>
          <c:cat>
            <c:multiLvlStrRef>
              <c:f>('Figure3 Calls x Region (Not So)'!$F$10:$G$13,'Figure3 Calls x Region (Not So)'!$F$38:$G$41)</c:f>
              <c:multiLvlStrCache>
                <c:ptCount val="8"/>
                <c:lvl>
                  <c:pt idx="0">
                    <c:v>2013-14</c:v>
                  </c:pt>
                  <c:pt idx="1">
                    <c:v>2013-14</c:v>
                  </c:pt>
                  <c:pt idx="2">
                    <c:v>2013-14</c:v>
                  </c:pt>
                  <c:pt idx="3">
                    <c:v>2013-14</c:v>
                  </c:pt>
                  <c:pt idx="4">
                    <c:v>2014-15</c:v>
                  </c:pt>
                  <c:pt idx="5">
                    <c:v>2014-15</c:v>
                  </c:pt>
                  <c:pt idx="6">
                    <c:v>2014-15</c:v>
                  </c:pt>
                  <c:pt idx="7">
                    <c:v>2014-15</c:v>
                  </c:pt>
                </c:lvl>
                <c:lvl>
                  <c:pt idx="0">
                    <c:v>Qtr 1</c:v>
                  </c:pt>
                  <c:pt idx="1">
                    <c:v>Qtr 2</c:v>
                  </c:pt>
                  <c:pt idx="2">
                    <c:v>Qtr 3</c:v>
                  </c:pt>
                  <c:pt idx="3">
                    <c:v>Qtr 4</c:v>
                  </c:pt>
                  <c:pt idx="4">
                    <c:v>Qtr 1</c:v>
                  </c:pt>
                  <c:pt idx="5">
                    <c:v>Qtr 2</c:v>
                  </c:pt>
                  <c:pt idx="6">
                    <c:v>Qtr 3</c:v>
                  </c:pt>
                  <c:pt idx="7">
                    <c:v>Qtr 4</c:v>
                  </c:pt>
                </c:lvl>
              </c:multiLvlStrCache>
            </c:multiLvlStrRef>
          </c:cat>
          <c:val>
            <c:numRef>
              <c:f>('Figure3 Calls x Region (Not So)'!$D$2:$D$5,'Figure3 Calls x Region (Not So)'!$D$30:$D$33)</c:f>
              <c:numCache>
                <c:formatCode>General</c:formatCode>
                <c:ptCount val="8"/>
                <c:pt idx="0">
                  <c:v>271</c:v>
                </c:pt>
                <c:pt idx="1">
                  <c:v>289</c:v>
                </c:pt>
                <c:pt idx="2">
                  <c:v>491</c:v>
                </c:pt>
                <c:pt idx="3">
                  <c:v>641</c:v>
                </c:pt>
                <c:pt idx="4">
                  <c:v>486</c:v>
                </c:pt>
                <c:pt idx="5">
                  <c:v>410</c:v>
                </c:pt>
                <c:pt idx="6" formatCode="#,##0">
                  <c:v>341</c:v>
                </c:pt>
                <c:pt idx="7">
                  <c:v>451</c:v>
                </c:pt>
              </c:numCache>
            </c:numRef>
          </c:val>
          <c:smooth val="0"/>
          <c:extLst>
            <c:ext xmlns:c16="http://schemas.microsoft.com/office/drawing/2014/chart" uri="{C3380CC4-5D6E-409C-BE32-E72D297353CC}">
              <c16:uniqueId val="{00000000-84D2-4241-A54D-580E8636A5D8}"/>
            </c:ext>
          </c:extLst>
        </c:ser>
        <c:ser>
          <c:idx val="1"/>
          <c:order val="1"/>
          <c:tx>
            <c:strRef>
              <c:f>'Figure3 Calls x Region (Not So)'!$B$6</c:f>
              <c:strCache>
                <c:ptCount val="1"/>
                <c:pt idx="0">
                  <c:v>Cental Coast</c:v>
                </c:pt>
              </c:strCache>
            </c:strRef>
          </c:tx>
          <c:marker>
            <c:symbol val="none"/>
          </c:marker>
          <c:cat>
            <c:multiLvlStrRef>
              <c:f>('Figure3 Calls x Region (Not So)'!$F$10:$G$13,'Figure3 Calls x Region (Not So)'!$F$38:$G$41)</c:f>
              <c:multiLvlStrCache>
                <c:ptCount val="8"/>
                <c:lvl>
                  <c:pt idx="0">
                    <c:v>2013-14</c:v>
                  </c:pt>
                  <c:pt idx="1">
                    <c:v>2013-14</c:v>
                  </c:pt>
                  <c:pt idx="2">
                    <c:v>2013-14</c:v>
                  </c:pt>
                  <c:pt idx="3">
                    <c:v>2013-14</c:v>
                  </c:pt>
                  <c:pt idx="4">
                    <c:v>2014-15</c:v>
                  </c:pt>
                  <c:pt idx="5">
                    <c:v>2014-15</c:v>
                  </c:pt>
                  <c:pt idx="6">
                    <c:v>2014-15</c:v>
                  </c:pt>
                  <c:pt idx="7">
                    <c:v>2014-15</c:v>
                  </c:pt>
                </c:lvl>
                <c:lvl>
                  <c:pt idx="0">
                    <c:v>Qtr 1</c:v>
                  </c:pt>
                  <c:pt idx="1">
                    <c:v>Qtr 2</c:v>
                  </c:pt>
                  <c:pt idx="2">
                    <c:v>Qtr 3</c:v>
                  </c:pt>
                  <c:pt idx="3">
                    <c:v>Qtr 4</c:v>
                  </c:pt>
                  <c:pt idx="4">
                    <c:v>Qtr 1</c:v>
                  </c:pt>
                  <c:pt idx="5">
                    <c:v>Qtr 2</c:v>
                  </c:pt>
                  <c:pt idx="6">
                    <c:v>Qtr 3</c:v>
                  </c:pt>
                  <c:pt idx="7">
                    <c:v>Qtr 4</c:v>
                  </c:pt>
                </c:lvl>
              </c:multiLvlStrCache>
            </c:multiLvlStrRef>
          </c:cat>
          <c:val>
            <c:numRef>
              <c:f>('Figure3 Calls x Region (Not So)'!$D$6:$D$9,'Figure3 Calls x Region (Not So)'!$D$34:$D$37)</c:f>
              <c:numCache>
                <c:formatCode>General</c:formatCode>
                <c:ptCount val="8"/>
                <c:pt idx="0">
                  <c:v>99</c:v>
                </c:pt>
                <c:pt idx="1">
                  <c:v>96</c:v>
                </c:pt>
                <c:pt idx="2">
                  <c:v>123</c:v>
                </c:pt>
                <c:pt idx="3">
                  <c:v>106</c:v>
                </c:pt>
                <c:pt idx="4">
                  <c:v>88</c:v>
                </c:pt>
                <c:pt idx="5">
                  <c:v>71</c:v>
                </c:pt>
                <c:pt idx="6">
                  <c:v>81</c:v>
                </c:pt>
                <c:pt idx="7">
                  <c:v>80</c:v>
                </c:pt>
              </c:numCache>
            </c:numRef>
          </c:val>
          <c:smooth val="0"/>
          <c:extLst>
            <c:ext xmlns:c16="http://schemas.microsoft.com/office/drawing/2014/chart" uri="{C3380CC4-5D6E-409C-BE32-E72D297353CC}">
              <c16:uniqueId val="{00000001-84D2-4241-A54D-580E8636A5D8}"/>
            </c:ext>
          </c:extLst>
        </c:ser>
        <c:ser>
          <c:idx val="2"/>
          <c:order val="2"/>
          <c:tx>
            <c:strRef>
              <c:f>'Figure3 Calls x Region (Not So)'!$B$14</c:f>
              <c:strCache>
                <c:ptCount val="1"/>
                <c:pt idx="0">
                  <c:v>Far North</c:v>
                </c:pt>
              </c:strCache>
            </c:strRef>
          </c:tx>
          <c:marker>
            <c:symbol val="none"/>
          </c:marker>
          <c:cat>
            <c:multiLvlStrRef>
              <c:f>('Figure3 Calls x Region (Not So)'!$F$10:$G$13,'Figure3 Calls x Region (Not So)'!$F$38:$G$41)</c:f>
              <c:multiLvlStrCache>
                <c:ptCount val="8"/>
                <c:lvl>
                  <c:pt idx="0">
                    <c:v>2013-14</c:v>
                  </c:pt>
                  <c:pt idx="1">
                    <c:v>2013-14</c:v>
                  </c:pt>
                  <c:pt idx="2">
                    <c:v>2013-14</c:v>
                  </c:pt>
                  <c:pt idx="3">
                    <c:v>2013-14</c:v>
                  </c:pt>
                  <c:pt idx="4">
                    <c:v>2014-15</c:v>
                  </c:pt>
                  <c:pt idx="5">
                    <c:v>2014-15</c:v>
                  </c:pt>
                  <c:pt idx="6">
                    <c:v>2014-15</c:v>
                  </c:pt>
                  <c:pt idx="7">
                    <c:v>2014-15</c:v>
                  </c:pt>
                </c:lvl>
                <c:lvl>
                  <c:pt idx="0">
                    <c:v>Qtr 1</c:v>
                  </c:pt>
                  <c:pt idx="1">
                    <c:v>Qtr 2</c:v>
                  </c:pt>
                  <c:pt idx="2">
                    <c:v>Qtr 3</c:v>
                  </c:pt>
                  <c:pt idx="3">
                    <c:v>Qtr 4</c:v>
                  </c:pt>
                  <c:pt idx="4">
                    <c:v>Qtr 1</c:v>
                  </c:pt>
                  <c:pt idx="5">
                    <c:v>Qtr 2</c:v>
                  </c:pt>
                  <c:pt idx="6">
                    <c:v>Qtr 3</c:v>
                  </c:pt>
                  <c:pt idx="7">
                    <c:v>Qtr 4</c:v>
                  </c:pt>
                </c:lvl>
              </c:multiLvlStrCache>
            </c:multiLvlStrRef>
          </c:cat>
          <c:val>
            <c:numRef>
              <c:f>('Figure3 Calls x Region (Not So)'!$D$14:$D$17,'Figure3 Calls x Region (Not So)'!$D$42:$D$45)</c:f>
              <c:numCache>
                <c:formatCode>General</c:formatCode>
                <c:ptCount val="8"/>
                <c:pt idx="0">
                  <c:v>16</c:v>
                </c:pt>
                <c:pt idx="1">
                  <c:v>0</c:v>
                </c:pt>
                <c:pt idx="2">
                  <c:v>7</c:v>
                </c:pt>
                <c:pt idx="3">
                  <c:v>2</c:v>
                </c:pt>
                <c:pt idx="4">
                  <c:v>1</c:v>
                </c:pt>
                <c:pt idx="5">
                  <c:v>2</c:v>
                </c:pt>
                <c:pt idx="6">
                  <c:v>3</c:v>
                </c:pt>
                <c:pt idx="7">
                  <c:v>8</c:v>
                </c:pt>
              </c:numCache>
            </c:numRef>
          </c:val>
          <c:smooth val="0"/>
          <c:extLst>
            <c:ext xmlns:c16="http://schemas.microsoft.com/office/drawing/2014/chart" uri="{C3380CC4-5D6E-409C-BE32-E72D297353CC}">
              <c16:uniqueId val="{00000002-84D2-4241-A54D-580E8636A5D8}"/>
            </c:ext>
          </c:extLst>
        </c:ser>
        <c:ser>
          <c:idx val="3"/>
          <c:order val="3"/>
          <c:tx>
            <c:strRef>
              <c:f>'Figure3 Calls x Region (Not So)'!$B$18</c:f>
              <c:strCache>
                <c:ptCount val="1"/>
                <c:pt idx="0">
                  <c:v>North Coast</c:v>
                </c:pt>
              </c:strCache>
            </c:strRef>
          </c:tx>
          <c:marker>
            <c:symbol val="none"/>
          </c:marker>
          <c:cat>
            <c:multiLvlStrRef>
              <c:f>('Figure3 Calls x Region (Not So)'!$F$10:$G$13,'Figure3 Calls x Region (Not So)'!$F$38:$G$41)</c:f>
              <c:multiLvlStrCache>
                <c:ptCount val="8"/>
                <c:lvl>
                  <c:pt idx="0">
                    <c:v>2013-14</c:v>
                  </c:pt>
                  <c:pt idx="1">
                    <c:v>2013-14</c:v>
                  </c:pt>
                  <c:pt idx="2">
                    <c:v>2013-14</c:v>
                  </c:pt>
                  <c:pt idx="3">
                    <c:v>2013-14</c:v>
                  </c:pt>
                  <c:pt idx="4">
                    <c:v>2014-15</c:v>
                  </c:pt>
                  <c:pt idx="5">
                    <c:v>2014-15</c:v>
                  </c:pt>
                  <c:pt idx="6">
                    <c:v>2014-15</c:v>
                  </c:pt>
                  <c:pt idx="7">
                    <c:v>2014-15</c:v>
                  </c:pt>
                </c:lvl>
                <c:lvl>
                  <c:pt idx="0">
                    <c:v>Qtr 1</c:v>
                  </c:pt>
                  <c:pt idx="1">
                    <c:v>Qtr 2</c:v>
                  </c:pt>
                  <c:pt idx="2">
                    <c:v>Qtr 3</c:v>
                  </c:pt>
                  <c:pt idx="3">
                    <c:v>Qtr 4</c:v>
                  </c:pt>
                  <c:pt idx="4">
                    <c:v>Qtr 1</c:v>
                  </c:pt>
                  <c:pt idx="5">
                    <c:v>Qtr 2</c:v>
                  </c:pt>
                  <c:pt idx="6">
                    <c:v>Qtr 3</c:v>
                  </c:pt>
                  <c:pt idx="7">
                    <c:v>Qtr 4</c:v>
                  </c:pt>
                </c:lvl>
              </c:multiLvlStrCache>
            </c:multiLvlStrRef>
          </c:cat>
          <c:val>
            <c:numRef>
              <c:f>('Figure3 Calls x Region (Not So)'!$D$18:$D$21,'Figure3 Calls x Region (Not So)'!$D$46:$D$49)</c:f>
              <c:numCache>
                <c:formatCode>General</c:formatCode>
                <c:ptCount val="8"/>
                <c:pt idx="0">
                  <c:v>18</c:v>
                </c:pt>
                <c:pt idx="1">
                  <c:v>12</c:v>
                </c:pt>
                <c:pt idx="2">
                  <c:v>4</c:v>
                </c:pt>
                <c:pt idx="3">
                  <c:v>9</c:v>
                </c:pt>
                <c:pt idx="4">
                  <c:v>5</c:v>
                </c:pt>
                <c:pt idx="5">
                  <c:v>6</c:v>
                </c:pt>
                <c:pt idx="6">
                  <c:v>0</c:v>
                </c:pt>
                <c:pt idx="7">
                  <c:v>1</c:v>
                </c:pt>
              </c:numCache>
            </c:numRef>
          </c:val>
          <c:smooth val="0"/>
          <c:extLst>
            <c:ext xmlns:c16="http://schemas.microsoft.com/office/drawing/2014/chart" uri="{C3380CC4-5D6E-409C-BE32-E72D297353CC}">
              <c16:uniqueId val="{00000003-84D2-4241-A54D-580E8636A5D8}"/>
            </c:ext>
          </c:extLst>
        </c:ser>
        <c:ser>
          <c:idx val="4"/>
          <c:order val="4"/>
          <c:tx>
            <c:strRef>
              <c:f>'Figure3 Calls x Region (Not So)'!$B$22</c:f>
              <c:strCache>
                <c:ptCount val="1"/>
                <c:pt idx="0">
                  <c:v>Sacramento Valley</c:v>
                </c:pt>
              </c:strCache>
            </c:strRef>
          </c:tx>
          <c:marker>
            <c:symbol val="none"/>
          </c:marker>
          <c:cat>
            <c:multiLvlStrRef>
              <c:f>('Figure3 Calls x Region (Not So)'!$F$10:$G$13,'Figure3 Calls x Region (Not So)'!$F$38:$G$41)</c:f>
              <c:multiLvlStrCache>
                <c:ptCount val="8"/>
                <c:lvl>
                  <c:pt idx="0">
                    <c:v>2013-14</c:v>
                  </c:pt>
                  <c:pt idx="1">
                    <c:v>2013-14</c:v>
                  </c:pt>
                  <c:pt idx="2">
                    <c:v>2013-14</c:v>
                  </c:pt>
                  <c:pt idx="3">
                    <c:v>2013-14</c:v>
                  </c:pt>
                  <c:pt idx="4">
                    <c:v>2014-15</c:v>
                  </c:pt>
                  <c:pt idx="5">
                    <c:v>2014-15</c:v>
                  </c:pt>
                  <c:pt idx="6">
                    <c:v>2014-15</c:v>
                  </c:pt>
                  <c:pt idx="7">
                    <c:v>2014-15</c:v>
                  </c:pt>
                </c:lvl>
                <c:lvl>
                  <c:pt idx="0">
                    <c:v>Qtr 1</c:v>
                  </c:pt>
                  <c:pt idx="1">
                    <c:v>Qtr 2</c:v>
                  </c:pt>
                  <c:pt idx="2">
                    <c:v>Qtr 3</c:v>
                  </c:pt>
                  <c:pt idx="3">
                    <c:v>Qtr 4</c:v>
                  </c:pt>
                  <c:pt idx="4">
                    <c:v>Qtr 1</c:v>
                  </c:pt>
                  <c:pt idx="5">
                    <c:v>Qtr 2</c:v>
                  </c:pt>
                  <c:pt idx="6">
                    <c:v>Qtr 3</c:v>
                  </c:pt>
                  <c:pt idx="7">
                    <c:v>Qtr 4</c:v>
                  </c:pt>
                </c:lvl>
              </c:multiLvlStrCache>
            </c:multiLvlStrRef>
          </c:cat>
          <c:val>
            <c:numRef>
              <c:f>('Figure3 Calls x Region (Not So)'!$D$22:$D$25,'Figure3 Calls x Region (Not So)'!$D$50:$D$53)</c:f>
              <c:numCache>
                <c:formatCode>General</c:formatCode>
                <c:ptCount val="8"/>
                <c:pt idx="0">
                  <c:v>261</c:v>
                </c:pt>
                <c:pt idx="1">
                  <c:v>235</c:v>
                </c:pt>
                <c:pt idx="2">
                  <c:v>483</c:v>
                </c:pt>
                <c:pt idx="3">
                  <c:v>515</c:v>
                </c:pt>
                <c:pt idx="4">
                  <c:v>363</c:v>
                </c:pt>
                <c:pt idx="5">
                  <c:v>234</c:v>
                </c:pt>
                <c:pt idx="6">
                  <c:v>201</c:v>
                </c:pt>
                <c:pt idx="7">
                  <c:v>266</c:v>
                </c:pt>
              </c:numCache>
            </c:numRef>
          </c:val>
          <c:smooth val="0"/>
          <c:extLst>
            <c:ext xmlns:c16="http://schemas.microsoft.com/office/drawing/2014/chart" uri="{C3380CC4-5D6E-409C-BE32-E72D297353CC}">
              <c16:uniqueId val="{00000004-84D2-4241-A54D-580E8636A5D8}"/>
            </c:ext>
          </c:extLst>
        </c:ser>
        <c:ser>
          <c:idx val="5"/>
          <c:order val="5"/>
          <c:tx>
            <c:strRef>
              <c:f>'Figure3 Calls x Region (Not So)'!$B$26</c:f>
              <c:strCache>
                <c:ptCount val="1"/>
                <c:pt idx="0">
                  <c:v>Sierra Range/Foothills</c:v>
                </c:pt>
              </c:strCache>
            </c:strRef>
          </c:tx>
          <c:marker>
            <c:symbol val="none"/>
          </c:marker>
          <c:cat>
            <c:multiLvlStrRef>
              <c:f>('Figure3 Calls x Region (Not So)'!$F$10:$G$13,'Figure3 Calls x Region (Not So)'!$F$38:$G$41)</c:f>
              <c:multiLvlStrCache>
                <c:ptCount val="8"/>
                <c:lvl>
                  <c:pt idx="0">
                    <c:v>2013-14</c:v>
                  </c:pt>
                  <c:pt idx="1">
                    <c:v>2013-14</c:v>
                  </c:pt>
                  <c:pt idx="2">
                    <c:v>2013-14</c:v>
                  </c:pt>
                  <c:pt idx="3">
                    <c:v>2013-14</c:v>
                  </c:pt>
                  <c:pt idx="4">
                    <c:v>2014-15</c:v>
                  </c:pt>
                  <c:pt idx="5">
                    <c:v>2014-15</c:v>
                  </c:pt>
                  <c:pt idx="6">
                    <c:v>2014-15</c:v>
                  </c:pt>
                  <c:pt idx="7">
                    <c:v>2014-15</c:v>
                  </c:pt>
                </c:lvl>
                <c:lvl>
                  <c:pt idx="0">
                    <c:v>Qtr 1</c:v>
                  </c:pt>
                  <c:pt idx="1">
                    <c:v>Qtr 2</c:v>
                  </c:pt>
                  <c:pt idx="2">
                    <c:v>Qtr 3</c:v>
                  </c:pt>
                  <c:pt idx="3">
                    <c:v>Qtr 4</c:v>
                  </c:pt>
                  <c:pt idx="4">
                    <c:v>Qtr 1</c:v>
                  </c:pt>
                  <c:pt idx="5">
                    <c:v>Qtr 2</c:v>
                  </c:pt>
                  <c:pt idx="6">
                    <c:v>Qtr 3</c:v>
                  </c:pt>
                  <c:pt idx="7">
                    <c:v>Qtr 4</c:v>
                  </c:pt>
                </c:lvl>
              </c:multiLvlStrCache>
            </c:multiLvlStrRef>
          </c:cat>
          <c:val>
            <c:numRef>
              <c:f>('Figure3 Calls x Region (Not So)'!$D$26:$D$29,'Figure3 Calls x Region (Not So)'!$D$54:$D$57)</c:f>
              <c:numCache>
                <c:formatCode>General</c:formatCode>
                <c:ptCount val="8"/>
                <c:pt idx="0">
                  <c:v>26</c:v>
                </c:pt>
                <c:pt idx="1">
                  <c:v>43</c:v>
                </c:pt>
                <c:pt idx="2">
                  <c:v>108</c:v>
                </c:pt>
                <c:pt idx="3">
                  <c:v>66</c:v>
                </c:pt>
                <c:pt idx="4">
                  <c:v>78</c:v>
                </c:pt>
                <c:pt idx="5">
                  <c:v>84</c:v>
                </c:pt>
                <c:pt idx="6">
                  <c:v>57</c:v>
                </c:pt>
                <c:pt idx="7">
                  <c:v>82</c:v>
                </c:pt>
              </c:numCache>
            </c:numRef>
          </c:val>
          <c:smooth val="0"/>
          <c:extLst>
            <c:ext xmlns:c16="http://schemas.microsoft.com/office/drawing/2014/chart" uri="{C3380CC4-5D6E-409C-BE32-E72D297353CC}">
              <c16:uniqueId val="{00000005-84D2-4241-A54D-580E8636A5D8}"/>
            </c:ext>
          </c:extLst>
        </c:ser>
        <c:ser>
          <c:idx val="6"/>
          <c:order val="6"/>
          <c:tx>
            <c:strRef>
              <c:f>'Figure3 Calls x Region (Not So)'!$B$10</c:f>
              <c:strCache>
                <c:ptCount val="1"/>
                <c:pt idx="0">
                  <c:v>Cental Valley</c:v>
                </c:pt>
              </c:strCache>
            </c:strRef>
          </c:tx>
          <c:marker>
            <c:symbol val="none"/>
          </c:marker>
          <c:cat>
            <c:multiLvlStrRef>
              <c:f>('Figure3 Calls x Region (Not So)'!$F$10:$G$13,'Figure3 Calls x Region (Not So)'!$F$38:$G$41)</c:f>
              <c:multiLvlStrCache>
                <c:ptCount val="8"/>
                <c:lvl>
                  <c:pt idx="0">
                    <c:v>2013-14</c:v>
                  </c:pt>
                  <c:pt idx="1">
                    <c:v>2013-14</c:v>
                  </c:pt>
                  <c:pt idx="2">
                    <c:v>2013-14</c:v>
                  </c:pt>
                  <c:pt idx="3">
                    <c:v>2013-14</c:v>
                  </c:pt>
                  <c:pt idx="4">
                    <c:v>2014-15</c:v>
                  </c:pt>
                  <c:pt idx="5">
                    <c:v>2014-15</c:v>
                  </c:pt>
                  <c:pt idx="6">
                    <c:v>2014-15</c:v>
                  </c:pt>
                  <c:pt idx="7">
                    <c:v>2014-15</c:v>
                  </c:pt>
                </c:lvl>
                <c:lvl>
                  <c:pt idx="0">
                    <c:v>Qtr 1</c:v>
                  </c:pt>
                  <c:pt idx="1">
                    <c:v>Qtr 2</c:v>
                  </c:pt>
                  <c:pt idx="2">
                    <c:v>Qtr 3</c:v>
                  </c:pt>
                  <c:pt idx="3">
                    <c:v>Qtr 4</c:v>
                  </c:pt>
                  <c:pt idx="4">
                    <c:v>Qtr 1</c:v>
                  </c:pt>
                  <c:pt idx="5">
                    <c:v>Qtr 2</c:v>
                  </c:pt>
                  <c:pt idx="6">
                    <c:v>Qtr 3</c:v>
                  </c:pt>
                  <c:pt idx="7">
                    <c:v>Qtr 4</c:v>
                  </c:pt>
                </c:lvl>
              </c:multiLvlStrCache>
            </c:multiLvlStrRef>
          </c:cat>
          <c:val>
            <c:numRef>
              <c:f>('Figure3 Calls x Region (Not So)'!$D$10:$D$13,'Figure3 Calls x Region (Not So)'!$D$38:$D$41)</c:f>
              <c:numCache>
                <c:formatCode>General</c:formatCode>
                <c:ptCount val="8"/>
                <c:pt idx="0">
                  <c:v>298</c:v>
                </c:pt>
                <c:pt idx="1">
                  <c:v>325</c:v>
                </c:pt>
                <c:pt idx="2">
                  <c:v>536</c:v>
                </c:pt>
                <c:pt idx="3">
                  <c:v>975</c:v>
                </c:pt>
                <c:pt idx="4" formatCode="#,##0">
                  <c:v>1046</c:v>
                </c:pt>
                <c:pt idx="5">
                  <c:v>617</c:v>
                </c:pt>
                <c:pt idx="6">
                  <c:v>562</c:v>
                </c:pt>
                <c:pt idx="7">
                  <c:v>576</c:v>
                </c:pt>
              </c:numCache>
            </c:numRef>
          </c:val>
          <c:smooth val="0"/>
          <c:extLst>
            <c:ext xmlns:c16="http://schemas.microsoft.com/office/drawing/2014/chart" uri="{C3380CC4-5D6E-409C-BE32-E72D297353CC}">
              <c16:uniqueId val="{00000006-84D2-4241-A54D-580E8636A5D8}"/>
            </c:ext>
          </c:extLst>
        </c:ser>
        <c:dLbls>
          <c:showLegendKey val="0"/>
          <c:showVal val="0"/>
          <c:showCatName val="0"/>
          <c:showSerName val="0"/>
          <c:showPercent val="0"/>
          <c:showBubbleSize val="0"/>
        </c:dLbls>
        <c:smooth val="0"/>
        <c:axId val="164706176"/>
        <c:axId val="164707712"/>
      </c:lineChart>
      <c:catAx>
        <c:axId val="164706176"/>
        <c:scaling>
          <c:orientation val="minMax"/>
        </c:scaling>
        <c:delete val="0"/>
        <c:axPos val="b"/>
        <c:numFmt formatCode="General" sourceLinked="0"/>
        <c:majorTickMark val="out"/>
        <c:minorTickMark val="none"/>
        <c:tickLblPos val="nextTo"/>
        <c:txPr>
          <a:bodyPr/>
          <a:lstStyle/>
          <a:p>
            <a:pPr>
              <a:defRPr b="1"/>
            </a:pPr>
            <a:endParaRPr lang="en-US"/>
          </a:p>
        </c:txPr>
        <c:crossAx val="164707712"/>
        <c:crosses val="autoZero"/>
        <c:auto val="1"/>
        <c:lblAlgn val="ctr"/>
        <c:lblOffset val="100"/>
        <c:noMultiLvlLbl val="0"/>
      </c:catAx>
      <c:valAx>
        <c:axId val="164707712"/>
        <c:scaling>
          <c:orientation val="minMax"/>
        </c:scaling>
        <c:delete val="0"/>
        <c:axPos val="l"/>
        <c:minorGridlines/>
        <c:numFmt formatCode="#,##0" sourceLinked="0"/>
        <c:majorTickMark val="out"/>
        <c:minorTickMark val="none"/>
        <c:tickLblPos val="nextTo"/>
        <c:crossAx val="164706176"/>
        <c:crosses val="autoZero"/>
        <c:crossBetween val="between"/>
        <c:majorUnit val="100"/>
        <c:minorUnit val="50"/>
      </c:valAx>
      <c:spPr>
        <a:solidFill>
          <a:sysClr val="window" lastClr="FFFFFF">
            <a:lumMod val="95000"/>
          </a:sysClr>
        </a:solidFill>
        <a:ln w="25400" cap="flat" cmpd="sng" algn="ctr">
          <a:solidFill>
            <a:schemeClr val="dk1"/>
          </a:solidFill>
          <a:prstDash val="solid"/>
        </a:ln>
        <a:effectLst/>
      </c:spPr>
    </c:plotArea>
    <c:legend>
      <c:legendPos val="r"/>
      <c:overlay val="0"/>
    </c:legend>
    <c:plotVisOnly val="1"/>
    <c:dispBlanksAs val="gap"/>
    <c:showDLblsOverMax val="0"/>
  </c:chart>
  <c:spPr>
    <a:solidFill>
      <a:sysClr val="window" lastClr="FFFFFF">
        <a:lumMod val="95000"/>
      </a:sysClr>
    </a:solidFill>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1F497D">
                  <a:lumMod val="20000"/>
                  <a:lumOff val="80000"/>
                </a:srgbClr>
              </a:solidFill>
              <a:ln>
                <a:noFill/>
              </a:ln>
              <a:effectLst/>
            </c:spPr>
            <c:extLst>
              <c:ext xmlns:c16="http://schemas.microsoft.com/office/drawing/2014/chart" uri="{C3380CC4-5D6E-409C-BE32-E72D297353CC}">
                <c16:uniqueId val="{00000000-9F9A-46A5-A791-09E82939230E}"/>
              </c:ext>
            </c:extLst>
          </c:dPt>
          <c:dPt>
            <c:idx val="2"/>
            <c:invertIfNegative val="0"/>
            <c:bubble3D val="0"/>
            <c:spPr>
              <a:solidFill>
                <a:srgbClr val="1F497D">
                  <a:lumMod val="50000"/>
                </a:srgbClr>
              </a:solidFill>
              <a:ln>
                <a:noFill/>
              </a:ln>
              <a:effectLst/>
            </c:spPr>
            <c:extLst>
              <c:ext xmlns:c16="http://schemas.microsoft.com/office/drawing/2014/chart" uri="{C3380CC4-5D6E-409C-BE32-E72D297353CC}">
                <c16:uniqueId val="{00000001-9F9A-46A5-A791-09E82939230E}"/>
              </c:ext>
            </c:extLst>
          </c:dPt>
          <c:dPt>
            <c:idx val="3"/>
            <c:invertIfNegative val="0"/>
            <c:bubble3D val="0"/>
            <c:spPr>
              <a:solidFill>
                <a:srgbClr val="00B0F0"/>
              </a:solidFill>
              <a:ln>
                <a:noFill/>
              </a:ln>
              <a:effectLst/>
            </c:spPr>
            <c:extLst>
              <c:ext xmlns:c16="http://schemas.microsoft.com/office/drawing/2014/chart" uri="{C3380CC4-5D6E-409C-BE32-E72D297353CC}">
                <c16:uniqueId val="{00000002-9F9A-46A5-A791-09E82939230E}"/>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(Summary!$A$26:$A$28,Summary!$A$30)</c:f>
              <c:strCache>
                <c:ptCount val="4"/>
                <c:pt idx="0">
                  <c:v>Physician Specialist Services</c:v>
                </c:pt>
                <c:pt idx="1">
                  <c:v>Primary Care Services</c:v>
                </c:pt>
                <c:pt idx="2">
                  <c:v>Pre- and Post-Natal Obstetric Services</c:v>
                </c:pt>
                <c:pt idx="3">
                  <c:v>Behavioral Health Services 
(Includes Mental Health Services only)</c:v>
                </c:pt>
              </c:strCache>
            </c:strRef>
          </c:cat>
          <c:val>
            <c:numRef>
              <c:f>(Summary!$D$26:$D$28,Summary!$D$30)</c:f>
              <c:numCache>
                <c:formatCode>0.00%</c:formatCode>
                <c:ptCount val="4"/>
                <c:pt idx="0">
                  <c:v>0.61117406221119785</c:v>
                </c:pt>
                <c:pt idx="1">
                  <c:v>0.54370789861832491</c:v>
                </c:pt>
                <c:pt idx="2">
                  <c:v>0.58880692775482957</c:v>
                </c:pt>
                <c:pt idx="3">
                  <c:v>0.56394862685727454</c:v>
                </c:pt>
              </c:numCache>
            </c:numRef>
          </c:val>
          <c:extLst>
            <c:ext xmlns:c16="http://schemas.microsoft.com/office/drawing/2014/chart" uri="{C3380CC4-5D6E-409C-BE32-E72D297353CC}">
              <c16:uniqueId val="{00000000-453A-41DE-A32C-813E37CA566C}"/>
            </c:ext>
          </c:extLst>
        </c:ser>
        <c:dLbls>
          <c:showLegendKey val="0"/>
          <c:showVal val="0"/>
          <c:showCatName val="0"/>
          <c:showSerName val="0"/>
          <c:showPercent val="0"/>
          <c:showBubbleSize val="0"/>
        </c:dLbls>
        <c:gapWidth val="219"/>
        <c:overlap val="-27"/>
        <c:axId val="165569280"/>
        <c:axId val="165570816"/>
      </c:barChart>
      <c:catAx>
        <c:axId val="1655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570816"/>
        <c:crosses val="autoZero"/>
        <c:auto val="1"/>
        <c:lblAlgn val="ctr"/>
        <c:lblOffset val="100"/>
        <c:noMultiLvlLbl val="0"/>
      </c:catAx>
      <c:valAx>
        <c:axId val="1655708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69280"/>
        <c:crosses val="autoZero"/>
        <c:crossBetween val="between"/>
      </c:valAx>
      <c:spPr>
        <a:noFill/>
        <a:ln w="25400">
          <a:noFill/>
        </a:ln>
      </c:spPr>
    </c:plotArea>
    <c:plotVisOnly val="1"/>
    <c:dispBlanksAs val="gap"/>
    <c:showDLblsOverMax val="0"/>
  </c:chart>
  <c:spPr>
    <a:solidFill>
      <a:sysClr val="window" lastClr="FFFFFF">
        <a:lumMod val="95000"/>
      </a:sys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92140904867511"/>
          <c:y val="6.2514176468682153E-2"/>
          <c:w val="0.82104579950761969"/>
          <c:h val="0.71406994264605816"/>
        </c:manualLayout>
      </c:layout>
      <c:lineChart>
        <c:grouping val="standard"/>
        <c:varyColors val="0"/>
        <c:ser>
          <c:idx val="0"/>
          <c:order val="0"/>
          <c:spPr>
            <a:ln w="38100">
              <a:solidFill>
                <a:srgbClr val="4F81BD"/>
              </a:solidFill>
            </a:ln>
          </c:spPr>
          <c:marker>
            <c:symbol val="none"/>
          </c:marker>
          <c:dPt>
            <c:idx val="0"/>
            <c:marker>
              <c:symbol val="auto"/>
            </c:marker>
            <c:bubble3D val="0"/>
            <c:extLst>
              <c:ext xmlns:c16="http://schemas.microsoft.com/office/drawing/2014/chart" uri="{C3380CC4-5D6E-409C-BE32-E72D297353CC}">
                <c16:uniqueId val="{00000000-4925-4059-8D75-0C03F2BC6816}"/>
              </c:ext>
            </c:extLst>
          </c:dPt>
          <c:dPt>
            <c:idx val="1"/>
            <c:marker>
              <c:symbol val="auto"/>
            </c:marker>
            <c:bubble3D val="0"/>
            <c:extLst>
              <c:ext xmlns:c16="http://schemas.microsoft.com/office/drawing/2014/chart" uri="{C3380CC4-5D6E-409C-BE32-E72D297353CC}">
                <c16:uniqueId val="{00000001-4925-4059-8D75-0C03F2BC6816}"/>
              </c:ext>
            </c:extLst>
          </c:dPt>
          <c:dPt>
            <c:idx val="5"/>
            <c:bubble3D val="0"/>
            <c:extLst>
              <c:ext xmlns:c16="http://schemas.microsoft.com/office/drawing/2014/chart" uri="{C3380CC4-5D6E-409C-BE32-E72D297353CC}">
                <c16:uniqueId val="{00000002-4925-4059-8D75-0C03F2BC6816}"/>
              </c:ext>
            </c:extLst>
          </c:dPt>
          <c:dPt>
            <c:idx val="6"/>
            <c:marker>
              <c:symbol val="auto"/>
            </c:marker>
            <c:bubble3D val="0"/>
            <c:extLst>
              <c:ext xmlns:c16="http://schemas.microsoft.com/office/drawing/2014/chart" uri="{C3380CC4-5D6E-409C-BE32-E72D297353CC}">
                <c16:uniqueId val="{00000003-4925-4059-8D75-0C03F2BC6816}"/>
              </c:ext>
            </c:extLst>
          </c:dPt>
          <c:dPt>
            <c:idx val="12"/>
            <c:marker>
              <c:symbol val="auto"/>
            </c:marker>
            <c:bubble3D val="0"/>
            <c:extLst>
              <c:ext xmlns:c16="http://schemas.microsoft.com/office/drawing/2014/chart" uri="{C3380CC4-5D6E-409C-BE32-E72D297353CC}">
                <c16:uniqueId val="{00000004-4925-4059-8D75-0C03F2BC6816}"/>
              </c:ext>
            </c:extLst>
          </c:dPt>
          <c:dPt>
            <c:idx val="17"/>
            <c:bubble3D val="0"/>
            <c:extLst>
              <c:ext xmlns:c16="http://schemas.microsoft.com/office/drawing/2014/chart" uri="{C3380CC4-5D6E-409C-BE32-E72D297353CC}">
                <c16:uniqueId val="{00000005-4925-4059-8D75-0C03F2BC6816}"/>
              </c:ext>
            </c:extLst>
          </c:dPt>
          <c:dPt>
            <c:idx val="18"/>
            <c:marker>
              <c:symbol val="auto"/>
            </c:marker>
            <c:bubble3D val="0"/>
            <c:extLst>
              <c:ext xmlns:c16="http://schemas.microsoft.com/office/drawing/2014/chart" uri="{C3380CC4-5D6E-409C-BE32-E72D297353CC}">
                <c16:uniqueId val="{00000006-4925-4059-8D75-0C03F2BC6816}"/>
              </c:ext>
            </c:extLst>
          </c:dPt>
          <c:dPt>
            <c:idx val="24"/>
            <c:marker>
              <c:symbol val="auto"/>
            </c:marker>
            <c:bubble3D val="0"/>
            <c:extLst>
              <c:ext xmlns:c16="http://schemas.microsoft.com/office/drawing/2014/chart" uri="{C3380CC4-5D6E-409C-BE32-E72D297353CC}">
                <c16:uniqueId val="{00000007-4925-4059-8D75-0C03F2BC6816}"/>
              </c:ext>
            </c:extLst>
          </c:dPt>
          <c:dPt>
            <c:idx val="26"/>
            <c:bubble3D val="0"/>
            <c:extLst>
              <c:ext xmlns:c16="http://schemas.microsoft.com/office/drawing/2014/chart" uri="{C3380CC4-5D6E-409C-BE32-E72D297353CC}">
                <c16:uniqueId val="{00000008-4925-4059-8D75-0C03F2BC6816}"/>
              </c:ext>
            </c:extLst>
          </c:dPt>
          <c:dPt>
            <c:idx val="27"/>
            <c:marker>
              <c:symbol val="auto"/>
            </c:marker>
            <c:bubble3D val="0"/>
            <c:extLst>
              <c:ext xmlns:c16="http://schemas.microsoft.com/office/drawing/2014/chart" uri="{C3380CC4-5D6E-409C-BE32-E72D297353CC}">
                <c16:uniqueId val="{00000009-4925-4059-8D75-0C03F2BC6816}"/>
              </c:ext>
            </c:extLst>
          </c:dPt>
          <c:dPt>
            <c:idx val="29"/>
            <c:bubble3D val="0"/>
            <c:extLst>
              <c:ext xmlns:c16="http://schemas.microsoft.com/office/drawing/2014/chart" uri="{C3380CC4-5D6E-409C-BE32-E72D297353CC}">
                <c16:uniqueId val="{0000000A-4925-4059-8D75-0C03F2BC6816}"/>
              </c:ext>
            </c:extLst>
          </c:dPt>
          <c:dPt>
            <c:idx val="31"/>
            <c:marker>
              <c:symbol val="diamond"/>
              <c:size val="8"/>
            </c:marker>
            <c:bubble3D val="0"/>
            <c:extLst>
              <c:ext xmlns:c16="http://schemas.microsoft.com/office/drawing/2014/chart" uri="{C3380CC4-5D6E-409C-BE32-E72D297353CC}">
                <c16:uniqueId val="{0000000B-4925-4059-8D75-0C03F2BC6816}"/>
              </c:ext>
            </c:extLst>
          </c:dPt>
          <c:dPt>
            <c:idx val="37"/>
            <c:bubble3D val="0"/>
            <c:extLst>
              <c:ext xmlns:c16="http://schemas.microsoft.com/office/drawing/2014/chart" uri="{C3380CC4-5D6E-409C-BE32-E72D297353CC}">
                <c16:uniqueId val="{0000000C-4925-4059-8D75-0C03F2BC6816}"/>
              </c:ext>
            </c:extLst>
          </c:dPt>
          <c:dPt>
            <c:idx val="38"/>
            <c:bubble3D val="0"/>
            <c:extLst>
              <c:ext xmlns:c16="http://schemas.microsoft.com/office/drawing/2014/chart" uri="{C3380CC4-5D6E-409C-BE32-E72D297353CC}">
                <c16:uniqueId val="{0000000D-4925-4059-8D75-0C03F2BC6816}"/>
              </c:ext>
            </c:extLst>
          </c:dPt>
          <c:dPt>
            <c:idx val="39"/>
            <c:marker>
              <c:symbol val="diamond"/>
              <c:size val="6"/>
            </c:marker>
            <c:bubble3D val="0"/>
            <c:extLst>
              <c:ext xmlns:c16="http://schemas.microsoft.com/office/drawing/2014/chart" uri="{C3380CC4-5D6E-409C-BE32-E72D297353CC}">
                <c16:uniqueId val="{0000000E-4925-4059-8D75-0C03F2BC6816}"/>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25-4059-8D75-0C03F2BC6816}"/>
                </c:ext>
              </c:extLst>
            </c:dLbl>
            <c:dLbl>
              <c:idx val="6"/>
              <c:layout>
                <c:manualLayout>
                  <c:x val="-1.5082956259426848E-2"/>
                  <c:y val="5.4148749800923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25-4059-8D75-0C03F2BC6816}"/>
                </c:ext>
              </c:extLst>
            </c:dLbl>
            <c:dLbl>
              <c:idx val="12"/>
              <c:layout>
                <c:manualLayout>
                  <c:x val="-1.5082956259426848E-2"/>
                  <c:y val="6.0519190953973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25-4059-8D75-0C03F2BC6816}"/>
                </c:ext>
              </c:extLst>
            </c:dLbl>
            <c:dLbl>
              <c:idx val="18"/>
              <c:layout>
                <c:manualLayout>
                  <c:x val="-1.6758840288252051E-2"/>
                  <c:y val="5.4148749800923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25-4059-8D75-0C03F2BC6816}"/>
                </c:ext>
              </c:extLst>
            </c:dLbl>
            <c:dLbl>
              <c:idx val="24"/>
              <c:layout>
                <c:manualLayout>
                  <c:x val="0"/>
                  <c:y val="6.6889632107023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25-4059-8D75-0C03F2BC6816}"/>
                </c:ext>
              </c:extLst>
            </c:dLbl>
            <c:dLbl>
              <c:idx val="27"/>
              <c:layout>
                <c:manualLayout>
                  <c:x val="0"/>
                  <c:y val="5.733397037744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25-4059-8D75-0C03F2BC6816}"/>
                </c:ext>
              </c:extLst>
            </c:dLbl>
            <c:dLbl>
              <c:idx val="29"/>
              <c:layout>
                <c:manualLayout>
                  <c:x val="-4.3137805448737514E-2"/>
                  <c:y val="-5.2971490202679536E-2"/>
                </c:manualLayout>
              </c:layout>
              <c:tx>
                <c:rich>
                  <a:bodyPr/>
                  <a:lstStyle/>
                  <a:p>
                    <a:r>
                      <a:rPr lang="en-US"/>
                      <a:t>3,141,989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25-4059-8D75-0C03F2BC6816}"/>
                </c:ext>
              </c:extLst>
            </c:dLbl>
            <c:dLbl>
              <c:idx val="38"/>
              <c:layout>
                <c:manualLayout>
                  <c:x val="-2.2394487510766579E-2"/>
                  <c:y val="5.7007125890736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25-4059-8D75-0C03F2BC6816}"/>
                </c:ext>
              </c:extLst>
            </c:dLbl>
            <c:numFmt formatCode="#,##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'[Chart in Microsoft Word]Trends'!$A$13:$A$37</c:f>
              <c:strCache>
                <c:ptCount val="25"/>
                <c:pt idx="0">
                  <c:v>2013-12</c:v>
                </c:pt>
                <c:pt idx="1">
                  <c:v>2014-01</c:v>
                </c:pt>
                <c:pt idx="2">
                  <c:v>2014-02</c:v>
                </c:pt>
                <c:pt idx="3">
                  <c:v>2014-03</c:v>
                </c:pt>
                <c:pt idx="4">
                  <c:v>2014-04</c:v>
                </c:pt>
                <c:pt idx="5">
                  <c:v>2014-05</c:v>
                </c:pt>
                <c:pt idx="6">
                  <c:v>2014-06</c:v>
                </c:pt>
                <c:pt idx="7">
                  <c:v>2014-07</c:v>
                </c:pt>
                <c:pt idx="8">
                  <c:v>2014-08</c:v>
                </c:pt>
                <c:pt idx="9">
                  <c:v>2014-09</c:v>
                </c:pt>
                <c:pt idx="10">
                  <c:v>2014-10</c:v>
                </c:pt>
                <c:pt idx="11">
                  <c:v>2014-11</c:v>
                </c:pt>
                <c:pt idx="12">
                  <c:v>2014-12</c:v>
                </c:pt>
                <c:pt idx="13">
                  <c:v>2015-01</c:v>
                </c:pt>
                <c:pt idx="14">
                  <c:v>2015-02</c:v>
                </c:pt>
                <c:pt idx="15">
                  <c:v>2015-03</c:v>
                </c:pt>
                <c:pt idx="16">
                  <c:v>2015-04</c:v>
                </c:pt>
                <c:pt idx="17">
                  <c:v>2015-05</c:v>
                </c:pt>
                <c:pt idx="18">
                  <c:v>2015-06</c:v>
                </c:pt>
                <c:pt idx="19">
                  <c:v>2015-07</c:v>
                </c:pt>
                <c:pt idx="20">
                  <c:v>2015-08</c:v>
                </c:pt>
                <c:pt idx="21">
                  <c:v>2015-09</c:v>
                </c:pt>
                <c:pt idx="22">
                  <c:v>2015-10</c:v>
                </c:pt>
                <c:pt idx="23">
                  <c:v>2015-11</c:v>
                </c:pt>
                <c:pt idx="24">
                  <c:v>2015-12</c:v>
                </c:pt>
              </c:strCache>
            </c:strRef>
          </c:cat>
          <c:val>
            <c:numRef>
              <c:f>'[Chart in Microsoft Word]Trends'!$B$13:$B$37</c:f>
              <c:numCache>
                <c:formatCode>#,##0</c:formatCode>
                <c:ptCount val="25"/>
                <c:pt idx="0" formatCode="_(* #,##0_);_(* \(#,##0\);_(* &quot;-&quot;??_);_(@_)">
                  <c:v>0</c:v>
                </c:pt>
                <c:pt idx="1">
                  <c:v>1102952</c:v>
                </c:pt>
                <c:pt idx="2">
                  <c:v>1351457</c:v>
                </c:pt>
                <c:pt idx="3">
                  <c:v>1708449</c:v>
                </c:pt>
                <c:pt idx="4">
                  <c:v>1866945</c:v>
                </c:pt>
                <c:pt idx="5">
                  <c:v>1956147</c:v>
                </c:pt>
                <c:pt idx="6">
                  <c:v>2038115</c:v>
                </c:pt>
                <c:pt idx="7">
                  <c:v>2126708</c:v>
                </c:pt>
                <c:pt idx="8">
                  <c:v>2214315</c:v>
                </c:pt>
                <c:pt idx="9">
                  <c:v>2295926</c:v>
                </c:pt>
                <c:pt idx="10">
                  <c:v>2377083</c:v>
                </c:pt>
                <c:pt idx="11">
                  <c:v>2466687</c:v>
                </c:pt>
                <c:pt idx="12">
                  <c:v>2561190</c:v>
                </c:pt>
                <c:pt idx="13">
                  <c:v>2675030</c:v>
                </c:pt>
                <c:pt idx="14">
                  <c:v>2783853</c:v>
                </c:pt>
                <c:pt idx="15">
                  <c:v>2820116</c:v>
                </c:pt>
                <c:pt idx="16">
                  <c:v>2890559</c:v>
                </c:pt>
                <c:pt idx="17">
                  <c:v>2946158</c:v>
                </c:pt>
                <c:pt idx="18">
                  <c:v>3012726</c:v>
                </c:pt>
                <c:pt idx="19">
                  <c:v>3071600</c:v>
                </c:pt>
                <c:pt idx="20">
                  <c:v>3142409</c:v>
                </c:pt>
                <c:pt idx="21">
                  <c:v>3205482</c:v>
                </c:pt>
                <c:pt idx="22">
                  <c:v>3271489</c:v>
                </c:pt>
                <c:pt idx="23">
                  <c:v>3344732</c:v>
                </c:pt>
                <c:pt idx="24">
                  <c:v>3462673</c:v>
                </c:pt>
              </c:numCache>
            </c:numRef>
          </c:val>
          <c:smooth val="0"/>
          <c:extLst>
            <c:ext xmlns:c16="http://schemas.microsoft.com/office/drawing/2014/chart" uri="{C3380CC4-5D6E-409C-BE32-E72D297353CC}">
              <c16:uniqueId val="{0000000F-4925-4059-8D75-0C03F2BC6816}"/>
            </c:ext>
          </c:extLst>
        </c:ser>
        <c:dLbls>
          <c:showLegendKey val="0"/>
          <c:showVal val="0"/>
          <c:showCatName val="0"/>
          <c:showSerName val="0"/>
          <c:showPercent val="0"/>
          <c:showBubbleSize val="0"/>
        </c:dLbls>
        <c:smooth val="0"/>
        <c:axId val="112358912"/>
        <c:axId val="112360448"/>
      </c:lineChart>
      <c:catAx>
        <c:axId val="112358912"/>
        <c:scaling>
          <c:orientation val="minMax"/>
        </c:scaling>
        <c:delete val="0"/>
        <c:axPos val="b"/>
        <c:numFmt formatCode="General" sourceLinked="0"/>
        <c:majorTickMark val="cross"/>
        <c:minorTickMark val="none"/>
        <c:tickLblPos val="nextTo"/>
        <c:txPr>
          <a:bodyPr rot="-4380000"/>
          <a:lstStyle/>
          <a:p>
            <a:pPr>
              <a:defRPr sz="900"/>
            </a:pPr>
            <a:endParaRPr lang="en-US"/>
          </a:p>
        </c:txPr>
        <c:crossAx val="112360448"/>
        <c:crosses val="autoZero"/>
        <c:auto val="1"/>
        <c:lblAlgn val="ctr"/>
        <c:lblOffset val="100"/>
        <c:tickLblSkip val="2"/>
        <c:noMultiLvlLbl val="0"/>
      </c:catAx>
      <c:valAx>
        <c:axId val="112360448"/>
        <c:scaling>
          <c:orientation val="minMax"/>
        </c:scaling>
        <c:delete val="0"/>
        <c:axPos val="l"/>
        <c:numFmt formatCode="#,##0" sourceLinked="0"/>
        <c:majorTickMark val="out"/>
        <c:minorTickMark val="none"/>
        <c:tickLblPos val="nextTo"/>
        <c:txPr>
          <a:bodyPr/>
          <a:lstStyle/>
          <a:p>
            <a:pPr>
              <a:defRPr sz="900"/>
            </a:pPr>
            <a:endParaRPr lang="en-US"/>
          </a:p>
        </c:txPr>
        <c:crossAx val="112358912"/>
        <c:crosses val="autoZero"/>
        <c:crossBetween val="between"/>
      </c:valAx>
      <c:spPr>
        <a:solidFill>
          <a:sysClr val="window" lastClr="FFFFFF">
            <a:lumMod val="95000"/>
          </a:sysClr>
        </a:solidFill>
      </c:spPr>
    </c:plotArea>
    <c:plotVisOnly val="1"/>
    <c:dispBlanksAs val="gap"/>
    <c:showDLblsOverMax val="0"/>
  </c:chart>
  <c:spPr>
    <a:solidFill>
      <a:sysClr val="window" lastClr="FFFFFF">
        <a:lumMod val="95000"/>
      </a:sysClr>
    </a:solidFill>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Certified in FFS</c:v>
                </c:pt>
              </c:strCache>
            </c:strRef>
          </c:tx>
          <c:dLbls>
            <c:dLbl>
              <c:idx val="0"/>
              <c:layout>
                <c:manualLayout>
                  <c:x val="-0.10124873813850192"/>
                  <c:y val="-0.23484145562885719"/>
                </c:manualLayout>
              </c:layout>
              <c:numFmt formatCode="0.0%" sourceLinked="0"/>
              <c:spPr/>
              <c:txPr>
                <a:bodyPr/>
                <a:lstStyle/>
                <a:p>
                  <a:pPr>
                    <a:defRPr b="1">
                      <a:solidFill>
                        <a:schemeClr val="bg1"/>
                      </a:solidFill>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B41-4FE9-8AFC-1D358FBA429B}"/>
                </c:ext>
              </c:extLst>
            </c:dLbl>
            <c:dLbl>
              <c:idx val="1"/>
              <c:layout>
                <c:manualLayout>
                  <c:x val="-1.6308802745810581E-2"/>
                  <c:y val="4.1648577711569837E-2"/>
                </c:manualLayout>
              </c:layout>
              <c:numFmt formatCode="0.0%" sourceLinked="0"/>
              <c:spPr/>
              <c:txPr>
                <a:bodyPr/>
                <a:lstStyle/>
                <a:p>
                  <a:pPr>
                    <a:defRPr b="1">
                      <a:solidFill>
                        <a:sysClr val="windowText" lastClr="000000"/>
                      </a:solidFill>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B41-4FE9-8AFC-1D358FBA429B}"/>
                </c:ext>
              </c:extLst>
            </c:dLbl>
            <c:dLbl>
              <c:idx val="2"/>
              <c:layout>
                <c:manualLayout>
                  <c:x val="4.669981156201629E-3"/>
                  <c:y val="-3.74118860142482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4B41-4FE9-8AFC-1D358FBA429B}"/>
                </c:ext>
              </c:extLst>
            </c:dLbl>
            <c:dLbl>
              <c:idx val="3"/>
              <c:layout>
                <c:manualLayout>
                  <c:x val="9.5513661753819229E-2"/>
                  <c:y val="0.19779568094528724"/>
                </c:manualLayout>
              </c:layout>
              <c:numFmt formatCode="0.0%" sourceLinked="0"/>
              <c:spPr/>
              <c:txPr>
                <a:bodyPr/>
                <a:lstStyle/>
                <a:p>
                  <a:pPr>
                    <a:defRPr b="1">
                      <a:solidFill>
                        <a:schemeClr val="bg1"/>
                      </a:solidFill>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B41-4FE9-8AFC-1D358FBA429B}"/>
                </c:ext>
              </c:extLst>
            </c:dLbl>
            <c:dLbl>
              <c:idx val="4"/>
              <c:layout>
                <c:manualLayout>
                  <c:x val="2.4277037485698903E-2"/>
                  <c:y val="4.067460317460317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4B41-4FE9-8AFC-1D358FBA429B}"/>
                </c:ext>
              </c:extLst>
            </c:dLbl>
            <c:numFmt formatCode="0.0%" sourceLinked="0"/>
            <c:spPr>
              <a:noFill/>
              <a:ln>
                <a:noFill/>
              </a:ln>
              <a:effectLst/>
            </c:spPr>
            <c:txPr>
              <a:bodyPr/>
              <a:lstStyle/>
              <a:p>
                <a:pPr>
                  <a:defRPr b="1"/>
                </a:pPr>
                <a:endParaRPr lang="en-US"/>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Mandatory Managed Care</c:v>
                </c:pt>
                <c:pt idx="1">
                  <c:v>Medicare</c:v>
                </c:pt>
                <c:pt idx="2">
                  <c:v>Share of Cost</c:v>
                </c:pt>
                <c:pt idx="3">
                  <c:v>Restricted Scope</c:v>
                </c:pt>
                <c:pt idx="4">
                  <c:v>Remaining FFS Full-Scope Medi-Cal Only with no SOC</c:v>
                </c:pt>
              </c:strCache>
            </c:strRef>
          </c:cat>
          <c:val>
            <c:numRef>
              <c:f>Sheet1!$B$2:$B$6</c:f>
              <c:numCache>
                <c:formatCode>#,##0</c:formatCode>
                <c:ptCount val="5"/>
                <c:pt idx="0" formatCode="_(* #,##0_);_(* \(#,##0\);_(* &quot;-&quot;??_);_(@_)">
                  <c:v>3866587</c:v>
                </c:pt>
                <c:pt idx="1">
                  <c:v>693467</c:v>
                </c:pt>
                <c:pt idx="2">
                  <c:v>23425</c:v>
                </c:pt>
                <c:pt idx="3">
                  <c:v>1243004</c:v>
                </c:pt>
                <c:pt idx="4">
                  <c:v>631709</c:v>
                </c:pt>
              </c:numCache>
            </c:numRef>
          </c:val>
          <c:extLst>
            <c:ext xmlns:c16="http://schemas.microsoft.com/office/drawing/2014/chart" uri="{C3380CC4-5D6E-409C-BE32-E72D297353CC}">
              <c16:uniqueId val="{00000005-4B41-4FE9-8AFC-1D358FBA429B}"/>
            </c:ext>
          </c:extLst>
        </c:ser>
        <c:dLbls>
          <c:showLegendKey val="0"/>
          <c:showVal val="1"/>
          <c:showCatName val="0"/>
          <c:showSerName val="0"/>
          <c:showPercent val="0"/>
          <c:showBubbleSize val="0"/>
          <c:showLeaderLines val="1"/>
        </c:dLbls>
        <c:firstSliceAng val="50"/>
      </c:pieChart>
    </c:plotArea>
    <c:plotVisOnly val="1"/>
    <c:dispBlanksAs val="gap"/>
    <c:showDLblsOverMax val="0"/>
  </c:chart>
  <c:spPr>
    <a:solidFill>
      <a:sysClr val="window" lastClr="FFFFFF">
        <a:lumMod val="95000"/>
      </a:sysClr>
    </a:solidFill>
    <a:ln>
      <a:solidFill>
        <a:sysClr val="windowText" lastClr="000000"/>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20085470085472"/>
          <c:y val="0.16567460317460317"/>
          <c:w val="0.42414529914529914"/>
          <c:h val="0.78769841269841268"/>
        </c:manualLayout>
      </c:layout>
      <c:pieChart>
        <c:varyColors val="1"/>
        <c:ser>
          <c:idx val="0"/>
          <c:order val="0"/>
          <c:tx>
            <c:strRef>
              <c:f>Sheet1!$B$1</c:f>
              <c:strCache>
                <c:ptCount val="1"/>
                <c:pt idx="0">
                  <c:v>Certified in FFS</c:v>
                </c:pt>
              </c:strCache>
            </c:strRef>
          </c:tx>
          <c:dLbls>
            <c:dLbl>
              <c:idx val="0"/>
              <c:layout>
                <c:manualLayout>
                  <c:x val="1.7012500841241E-2"/>
                  <c:y val="4.9420697412823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A71A-4A28-97FC-7E805F1350A9}"/>
                </c:ext>
              </c:extLst>
            </c:dLbl>
            <c:dLbl>
              <c:idx val="1"/>
              <c:layout>
                <c:manualLayout>
                  <c:x val="0.13639831078807457"/>
                  <c:y val="-0.2291028486304077"/>
                </c:manualLayout>
              </c:layout>
              <c:spPr/>
              <c:txPr>
                <a:bodyPr/>
                <a:lstStyle/>
                <a:p>
                  <a:pPr>
                    <a:defRPr b="1">
                      <a:solidFill>
                        <a:schemeClr val="bg1"/>
                      </a:solidFill>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71A-4A28-97FC-7E805F1350A9}"/>
                </c:ext>
              </c:extLst>
            </c:dLbl>
            <c:dLbl>
              <c:idx val="2"/>
              <c:layout>
                <c:manualLayout>
                  <c:x val="-1.5902315095228482E-2"/>
                  <c:y val="0"/>
                </c:manualLayout>
              </c:layout>
              <c:tx>
                <c:rich>
                  <a:bodyPr/>
                  <a:lstStyle/>
                  <a:p>
                    <a:r>
                      <a:rPr lang="en-US"/>
                      <a:t>Other
 1,782 
&lt;1%</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A71A-4A28-97FC-7E805F1350A9}"/>
                </c:ext>
              </c:extLst>
            </c:dLbl>
            <c:dLbl>
              <c:idx val="3"/>
              <c:layout>
                <c:manualLayout>
                  <c:x val="5.6042129349215965E-2"/>
                  <c:y val="1.271747281589801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71A-4A28-97FC-7E805F1350A9}"/>
                </c:ext>
              </c:extLst>
            </c:dLbl>
            <c:spPr>
              <a:noFill/>
              <a:ln>
                <a:noFill/>
              </a:ln>
              <a:effectLst/>
            </c:spPr>
            <c:txPr>
              <a:bodyPr/>
              <a:lstStyle/>
              <a:p>
                <a:pPr>
                  <a:defRPr b="1"/>
                </a:pPr>
                <a:endParaRPr lang="en-US"/>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Sheet1!$A$2:$A$5</c:f>
              <c:strCache>
                <c:ptCount val="4"/>
                <c:pt idx="0">
                  <c:v>Mandatory FFS</c:v>
                </c:pt>
                <c:pt idx="1">
                  <c:v>Mandatory Managed Care</c:v>
                </c:pt>
                <c:pt idx="2">
                  <c:v>Other</c:v>
                </c:pt>
                <c:pt idx="3">
                  <c:v>Voluntary - Either Managed Care or FFS</c:v>
                </c:pt>
              </c:strCache>
            </c:strRef>
          </c:cat>
          <c:val>
            <c:numRef>
              <c:f>Sheet1!$B$2:$B$5</c:f>
              <c:numCache>
                <c:formatCode>_(* #,##0_);_(* \(#,##0\);_(* "-"??_);_(@_)</c:formatCode>
                <c:ptCount val="4"/>
                <c:pt idx="0">
                  <c:v>1857384</c:v>
                </c:pt>
                <c:pt idx="1">
                  <c:v>11634701</c:v>
                </c:pt>
                <c:pt idx="2">
                  <c:v>1782</c:v>
                </c:pt>
                <c:pt idx="3">
                  <c:v>1322000</c:v>
                </c:pt>
              </c:numCache>
            </c:numRef>
          </c:val>
          <c:extLst>
            <c:ext xmlns:c16="http://schemas.microsoft.com/office/drawing/2014/chart" uri="{C3380CC4-5D6E-409C-BE32-E72D297353CC}">
              <c16:uniqueId val="{00000004-A71A-4A28-97FC-7E805F1350A9}"/>
            </c:ext>
          </c:extLst>
        </c:ser>
        <c:dLbls>
          <c:showLegendKey val="0"/>
          <c:showVal val="1"/>
          <c:showCatName val="0"/>
          <c:showSerName val="0"/>
          <c:showPercent val="0"/>
          <c:showBubbleSize val="0"/>
          <c:showLeaderLines val="1"/>
        </c:dLbls>
        <c:firstSliceAng val="50"/>
      </c:pieChart>
    </c:plotArea>
    <c:plotVisOnly val="1"/>
    <c:dispBlanksAs val="gap"/>
    <c:showDLblsOverMax val="0"/>
  </c:chart>
  <c:spPr>
    <a:solidFill>
      <a:sysClr val="window" lastClr="FFFFFF">
        <a:lumMod val="95000"/>
      </a:sysClr>
    </a:solidFill>
    <a:ln>
      <a:solidFill>
        <a:sysClr val="windowText" lastClr="000000"/>
      </a:solid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4DFA45-294E-4A7B-A8D0-08CECF52976C}" type="doc">
      <dgm:prSet loTypeId="urn:microsoft.com/office/officeart/2005/8/layout/cycle3" loCatId="cycle" qsTypeId="urn:microsoft.com/office/officeart/2005/8/quickstyle/simple1" qsCatId="simple" csTypeId="urn:microsoft.com/office/officeart/2005/8/colors/colorful2" csCatId="colorful" phldr="1"/>
      <dgm:spPr/>
      <dgm:t>
        <a:bodyPr/>
        <a:lstStyle/>
        <a:p>
          <a:endParaRPr lang="en-US"/>
        </a:p>
      </dgm:t>
    </dgm:pt>
    <dgm:pt modelId="{09F5A094-D0D5-4EAC-A6DA-35BD2DB9F40F}">
      <dgm:prSet phldrT="[Text]" custT="1"/>
      <dgm:spPr>
        <a:xfrm>
          <a:off x="2513480" y="133454"/>
          <a:ext cx="1615826" cy="1375198"/>
        </a:xfrm>
        <a:prstGeom prst="roundRect">
          <a:avLst/>
        </a:prstGeom>
        <a:gradFill flip="none" rotWithShape="0">
          <a:gsLst>
            <a:gs pos="0">
              <a:srgbClr val="92D050">
                <a:tint val="66000"/>
                <a:satMod val="160000"/>
              </a:srgbClr>
            </a:gs>
            <a:gs pos="50000">
              <a:srgbClr val="92D050">
                <a:tint val="44500"/>
                <a:satMod val="160000"/>
              </a:srgbClr>
            </a:gs>
            <a:gs pos="100000">
              <a:srgbClr val="92D050">
                <a:tint val="23500"/>
                <a:satMod val="160000"/>
              </a:srgbClr>
            </a:gs>
          </a:gsLst>
          <a:lin ang="13500000" scaled="1"/>
          <a:tileRect/>
        </a:gradFill>
        <a:ln w="28575" cap="flat" cmpd="sng" algn="ctr">
          <a:solidFill>
            <a:srgbClr val="000000"/>
          </a:solidFill>
          <a:prstDash val="solid"/>
        </a:ln>
        <a:effectLst/>
      </dgm:spPr>
      <dgm:t>
        <a:bodyPr/>
        <a:lstStyle/>
        <a:p>
          <a:pPr algn="ctr"/>
          <a:r>
            <a:rPr lang="en-US" sz="1000" b="1" dirty="0">
              <a:solidFill>
                <a:srgbClr val="000000"/>
              </a:solidFill>
              <a:latin typeface="Tahoma" panose="020B0604030504040204" pitchFamily="34" charset="0"/>
              <a:ea typeface="Tahoma" panose="020B0604030504040204" pitchFamily="34" charset="0"/>
              <a:cs typeface="Tahoma" panose="020B0604030504040204" pitchFamily="34" charset="0"/>
            </a:rPr>
            <a:t>Stage 1: </a:t>
          </a:r>
          <a:r>
            <a:rPr lang="en-US" sz="1000" b="0" dirty="0">
              <a:solidFill>
                <a:srgbClr val="000000"/>
              </a:solidFill>
              <a:latin typeface="Tahoma" panose="020B0604030504040204" pitchFamily="34" charset="0"/>
              <a:ea typeface="Tahoma" panose="020B0604030504040204" pitchFamily="34" charset="0"/>
              <a:cs typeface="Tahoma" panose="020B0604030504040204" pitchFamily="34" charset="0"/>
            </a:rPr>
            <a:t>M</a:t>
          </a:r>
          <a:r>
            <a:rPr lang="en-US" sz="1000" dirty="0">
              <a:solidFill>
                <a:srgbClr val="000000">
                  <a:hueOff val="0"/>
                  <a:satOff val="0"/>
                  <a:lumOff val="0"/>
                  <a:alphaOff val="0"/>
                </a:srgbClr>
              </a:solidFill>
              <a:latin typeface="Tahoma" panose="020B0604030504040204" pitchFamily="34" charset="0"/>
              <a:ea typeface="Tahoma" panose="020B0604030504040204" pitchFamily="34" charset="0"/>
              <a:cs typeface="Tahoma" panose="020B0604030504040204" pitchFamily="34" charset="0"/>
            </a:rPr>
            <a:t>onitor access to health care services. Identify areas that may require further investigation/research.</a:t>
          </a:r>
          <a:endParaRPr lang="en-US" sz="1000" b="1" dirty="0">
            <a:solidFill>
              <a:srgbClr val="000000"/>
            </a:solidFill>
            <a:latin typeface="Tahoma" panose="020B0604030504040204" pitchFamily="34" charset="0"/>
            <a:ea typeface="Tahoma" panose="020B0604030504040204" pitchFamily="34" charset="0"/>
            <a:cs typeface="Tahoma" panose="020B0604030504040204" pitchFamily="34" charset="0"/>
          </a:endParaRPr>
        </a:p>
      </dgm:t>
    </dgm:pt>
    <dgm:pt modelId="{B9BF817B-9E38-4D74-A57A-0C4C54A44EBD}" type="parTrans" cxnId="{DF3F70E7-1E5A-4E77-940D-91B59F8444F3}">
      <dgm:prSet/>
      <dgm:spPr/>
      <dgm:t>
        <a:bodyPr/>
        <a:lstStyle/>
        <a:p>
          <a:pPr algn="l"/>
          <a:endParaRPr lang="en-US" sz="1000"/>
        </a:p>
      </dgm:t>
    </dgm:pt>
    <dgm:pt modelId="{38D5614A-C6F9-4031-8C0B-9B9CCA74D364}" type="sibTrans" cxnId="{DF3F70E7-1E5A-4E77-940D-91B59F8444F3}">
      <dgm:prSet/>
      <dgm:spPr>
        <a:xfrm>
          <a:off x="1799660" y="632477"/>
          <a:ext cx="3043467" cy="1986311"/>
        </a:xfrm>
        <a:prstGeom prst="circularArrow">
          <a:avLst>
            <a:gd name="adj1" fmla="val 4668"/>
            <a:gd name="adj2" fmla="val 272909"/>
            <a:gd name="adj3" fmla="val 12974876"/>
            <a:gd name="adj4" fmla="val 17933777"/>
            <a:gd name="adj5" fmla="val 4847"/>
          </a:avLst>
        </a:prstGeom>
        <a:solidFill>
          <a:srgbClr val="CEC6FE"/>
        </a:solidFill>
        <a:ln>
          <a:noFill/>
        </a:ln>
        <a:effectLst/>
      </dgm:spPr>
      <dgm:t>
        <a:bodyPr/>
        <a:lstStyle/>
        <a:p>
          <a:pPr algn="l"/>
          <a:endParaRPr lang="en-US" sz="1000"/>
        </a:p>
      </dgm:t>
    </dgm:pt>
    <dgm:pt modelId="{AACF5959-276C-4F13-ABEA-1B2C993EAC23}">
      <dgm:prSet phldrT="[Text]" custT="1"/>
      <dgm:spPr>
        <a:xfrm>
          <a:off x="4225697" y="1077206"/>
          <a:ext cx="2081120" cy="916432"/>
        </a:xfrm>
        <a:prstGeom prst="roundRect">
          <a:avLst/>
        </a:prstGeom>
        <a:solidFill>
          <a:srgbClr val="FFFFFF"/>
        </a:solidFill>
        <a:ln w="25400" cap="flat" cmpd="sng" algn="ctr">
          <a:solidFill>
            <a:srgbClr val="002060"/>
          </a:solidFill>
          <a:prstDash val="solid"/>
        </a:ln>
        <a:effectLst/>
      </dgm:spPr>
      <dgm:t>
        <a:bodyPr/>
        <a:lstStyle/>
        <a:p>
          <a:pPr algn="ctr"/>
          <a:r>
            <a:rPr lang="en-US" sz="1000" b="1" dirty="0">
              <a:solidFill>
                <a:srgbClr val="000000"/>
              </a:solidFill>
              <a:latin typeface="Tahoma" panose="020B0604030504040204" pitchFamily="34" charset="0"/>
              <a:ea typeface="Tahoma" panose="020B0604030504040204" pitchFamily="34" charset="0"/>
              <a:cs typeface="Tahoma" panose="020B0604030504040204" pitchFamily="34" charset="0"/>
            </a:rPr>
            <a:t>Stage 2: </a:t>
          </a:r>
          <a:r>
            <a:rPr lang="en-US" sz="1000" u="none" baseline="0" dirty="0">
              <a:solidFill>
                <a:srgbClr val="000000">
                  <a:hueOff val="0"/>
                  <a:satOff val="0"/>
                  <a:lumOff val="0"/>
                  <a:alphaOff val="0"/>
                </a:srgbClr>
              </a:solidFill>
              <a:latin typeface="Tahoma" panose="020B0604030504040204" pitchFamily="34" charset="0"/>
              <a:ea typeface="Tahoma" panose="020B0604030504040204" pitchFamily="34" charset="0"/>
              <a:cs typeface="Tahoma" panose="020B0604030504040204" pitchFamily="34" charset="0"/>
            </a:rPr>
            <a:t>Develop a plan to identify causal pathways and perform research to arrive at conclusions.</a:t>
          </a:r>
          <a:endParaRPr lang="en-US" sz="1000" b="1" dirty="0">
            <a:solidFill>
              <a:srgbClr val="000000"/>
            </a:solidFill>
            <a:latin typeface="Tahoma" panose="020B0604030504040204" pitchFamily="34" charset="0"/>
            <a:ea typeface="Tahoma" panose="020B0604030504040204" pitchFamily="34" charset="0"/>
            <a:cs typeface="Tahoma" panose="020B0604030504040204" pitchFamily="34" charset="0"/>
          </a:endParaRPr>
        </a:p>
      </dgm:t>
    </dgm:pt>
    <dgm:pt modelId="{52BEA866-FBCB-4EE7-B61A-2C713DEFA17E}" type="parTrans" cxnId="{B1607ADE-304E-4817-B477-F473B532A982}">
      <dgm:prSet/>
      <dgm:spPr/>
      <dgm:t>
        <a:bodyPr/>
        <a:lstStyle/>
        <a:p>
          <a:pPr algn="l"/>
          <a:endParaRPr lang="en-US" sz="1000"/>
        </a:p>
      </dgm:t>
    </dgm:pt>
    <dgm:pt modelId="{CC8568A4-F370-4232-807C-91C8955A3724}" type="sibTrans" cxnId="{B1607ADE-304E-4817-B477-F473B532A982}">
      <dgm:prSet/>
      <dgm:spPr/>
      <dgm:t>
        <a:bodyPr/>
        <a:lstStyle/>
        <a:p>
          <a:pPr algn="l"/>
          <a:endParaRPr lang="en-US" sz="1000"/>
        </a:p>
      </dgm:t>
    </dgm:pt>
    <dgm:pt modelId="{B400C465-08CB-460B-971C-48AEAFAD1CC0}">
      <dgm:prSet phldrT="[Text]" custT="1"/>
      <dgm:spPr>
        <a:xfrm>
          <a:off x="2405558" y="1917413"/>
          <a:ext cx="1782079" cy="701818"/>
        </a:xfrm>
        <a:prstGeom prst="roundRect">
          <a:avLst/>
        </a:prstGeom>
        <a:solidFill>
          <a:sysClr val="window" lastClr="FFFFFF"/>
        </a:solidFill>
        <a:ln w="25400" cap="flat" cmpd="sng" algn="ctr">
          <a:solidFill>
            <a:srgbClr val="002060"/>
          </a:solidFill>
          <a:prstDash val="solid"/>
        </a:ln>
        <a:effectLst/>
      </dgm:spPr>
      <dgm:t>
        <a:bodyPr/>
        <a:lstStyle/>
        <a:p>
          <a:pPr algn="ctr"/>
          <a:r>
            <a:rPr lang="en-US" sz="1000" b="1" dirty="0">
              <a:solidFill>
                <a:srgbClr val="000000"/>
              </a:solidFill>
              <a:latin typeface="Tahoma" panose="020B0604030504040204" pitchFamily="34" charset="0"/>
              <a:ea typeface="Tahoma" panose="020B0604030504040204" pitchFamily="34" charset="0"/>
              <a:cs typeface="Tahoma" panose="020B0604030504040204" pitchFamily="34" charset="0"/>
            </a:rPr>
            <a:t>Stage 3: </a:t>
          </a:r>
          <a:r>
            <a:rPr lang="en-US" sz="1000" dirty="0">
              <a:solidFill>
                <a:srgbClr val="000000">
                  <a:hueOff val="0"/>
                  <a:satOff val="0"/>
                  <a:lumOff val="0"/>
                  <a:alphaOff val="0"/>
                </a:srgbClr>
              </a:solidFill>
              <a:latin typeface="Tahoma" panose="020B0604030504040204" pitchFamily="34" charset="0"/>
              <a:ea typeface="Tahoma" panose="020B0604030504040204" pitchFamily="34" charset="0"/>
              <a:cs typeface="Tahoma" panose="020B0604030504040204" pitchFamily="34" charset="0"/>
            </a:rPr>
            <a:t>Consider, select, and implement interventions.</a:t>
          </a:r>
          <a:endParaRPr lang="en-US" sz="1000" b="1" dirty="0">
            <a:solidFill>
              <a:srgbClr val="000000"/>
            </a:solidFill>
            <a:latin typeface="Tahoma" panose="020B0604030504040204" pitchFamily="34" charset="0"/>
            <a:ea typeface="Tahoma" panose="020B0604030504040204" pitchFamily="34" charset="0"/>
            <a:cs typeface="Tahoma" panose="020B0604030504040204" pitchFamily="34" charset="0"/>
          </a:endParaRPr>
        </a:p>
      </dgm:t>
    </dgm:pt>
    <dgm:pt modelId="{43541ED8-E1BA-4732-9DC3-AF53AAFCFDD5}" type="parTrans" cxnId="{7013B801-B2E9-4ED3-A1CF-7E572357C388}">
      <dgm:prSet/>
      <dgm:spPr/>
      <dgm:t>
        <a:bodyPr/>
        <a:lstStyle/>
        <a:p>
          <a:pPr algn="l"/>
          <a:endParaRPr lang="en-US" sz="1000"/>
        </a:p>
      </dgm:t>
    </dgm:pt>
    <dgm:pt modelId="{70572AD3-0F98-40D0-9ED5-8F8EB85E0D2E}" type="sibTrans" cxnId="{7013B801-B2E9-4ED3-A1CF-7E572357C388}">
      <dgm:prSet/>
      <dgm:spPr/>
      <dgm:t>
        <a:bodyPr/>
        <a:lstStyle/>
        <a:p>
          <a:pPr algn="l"/>
          <a:endParaRPr lang="en-US" sz="1000"/>
        </a:p>
      </dgm:t>
    </dgm:pt>
    <dgm:pt modelId="{FC5B43D4-500C-41F5-8606-93007F264027}">
      <dgm:prSet phldrT="[Text]" custT="1"/>
      <dgm:spPr>
        <a:xfrm>
          <a:off x="0" y="1119824"/>
          <a:ext cx="2465913" cy="807913"/>
        </a:xfrm>
        <a:prstGeom prst="roundRect">
          <a:avLst/>
        </a:prstGeom>
        <a:solidFill>
          <a:sysClr val="window" lastClr="FFFFFF"/>
        </a:solidFill>
        <a:ln w="25400" cap="flat" cmpd="sng" algn="ctr">
          <a:solidFill>
            <a:srgbClr val="002060"/>
          </a:solidFill>
          <a:prstDash val="solid"/>
        </a:ln>
        <a:effectLst/>
      </dgm:spPr>
      <dgm:t>
        <a:bodyPr/>
        <a:lstStyle/>
        <a:p>
          <a:pPr algn="ctr"/>
          <a:r>
            <a:rPr lang="en-US" sz="1000" b="1" dirty="0">
              <a:solidFill>
                <a:srgbClr val="000000"/>
              </a:solidFill>
              <a:latin typeface="Tahoma" panose="020B0604030504040204" pitchFamily="34" charset="0"/>
              <a:ea typeface="Tahoma" panose="020B0604030504040204" pitchFamily="34" charset="0"/>
              <a:cs typeface="Tahoma" panose="020B0604030504040204" pitchFamily="34" charset="0"/>
            </a:rPr>
            <a:t>Stage 4: </a:t>
          </a:r>
          <a:r>
            <a:rPr lang="en-US" sz="1000" u="none" baseline="0" dirty="0">
              <a:solidFill>
                <a:srgbClr val="000000">
                  <a:hueOff val="0"/>
                  <a:satOff val="0"/>
                  <a:lumOff val="0"/>
                  <a:alphaOff val="0"/>
                </a:srgbClr>
              </a:solidFill>
              <a:latin typeface="Tahoma" panose="020B0604030504040204" pitchFamily="34" charset="0"/>
              <a:ea typeface="Tahoma" panose="020B0604030504040204" pitchFamily="34" charset="0"/>
              <a:cs typeface="Tahoma" panose="020B0604030504040204" pitchFamily="34" charset="0"/>
            </a:rPr>
            <a:t>Evaluate the interventions and make modifications if necessary</a:t>
          </a:r>
          <a:r>
            <a:rPr lang="en-US" sz="1000" u="none" baseline="0" dirty="0">
              <a:solidFill>
                <a:srgbClr val="000000">
                  <a:hueOff val="0"/>
                  <a:satOff val="0"/>
                  <a:lumOff val="0"/>
                  <a:alphaOff val="0"/>
                </a:srgbClr>
              </a:solidFill>
              <a:latin typeface="Arial"/>
              <a:ea typeface="+mn-ea"/>
              <a:cs typeface="+mn-cs"/>
            </a:rPr>
            <a:t>.</a:t>
          </a:r>
          <a:endParaRPr lang="en-US" sz="1000" b="1" dirty="0">
            <a:solidFill>
              <a:srgbClr val="000000"/>
            </a:solidFill>
            <a:latin typeface="Arial"/>
            <a:ea typeface="+mn-ea"/>
            <a:cs typeface="+mn-cs"/>
          </a:endParaRPr>
        </a:p>
      </dgm:t>
    </dgm:pt>
    <dgm:pt modelId="{B3EEBE8A-FAAE-4E27-BCAD-39FF27A035A8}" type="parTrans" cxnId="{EF893FF0-B1FF-4581-8427-A5E6B4D335BE}">
      <dgm:prSet/>
      <dgm:spPr/>
      <dgm:t>
        <a:bodyPr/>
        <a:lstStyle/>
        <a:p>
          <a:pPr algn="l"/>
          <a:endParaRPr lang="en-US" sz="1000"/>
        </a:p>
      </dgm:t>
    </dgm:pt>
    <dgm:pt modelId="{C7A204AA-B4C6-4B06-91B9-359D88629EFA}" type="sibTrans" cxnId="{EF893FF0-B1FF-4581-8427-A5E6B4D335BE}">
      <dgm:prSet/>
      <dgm:spPr/>
      <dgm:t>
        <a:bodyPr/>
        <a:lstStyle/>
        <a:p>
          <a:pPr algn="l"/>
          <a:endParaRPr lang="en-US" sz="1000"/>
        </a:p>
      </dgm:t>
    </dgm:pt>
    <dgm:pt modelId="{5CD06527-520D-4B1E-A318-15C4E048AEED}" type="pres">
      <dgm:prSet presAssocID="{844DFA45-294E-4A7B-A8D0-08CECF52976C}" presName="Name0" presStyleCnt="0">
        <dgm:presLayoutVars>
          <dgm:dir/>
          <dgm:resizeHandles val="exact"/>
        </dgm:presLayoutVars>
      </dgm:prSet>
      <dgm:spPr/>
      <dgm:t>
        <a:bodyPr/>
        <a:lstStyle/>
        <a:p>
          <a:endParaRPr lang="en-US"/>
        </a:p>
      </dgm:t>
    </dgm:pt>
    <dgm:pt modelId="{60750705-5C74-47C2-92E9-8315F53C4CC6}" type="pres">
      <dgm:prSet presAssocID="{844DFA45-294E-4A7B-A8D0-08CECF52976C}" presName="cycle" presStyleCnt="0"/>
      <dgm:spPr/>
    </dgm:pt>
    <dgm:pt modelId="{133610FE-5D5F-4CBD-ACD3-8778E239CC6E}" type="pres">
      <dgm:prSet presAssocID="{09F5A094-D0D5-4EAC-A6DA-35BD2DB9F40F}" presName="nodeFirstNode" presStyleLbl="node1" presStyleIdx="0" presStyleCnt="4" custScaleY="170216" custRadScaleRad="72652" custRadScaleInc="3002">
        <dgm:presLayoutVars>
          <dgm:bulletEnabled val="1"/>
        </dgm:presLayoutVars>
      </dgm:prSet>
      <dgm:spPr>
        <a:prstGeom prst="roundRect">
          <a:avLst/>
        </a:prstGeom>
      </dgm:spPr>
      <dgm:t>
        <a:bodyPr/>
        <a:lstStyle/>
        <a:p>
          <a:endParaRPr lang="en-US"/>
        </a:p>
      </dgm:t>
    </dgm:pt>
    <dgm:pt modelId="{007D8386-43B9-483E-8F5B-694AA9304797}" type="pres">
      <dgm:prSet presAssocID="{38D5614A-C6F9-4031-8C0B-9B9CCA74D364}" presName="sibTransFirstNode" presStyleLbl="bgShp" presStyleIdx="0" presStyleCnt="1" custScaleX="120762" custScaleY="78815"/>
      <dgm:spPr>
        <a:prstGeom prst="circularArrow">
          <a:avLst>
            <a:gd name="adj1" fmla="val 4668"/>
            <a:gd name="adj2" fmla="val 272909"/>
            <a:gd name="adj3" fmla="val 12974876"/>
            <a:gd name="adj4" fmla="val 17933777"/>
            <a:gd name="adj5" fmla="val 4847"/>
          </a:avLst>
        </a:prstGeom>
      </dgm:spPr>
      <dgm:t>
        <a:bodyPr/>
        <a:lstStyle/>
        <a:p>
          <a:endParaRPr lang="en-US"/>
        </a:p>
      </dgm:t>
    </dgm:pt>
    <dgm:pt modelId="{89005B26-3700-4FF1-B5DB-D0B502C6B133}" type="pres">
      <dgm:prSet presAssocID="{AACF5959-276C-4F13-ABEA-1B2C993EAC23}" presName="nodeFollowingNodes" presStyleLbl="node1" presStyleIdx="1" presStyleCnt="4" custScaleX="128796" custScaleY="113432" custRadScaleRad="217752" custRadScaleInc="2318">
        <dgm:presLayoutVars>
          <dgm:bulletEnabled val="1"/>
        </dgm:presLayoutVars>
      </dgm:prSet>
      <dgm:spPr>
        <a:prstGeom prst="roundRect">
          <a:avLst/>
        </a:prstGeom>
      </dgm:spPr>
      <dgm:t>
        <a:bodyPr/>
        <a:lstStyle/>
        <a:p>
          <a:endParaRPr lang="en-US"/>
        </a:p>
      </dgm:t>
    </dgm:pt>
    <dgm:pt modelId="{55C71E40-EED9-431D-9641-FEA78ECDC286}" type="pres">
      <dgm:prSet presAssocID="{B400C465-08CB-460B-971C-48AEAFAD1CC0}" presName="nodeFollowingNodes" presStyleLbl="node1" presStyleIdx="2" presStyleCnt="4" custScaleX="110289" custScaleY="86868" custRadScaleRad="87332">
        <dgm:presLayoutVars>
          <dgm:bulletEnabled val="1"/>
        </dgm:presLayoutVars>
      </dgm:prSet>
      <dgm:spPr>
        <a:prstGeom prst="roundRect">
          <a:avLst/>
        </a:prstGeom>
      </dgm:spPr>
      <dgm:t>
        <a:bodyPr/>
        <a:lstStyle/>
        <a:p>
          <a:endParaRPr lang="en-US"/>
        </a:p>
      </dgm:t>
    </dgm:pt>
    <dgm:pt modelId="{07E0ABA9-A8A1-498C-9E3A-0ED9FED3AB21}" type="pres">
      <dgm:prSet presAssocID="{FC5B43D4-500C-41F5-8606-93007F264027}" presName="nodeFollowingNodes" presStyleLbl="node1" presStyleIdx="3" presStyleCnt="4" custScaleX="152610" custRadScaleRad="240917" custRadScaleInc="-1670">
        <dgm:presLayoutVars>
          <dgm:bulletEnabled val="1"/>
        </dgm:presLayoutVars>
      </dgm:prSet>
      <dgm:spPr>
        <a:prstGeom prst="roundRect">
          <a:avLst/>
        </a:prstGeom>
      </dgm:spPr>
      <dgm:t>
        <a:bodyPr/>
        <a:lstStyle/>
        <a:p>
          <a:endParaRPr lang="en-US"/>
        </a:p>
      </dgm:t>
    </dgm:pt>
  </dgm:ptLst>
  <dgm:cxnLst>
    <dgm:cxn modelId="{9DC02481-E22B-4D38-86C4-33C220C821AA}" type="presOf" srcId="{B400C465-08CB-460B-971C-48AEAFAD1CC0}" destId="{55C71E40-EED9-431D-9641-FEA78ECDC286}" srcOrd="0" destOrd="0" presId="urn:microsoft.com/office/officeart/2005/8/layout/cycle3"/>
    <dgm:cxn modelId="{FF2FB3FC-9CF0-4C54-B772-D5F5533F8300}" type="presOf" srcId="{AACF5959-276C-4F13-ABEA-1B2C993EAC23}" destId="{89005B26-3700-4FF1-B5DB-D0B502C6B133}" srcOrd="0" destOrd="0" presId="urn:microsoft.com/office/officeart/2005/8/layout/cycle3"/>
    <dgm:cxn modelId="{EF893FF0-B1FF-4581-8427-A5E6B4D335BE}" srcId="{844DFA45-294E-4A7B-A8D0-08CECF52976C}" destId="{FC5B43D4-500C-41F5-8606-93007F264027}" srcOrd="3" destOrd="0" parTransId="{B3EEBE8A-FAAE-4E27-BCAD-39FF27A035A8}" sibTransId="{C7A204AA-B4C6-4B06-91B9-359D88629EFA}"/>
    <dgm:cxn modelId="{FFC04EBB-1006-4D1E-A4DD-70F561387A08}" type="presOf" srcId="{09F5A094-D0D5-4EAC-A6DA-35BD2DB9F40F}" destId="{133610FE-5D5F-4CBD-ACD3-8778E239CC6E}" srcOrd="0" destOrd="0" presId="urn:microsoft.com/office/officeart/2005/8/layout/cycle3"/>
    <dgm:cxn modelId="{B1607ADE-304E-4817-B477-F473B532A982}" srcId="{844DFA45-294E-4A7B-A8D0-08CECF52976C}" destId="{AACF5959-276C-4F13-ABEA-1B2C993EAC23}" srcOrd="1" destOrd="0" parTransId="{52BEA866-FBCB-4EE7-B61A-2C713DEFA17E}" sibTransId="{CC8568A4-F370-4232-807C-91C8955A3724}"/>
    <dgm:cxn modelId="{5857FD6B-BA57-4D38-BF38-17D86D97F7FA}" type="presOf" srcId="{844DFA45-294E-4A7B-A8D0-08CECF52976C}" destId="{5CD06527-520D-4B1E-A318-15C4E048AEED}" srcOrd="0" destOrd="0" presId="urn:microsoft.com/office/officeart/2005/8/layout/cycle3"/>
    <dgm:cxn modelId="{DF3F70E7-1E5A-4E77-940D-91B59F8444F3}" srcId="{844DFA45-294E-4A7B-A8D0-08CECF52976C}" destId="{09F5A094-D0D5-4EAC-A6DA-35BD2DB9F40F}" srcOrd="0" destOrd="0" parTransId="{B9BF817B-9E38-4D74-A57A-0C4C54A44EBD}" sibTransId="{38D5614A-C6F9-4031-8C0B-9B9CCA74D364}"/>
    <dgm:cxn modelId="{9B2C9DB1-55DD-4A5D-888A-4EF0E15BD49A}" type="presOf" srcId="{FC5B43D4-500C-41F5-8606-93007F264027}" destId="{07E0ABA9-A8A1-498C-9E3A-0ED9FED3AB21}" srcOrd="0" destOrd="0" presId="urn:microsoft.com/office/officeart/2005/8/layout/cycle3"/>
    <dgm:cxn modelId="{CA3524CF-7937-48A4-BCE2-E1FE7C90FABF}" type="presOf" srcId="{38D5614A-C6F9-4031-8C0B-9B9CCA74D364}" destId="{007D8386-43B9-483E-8F5B-694AA9304797}" srcOrd="0" destOrd="0" presId="urn:microsoft.com/office/officeart/2005/8/layout/cycle3"/>
    <dgm:cxn modelId="{7013B801-B2E9-4ED3-A1CF-7E572357C388}" srcId="{844DFA45-294E-4A7B-A8D0-08CECF52976C}" destId="{B400C465-08CB-460B-971C-48AEAFAD1CC0}" srcOrd="2" destOrd="0" parTransId="{43541ED8-E1BA-4732-9DC3-AF53AAFCFDD5}" sibTransId="{70572AD3-0F98-40D0-9ED5-8F8EB85E0D2E}"/>
    <dgm:cxn modelId="{B48F5F50-9B14-430F-A965-9D7D0C2224F5}" type="presParOf" srcId="{5CD06527-520D-4B1E-A318-15C4E048AEED}" destId="{60750705-5C74-47C2-92E9-8315F53C4CC6}" srcOrd="0" destOrd="0" presId="urn:microsoft.com/office/officeart/2005/8/layout/cycle3"/>
    <dgm:cxn modelId="{F987A21A-4002-4709-8242-DFE32278C7B9}" type="presParOf" srcId="{60750705-5C74-47C2-92E9-8315F53C4CC6}" destId="{133610FE-5D5F-4CBD-ACD3-8778E239CC6E}" srcOrd="0" destOrd="0" presId="urn:microsoft.com/office/officeart/2005/8/layout/cycle3"/>
    <dgm:cxn modelId="{34C6D345-EFF9-4E68-9C35-A06443522663}" type="presParOf" srcId="{60750705-5C74-47C2-92E9-8315F53C4CC6}" destId="{007D8386-43B9-483E-8F5B-694AA9304797}" srcOrd="1" destOrd="0" presId="urn:microsoft.com/office/officeart/2005/8/layout/cycle3"/>
    <dgm:cxn modelId="{ADE7CE32-BD66-420E-AE12-72C6F081FCCB}" type="presParOf" srcId="{60750705-5C74-47C2-92E9-8315F53C4CC6}" destId="{89005B26-3700-4FF1-B5DB-D0B502C6B133}" srcOrd="2" destOrd="0" presId="urn:microsoft.com/office/officeart/2005/8/layout/cycle3"/>
    <dgm:cxn modelId="{BD65E97F-F768-4307-9A0B-CD7AC0FD6BB8}" type="presParOf" srcId="{60750705-5C74-47C2-92E9-8315F53C4CC6}" destId="{55C71E40-EED9-431D-9641-FEA78ECDC286}" srcOrd="3" destOrd="0" presId="urn:microsoft.com/office/officeart/2005/8/layout/cycle3"/>
    <dgm:cxn modelId="{122DF9D1-4E9D-40C6-8389-C10618ACBDA0}" type="presParOf" srcId="{60750705-5C74-47C2-92E9-8315F53C4CC6}" destId="{07E0ABA9-A8A1-498C-9E3A-0ED9FED3AB21}" srcOrd="4" destOrd="0" presId="urn:microsoft.com/office/officeart/2005/8/layout/cycle3"/>
  </dgm:cxnLst>
  <dgm:bg/>
  <dgm:whole>
    <a:ln>
      <a:solidFill>
        <a:schemeClr val="bg1">
          <a:lumMod val="50000"/>
        </a:schemeClr>
      </a:solidFill>
    </a:ln>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D8386-43B9-483E-8F5B-694AA9304797}">
      <dsp:nvSpPr>
        <dsp:cNvPr id="0" name=""/>
        <dsp:cNvSpPr/>
      </dsp:nvSpPr>
      <dsp:spPr>
        <a:xfrm>
          <a:off x="1799660" y="632477"/>
          <a:ext cx="3043467" cy="1986311"/>
        </a:xfrm>
        <a:prstGeom prst="circularArrow">
          <a:avLst>
            <a:gd name="adj1" fmla="val 4668"/>
            <a:gd name="adj2" fmla="val 272909"/>
            <a:gd name="adj3" fmla="val 12974876"/>
            <a:gd name="adj4" fmla="val 17933777"/>
            <a:gd name="adj5" fmla="val 4847"/>
          </a:avLst>
        </a:prstGeom>
        <a:solidFill>
          <a:srgbClr val="CEC6FE"/>
        </a:solidFill>
        <a:ln>
          <a:noFill/>
        </a:ln>
        <a:effectLst/>
      </dsp:spPr>
      <dsp:style>
        <a:lnRef idx="0">
          <a:scrgbClr r="0" g="0" b="0"/>
        </a:lnRef>
        <a:fillRef idx="1">
          <a:scrgbClr r="0" g="0" b="0"/>
        </a:fillRef>
        <a:effectRef idx="0">
          <a:scrgbClr r="0" g="0" b="0"/>
        </a:effectRef>
        <a:fontRef idx="minor"/>
      </dsp:style>
    </dsp:sp>
    <dsp:sp modelId="{133610FE-5D5F-4CBD-ACD3-8778E239CC6E}">
      <dsp:nvSpPr>
        <dsp:cNvPr id="0" name=""/>
        <dsp:cNvSpPr/>
      </dsp:nvSpPr>
      <dsp:spPr>
        <a:xfrm>
          <a:off x="2513480" y="133454"/>
          <a:ext cx="1615826" cy="1375198"/>
        </a:xfrm>
        <a:prstGeom prst="roundRect">
          <a:avLst/>
        </a:prstGeom>
        <a:gradFill flip="none" rotWithShape="0">
          <a:gsLst>
            <a:gs pos="0">
              <a:srgbClr val="92D050">
                <a:tint val="66000"/>
                <a:satMod val="160000"/>
              </a:srgbClr>
            </a:gs>
            <a:gs pos="50000">
              <a:srgbClr val="92D050">
                <a:tint val="44500"/>
                <a:satMod val="160000"/>
              </a:srgbClr>
            </a:gs>
            <a:gs pos="100000">
              <a:srgbClr val="92D050">
                <a:tint val="23500"/>
                <a:satMod val="160000"/>
              </a:srgbClr>
            </a:gs>
          </a:gsLst>
          <a:lin ang="13500000" scaled="1"/>
          <a:tileRect/>
        </a:gradFill>
        <a:ln w="28575" cap="flat" cmpd="sng" algn="ctr">
          <a:solidFill>
            <a:srgbClr val="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a:solidFill>
                <a:srgbClr val="000000"/>
              </a:solidFill>
              <a:latin typeface="Tahoma" panose="020B0604030504040204" pitchFamily="34" charset="0"/>
              <a:ea typeface="Tahoma" panose="020B0604030504040204" pitchFamily="34" charset="0"/>
              <a:cs typeface="Tahoma" panose="020B0604030504040204" pitchFamily="34" charset="0"/>
            </a:rPr>
            <a:t>Stage 1: </a:t>
          </a:r>
          <a:r>
            <a:rPr lang="en-US" sz="1000" b="0" kern="1200" dirty="0">
              <a:solidFill>
                <a:srgbClr val="000000"/>
              </a:solidFill>
              <a:latin typeface="Tahoma" panose="020B0604030504040204" pitchFamily="34" charset="0"/>
              <a:ea typeface="Tahoma" panose="020B0604030504040204" pitchFamily="34" charset="0"/>
              <a:cs typeface="Tahoma" panose="020B0604030504040204" pitchFamily="34" charset="0"/>
            </a:rPr>
            <a:t>M</a:t>
          </a:r>
          <a:r>
            <a:rPr lang="en-US" sz="1000" kern="1200" dirty="0">
              <a:solidFill>
                <a:srgbClr val="000000">
                  <a:hueOff val="0"/>
                  <a:satOff val="0"/>
                  <a:lumOff val="0"/>
                  <a:alphaOff val="0"/>
                </a:srgbClr>
              </a:solidFill>
              <a:latin typeface="Tahoma" panose="020B0604030504040204" pitchFamily="34" charset="0"/>
              <a:ea typeface="Tahoma" panose="020B0604030504040204" pitchFamily="34" charset="0"/>
              <a:cs typeface="Tahoma" panose="020B0604030504040204" pitchFamily="34" charset="0"/>
            </a:rPr>
            <a:t>onitor access to health care services. Identify areas that may require further investigation/research.</a:t>
          </a:r>
          <a:endParaRPr lang="en-US" sz="1000" b="1" kern="1200" dirty="0">
            <a:solidFill>
              <a:srgbClr val="000000"/>
            </a:solidFill>
            <a:latin typeface="Tahoma" panose="020B0604030504040204" pitchFamily="34" charset="0"/>
            <a:ea typeface="Tahoma" panose="020B0604030504040204" pitchFamily="34" charset="0"/>
            <a:cs typeface="Tahoma" panose="020B0604030504040204" pitchFamily="34" charset="0"/>
          </a:endParaRPr>
        </a:p>
      </dsp:txBody>
      <dsp:txXfrm>
        <a:off x="2580612" y="200586"/>
        <a:ext cx="1481562" cy="1240934"/>
      </dsp:txXfrm>
    </dsp:sp>
    <dsp:sp modelId="{89005B26-3700-4FF1-B5DB-D0B502C6B133}">
      <dsp:nvSpPr>
        <dsp:cNvPr id="0" name=""/>
        <dsp:cNvSpPr/>
      </dsp:nvSpPr>
      <dsp:spPr>
        <a:xfrm>
          <a:off x="4225697" y="1077206"/>
          <a:ext cx="2081120" cy="916432"/>
        </a:xfrm>
        <a:prstGeom prst="roundRect">
          <a:avLst/>
        </a:prstGeom>
        <a:solidFill>
          <a:srgbClr val="FFFFFF"/>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a:solidFill>
                <a:srgbClr val="000000"/>
              </a:solidFill>
              <a:latin typeface="Tahoma" panose="020B0604030504040204" pitchFamily="34" charset="0"/>
              <a:ea typeface="Tahoma" panose="020B0604030504040204" pitchFamily="34" charset="0"/>
              <a:cs typeface="Tahoma" panose="020B0604030504040204" pitchFamily="34" charset="0"/>
            </a:rPr>
            <a:t>Stage 2: </a:t>
          </a:r>
          <a:r>
            <a:rPr lang="en-US" sz="1000" u="none" kern="1200" baseline="0" dirty="0">
              <a:solidFill>
                <a:srgbClr val="000000">
                  <a:hueOff val="0"/>
                  <a:satOff val="0"/>
                  <a:lumOff val="0"/>
                  <a:alphaOff val="0"/>
                </a:srgbClr>
              </a:solidFill>
              <a:latin typeface="Tahoma" panose="020B0604030504040204" pitchFamily="34" charset="0"/>
              <a:ea typeface="Tahoma" panose="020B0604030504040204" pitchFamily="34" charset="0"/>
              <a:cs typeface="Tahoma" panose="020B0604030504040204" pitchFamily="34" charset="0"/>
            </a:rPr>
            <a:t>Develop a plan to identify causal pathways and perform research to arrive at conclusions.</a:t>
          </a:r>
          <a:endParaRPr lang="en-US" sz="1000" b="1" kern="1200" dirty="0">
            <a:solidFill>
              <a:srgbClr val="000000"/>
            </a:solidFill>
            <a:latin typeface="Tahoma" panose="020B0604030504040204" pitchFamily="34" charset="0"/>
            <a:ea typeface="Tahoma" panose="020B0604030504040204" pitchFamily="34" charset="0"/>
            <a:cs typeface="Tahoma" panose="020B0604030504040204" pitchFamily="34" charset="0"/>
          </a:endParaRPr>
        </a:p>
      </dsp:txBody>
      <dsp:txXfrm>
        <a:off x="4270434" y="1121943"/>
        <a:ext cx="1991646" cy="826958"/>
      </dsp:txXfrm>
    </dsp:sp>
    <dsp:sp modelId="{55C71E40-EED9-431D-9641-FEA78ECDC286}">
      <dsp:nvSpPr>
        <dsp:cNvPr id="0" name=""/>
        <dsp:cNvSpPr/>
      </dsp:nvSpPr>
      <dsp:spPr>
        <a:xfrm>
          <a:off x="2405558" y="1917413"/>
          <a:ext cx="1782079" cy="701818"/>
        </a:xfrm>
        <a:prstGeom prst="roundRect">
          <a:avLst/>
        </a:prstGeom>
        <a:solidFill>
          <a:sysClr val="window" lastClr="FFFFFF"/>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a:solidFill>
                <a:srgbClr val="000000"/>
              </a:solidFill>
              <a:latin typeface="Tahoma" panose="020B0604030504040204" pitchFamily="34" charset="0"/>
              <a:ea typeface="Tahoma" panose="020B0604030504040204" pitchFamily="34" charset="0"/>
              <a:cs typeface="Tahoma" panose="020B0604030504040204" pitchFamily="34" charset="0"/>
            </a:rPr>
            <a:t>Stage 3: </a:t>
          </a:r>
          <a:r>
            <a:rPr lang="en-US" sz="1000" kern="1200" dirty="0">
              <a:solidFill>
                <a:srgbClr val="000000">
                  <a:hueOff val="0"/>
                  <a:satOff val="0"/>
                  <a:lumOff val="0"/>
                  <a:alphaOff val="0"/>
                </a:srgbClr>
              </a:solidFill>
              <a:latin typeface="Tahoma" panose="020B0604030504040204" pitchFamily="34" charset="0"/>
              <a:ea typeface="Tahoma" panose="020B0604030504040204" pitchFamily="34" charset="0"/>
              <a:cs typeface="Tahoma" panose="020B0604030504040204" pitchFamily="34" charset="0"/>
            </a:rPr>
            <a:t>Consider, select, and implement interventions.</a:t>
          </a:r>
          <a:endParaRPr lang="en-US" sz="1000" b="1" kern="1200" dirty="0">
            <a:solidFill>
              <a:srgbClr val="000000"/>
            </a:solidFill>
            <a:latin typeface="Tahoma" panose="020B0604030504040204" pitchFamily="34" charset="0"/>
            <a:ea typeface="Tahoma" panose="020B0604030504040204" pitchFamily="34" charset="0"/>
            <a:cs typeface="Tahoma" panose="020B0604030504040204" pitchFamily="34" charset="0"/>
          </a:endParaRPr>
        </a:p>
      </dsp:txBody>
      <dsp:txXfrm>
        <a:off x="2439818" y="1951673"/>
        <a:ext cx="1713559" cy="633298"/>
      </dsp:txXfrm>
    </dsp:sp>
    <dsp:sp modelId="{07E0ABA9-A8A1-498C-9E3A-0ED9FED3AB21}">
      <dsp:nvSpPr>
        <dsp:cNvPr id="0" name=""/>
        <dsp:cNvSpPr/>
      </dsp:nvSpPr>
      <dsp:spPr>
        <a:xfrm>
          <a:off x="0" y="1119824"/>
          <a:ext cx="2465913" cy="807913"/>
        </a:xfrm>
        <a:prstGeom prst="roundRect">
          <a:avLst/>
        </a:prstGeom>
        <a:solidFill>
          <a:sysClr val="window" lastClr="FFFFFF"/>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a:solidFill>
                <a:srgbClr val="000000"/>
              </a:solidFill>
              <a:latin typeface="Tahoma" panose="020B0604030504040204" pitchFamily="34" charset="0"/>
              <a:ea typeface="Tahoma" panose="020B0604030504040204" pitchFamily="34" charset="0"/>
              <a:cs typeface="Tahoma" panose="020B0604030504040204" pitchFamily="34" charset="0"/>
            </a:rPr>
            <a:t>Stage 4: </a:t>
          </a:r>
          <a:r>
            <a:rPr lang="en-US" sz="1000" u="none" kern="1200" baseline="0" dirty="0">
              <a:solidFill>
                <a:srgbClr val="000000">
                  <a:hueOff val="0"/>
                  <a:satOff val="0"/>
                  <a:lumOff val="0"/>
                  <a:alphaOff val="0"/>
                </a:srgbClr>
              </a:solidFill>
              <a:latin typeface="Tahoma" panose="020B0604030504040204" pitchFamily="34" charset="0"/>
              <a:ea typeface="Tahoma" panose="020B0604030504040204" pitchFamily="34" charset="0"/>
              <a:cs typeface="Tahoma" panose="020B0604030504040204" pitchFamily="34" charset="0"/>
            </a:rPr>
            <a:t>Evaluate the interventions and make modifications if necessary</a:t>
          </a:r>
          <a:r>
            <a:rPr lang="en-US" sz="1000" u="none" kern="1200" baseline="0" dirty="0">
              <a:solidFill>
                <a:srgbClr val="000000">
                  <a:hueOff val="0"/>
                  <a:satOff val="0"/>
                  <a:lumOff val="0"/>
                  <a:alphaOff val="0"/>
                </a:srgbClr>
              </a:solidFill>
              <a:latin typeface="Arial"/>
              <a:ea typeface="+mn-ea"/>
              <a:cs typeface="+mn-cs"/>
            </a:rPr>
            <a:t>.</a:t>
          </a:r>
          <a:endParaRPr lang="en-US" sz="1000" b="1" kern="1200" dirty="0">
            <a:solidFill>
              <a:srgbClr val="000000"/>
            </a:solidFill>
            <a:latin typeface="Arial"/>
            <a:ea typeface="+mn-ea"/>
            <a:cs typeface="+mn-cs"/>
          </a:endParaRPr>
        </a:p>
      </dsp:txBody>
      <dsp:txXfrm>
        <a:off x="39439" y="1159263"/>
        <a:ext cx="2387035" cy="72903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0.86996</cdr:x>
      <cdr:y>0.88304</cdr:y>
    </cdr:from>
    <cdr:to>
      <cdr:x>0.987</cdr:x>
      <cdr:y>0.97953</cdr:y>
    </cdr:to>
    <cdr:sp macro="" textlink="">
      <cdr:nvSpPr>
        <cdr:cNvPr id="2" name="Text Box 1"/>
        <cdr:cNvSpPr txBox="1"/>
      </cdr:nvSpPr>
      <cdr:spPr>
        <a:xfrm xmlns:a="http://schemas.openxmlformats.org/drawingml/2006/main">
          <a:off x="5097780" y="2301240"/>
          <a:ext cx="68580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Eligibles</a:t>
          </a:r>
        </a:p>
      </cdr:txBody>
    </cdr:sp>
  </cdr:relSizeAnchor>
</c:userShapes>
</file>

<file path=word/drawings/drawing2.xml><?xml version="1.0" encoding="utf-8"?>
<c:userShapes xmlns:c="http://schemas.openxmlformats.org/drawingml/2006/chart">
  <cdr:relSizeAnchor xmlns:cdr="http://schemas.openxmlformats.org/drawingml/2006/chartDrawing">
    <cdr:from>
      <cdr:x>0.50771</cdr:x>
      <cdr:y>0.31945</cdr:y>
    </cdr:from>
    <cdr:to>
      <cdr:x>0.50802</cdr:x>
      <cdr:y>0.39794</cdr:y>
    </cdr:to>
    <cdr:cxnSp macro="">
      <cdr:nvCxnSpPr>
        <cdr:cNvPr id="6" name="Straight Arrow Connector 5"/>
        <cdr:cNvCxnSpPr/>
      </cdr:nvCxnSpPr>
      <cdr:spPr>
        <a:xfrm xmlns:a="http://schemas.openxmlformats.org/drawingml/2006/main">
          <a:off x="3249778" y="775916"/>
          <a:ext cx="1985" cy="190619"/>
        </a:xfrm>
        <a:prstGeom xmlns:a="http://schemas.openxmlformats.org/drawingml/2006/main" prst="straightConnector1">
          <a:avLst/>
        </a:prstGeom>
        <a:ln xmlns:a="http://schemas.openxmlformats.org/drawingml/2006/main" w="12700">
          <a:solidFill>
            <a:srgbClr val="008EC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0.21573</cdr:x>
      <cdr:y>0.3496</cdr:y>
    </cdr:from>
    <cdr:to>
      <cdr:x>0.28176</cdr:x>
      <cdr:y>0.59854</cdr:y>
    </cdr:to>
    <cdr:sp macro="" textlink="">
      <cdr:nvSpPr>
        <cdr:cNvPr id="3" name="Text Box 2"/>
        <cdr:cNvSpPr txBox="1"/>
      </cdr:nvSpPr>
      <cdr:spPr>
        <a:xfrm xmlns:a="http://schemas.openxmlformats.org/drawingml/2006/main">
          <a:off x="1380845" y="914400"/>
          <a:ext cx="422644" cy="65112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lnSpc>
              <a:spcPct val="100000"/>
            </a:lnSpc>
          </a:pPr>
          <a:r>
            <a:rPr lang="en-US" sz="800"/>
            <a:t>HFP Transition</a:t>
          </a:r>
          <a:r>
            <a:rPr lang="en-US" sz="800" baseline="0"/>
            <a:t> Phase: +178,623</a:t>
          </a:r>
          <a:endParaRPr lang="en-US" sz="800"/>
        </a:p>
      </cdr:txBody>
    </cdr:sp>
  </cdr:relSizeAnchor>
  <cdr:relSizeAnchor xmlns:cdr="http://schemas.openxmlformats.org/drawingml/2006/chartDrawing">
    <cdr:from>
      <cdr:x>0.31422</cdr:x>
      <cdr:y>0.27044</cdr:y>
    </cdr:from>
    <cdr:to>
      <cdr:x>0.3908</cdr:x>
      <cdr:y>0.48933</cdr:y>
    </cdr:to>
    <cdr:sp macro="" textlink="">
      <cdr:nvSpPr>
        <cdr:cNvPr id="10" name="Text Box 1"/>
        <cdr:cNvSpPr txBox="1"/>
      </cdr:nvSpPr>
      <cdr:spPr>
        <a:xfrm xmlns:a="http://schemas.openxmlformats.org/drawingml/2006/main">
          <a:off x="2011259" y="707366"/>
          <a:ext cx="490174" cy="57250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r">
            <a:lnSpc>
              <a:spcPct val="100000"/>
            </a:lnSpc>
          </a:pPr>
          <a:r>
            <a:rPr lang="en-US" sz="800"/>
            <a:t>HFP Transition Phase:</a:t>
          </a:r>
          <a:r>
            <a:rPr lang="en-US" sz="800" baseline="0"/>
            <a:t> +106,443</a:t>
          </a:r>
          <a:endParaRPr lang="en-US" sz="800"/>
        </a:p>
      </cdr:txBody>
    </cdr:sp>
  </cdr:relSizeAnchor>
  <cdr:relSizeAnchor xmlns:cdr="http://schemas.openxmlformats.org/drawingml/2006/chartDrawing">
    <cdr:from>
      <cdr:x>0.40044</cdr:x>
      <cdr:y>0.13852</cdr:y>
    </cdr:from>
    <cdr:to>
      <cdr:x>0.46673</cdr:x>
      <cdr:y>0.3798</cdr:y>
    </cdr:to>
    <cdr:sp macro="" textlink="">
      <cdr:nvSpPr>
        <cdr:cNvPr id="11" name="Text Box 1"/>
        <cdr:cNvSpPr txBox="1"/>
      </cdr:nvSpPr>
      <cdr:spPr>
        <a:xfrm xmlns:a="http://schemas.openxmlformats.org/drawingml/2006/main">
          <a:off x="2563136" y="362309"/>
          <a:ext cx="424309" cy="631077"/>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r">
            <a:lnSpc>
              <a:spcPct val="100000"/>
            </a:lnSpc>
          </a:pPr>
          <a:r>
            <a:rPr lang="en-US" sz="800"/>
            <a:t>HFP Transition</a:t>
          </a:r>
          <a:r>
            <a:rPr lang="en-US" sz="800" baseline="0"/>
            <a:t> Phase: +270,308</a:t>
          </a:r>
          <a:endParaRPr lang="en-US" sz="800"/>
        </a:p>
      </cdr:txBody>
    </cdr:sp>
  </cdr:relSizeAnchor>
  <cdr:relSizeAnchor xmlns:cdr="http://schemas.openxmlformats.org/drawingml/2006/chartDrawing">
    <cdr:from>
      <cdr:x>0.38061</cdr:x>
      <cdr:y>0.48043</cdr:y>
    </cdr:from>
    <cdr:to>
      <cdr:x>0.38104</cdr:x>
      <cdr:y>0.57002</cdr:y>
    </cdr:to>
    <cdr:cxnSp macro="">
      <cdr:nvCxnSpPr>
        <cdr:cNvPr id="18" name="Straight Arrow Connector 17"/>
        <cdr:cNvCxnSpPr/>
      </cdr:nvCxnSpPr>
      <cdr:spPr>
        <a:xfrm xmlns:a="http://schemas.openxmlformats.org/drawingml/2006/main" flipH="1">
          <a:off x="2436190" y="1166901"/>
          <a:ext cx="2752" cy="217603"/>
        </a:xfrm>
        <a:prstGeom xmlns:a="http://schemas.openxmlformats.org/drawingml/2006/main" prst="straightConnector1">
          <a:avLst/>
        </a:prstGeom>
        <a:ln xmlns:a="http://schemas.openxmlformats.org/drawingml/2006/main" w="12700">
          <a:solidFill>
            <a:srgbClr val="008EC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0.24926</cdr:x>
      <cdr:y>0.55416</cdr:y>
    </cdr:from>
    <cdr:to>
      <cdr:x>0.24966</cdr:x>
      <cdr:y>0.64878</cdr:y>
    </cdr:to>
    <cdr:cxnSp macro="">
      <cdr:nvCxnSpPr>
        <cdr:cNvPr id="19" name="Straight Arrow Connector 18"/>
        <cdr:cNvCxnSpPr/>
      </cdr:nvCxnSpPr>
      <cdr:spPr>
        <a:xfrm xmlns:a="http://schemas.openxmlformats.org/drawingml/2006/main" flipH="1">
          <a:off x="1595448" y="1345992"/>
          <a:ext cx="2561" cy="229820"/>
        </a:xfrm>
        <a:prstGeom xmlns:a="http://schemas.openxmlformats.org/drawingml/2006/main" prst="straightConnector1">
          <a:avLst/>
        </a:prstGeom>
        <a:ln xmlns:a="http://schemas.openxmlformats.org/drawingml/2006/main" w="12700">
          <a:solidFill>
            <a:srgbClr val="008EC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0.70126</cdr:x>
      <cdr:y>0.27036</cdr:y>
    </cdr:from>
    <cdr:to>
      <cdr:x>0.70134</cdr:x>
      <cdr:y>0.3506</cdr:y>
    </cdr:to>
    <cdr:cxnSp macro="">
      <cdr:nvCxnSpPr>
        <cdr:cNvPr id="20" name="Straight Arrow Connector 19"/>
        <cdr:cNvCxnSpPr/>
      </cdr:nvCxnSpPr>
      <cdr:spPr>
        <a:xfrm xmlns:a="http://schemas.openxmlformats.org/drawingml/2006/main">
          <a:off x="4488602" y="656660"/>
          <a:ext cx="513" cy="194892"/>
        </a:xfrm>
        <a:prstGeom xmlns:a="http://schemas.openxmlformats.org/drawingml/2006/main" prst="straightConnector1">
          <a:avLst/>
        </a:prstGeom>
        <a:ln xmlns:a="http://schemas.openxmlformats.org/drawingml/2006/main" w="12700">
          <a:solidFill>
            <a:srgbClr val="008EC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0.7655</cdr:x>
      <cdr:y>0.25572</cdr:y>
    </cdr:from>
    <cdr:to>
      <cdr:x>0.76552</cdr:x>
      <cdr:y>0.34503</cdr:y>
    </cdr:to>
    <cdr:cxnSp macro="">
      <cdr:nvCxnSpPr>
        <cdr:cNvPr id="21" name="Straight Arrow Connector 20"/>
        <cdr:cNvCxnSpPr/>
      </cdr:nvCxnSpPr>
      <cdr:spPr>
        <a:xfrm xmlns:a="http://schemas.openxmlformats.org/drawingml/2006/main">
          <a:off x="4899804" y="621102"/>
          <a:ext cx="120" cy="216922"/>
        </a:xfrm>
        <a:prstGeom xmlns:a="http://schemas.openxmlformats.org/drawingml/2006/main" prst="straightConnector1">
          <a:avLst/>
        </a:prstGeom>
        <a:ln xmlns:a="http://schemas.openxmlformats.org/drawingml/2006/main" w="12700">
          <a:solidFill>
            <a:srgbClr val="008EC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0.89314</cdr:x>
      <cdr:y>0.23796</cdr:y>
    </cdr:from>
    <cdr:to>
      <cdr:x>0.89353</cdr:x>
      <cdr:y>0.33092</cdr:y>
    </cdr:to>
    <cdr:cxnSp macro="">
      <cdr:nvCxnSpPr>
        <cdr:cNvPr id="22" name="Straight Arrow Connector 21"/>
        <cdr:cNvCxnSpPr/>
      </cdr:nvCxnSpPr>
      <cdr:spPr>
        <a:xfrm xmlns:a="http://schemas.openxmlformats.org/drawingml/2006/main" flipH="1">
          <a:off x="5716798" y="577969"/>
          <a:ext cx="2515" cy="225789"/>
        </a:xfrm>
        <a:prstGeom xmlns:a="http://schemas.openxmlformats.org/drawingml/2006/main" prst="straightConnector1">
          <a:avLst/>
        </a:prstGeom>
        <a:ln xmlns:a="http://schemas.openxmlformats.org/drawingml/2006/main" w="12700">
          <a:solidFill>
            <a:srgbClr val="008EC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0.44112</cdr:x>
      <cdr:y>0.34646</cdr:y>
    </cdr:from>
    <cdr:to>
      <cdr:x>0.44191</cdr:x>
      <cdr:y>0.42765</cdr:y>
    </cdr:to>
    <cdr:cxnSp macro="">
      <cdr:nvCxnSpPr>
        <cdr:cNvPr id="25" name="Straight Arrow Connector 24"/>
        <cdr:cNvCxnSpPr/>
      </cdr:nvCxnSpPr>
      <cdr:spPr>
        <a:xfrm xmlns:a="http://schemas.openxmlformats.org/drawingml/2006/main">
          <a:off x="2823514" y="841519"/>
          <a:ext cx="5056" cy="197200"/>
        </a:xfrm>
        <a:prstGeom xmlns:a="http://schemas.openxmlformats.org/drawingml/2006/main" prst="straightConnector1">
          <a:avLst/>
        </a:prstGeom>
        <a:ln xmlns:a="http://schemas.openxmlformats.org/drawingml/2006/main" w="12700">
          <a:solidFill>
            <a:schemeClr val="accent1"/>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0.92628</cdr:x>
      <cdr:y>0.0212</cdr:y>
    </cdr:from>
    <cdr:to>
      <cdr:x>1</cdr:x>
      <cdr:y>0.29115</cdr:y>
    </cdr:to>
    <cdr:sp macro="" textlink="">
      <cdr:nvSpPr>
        <cdr:cNvPr id="2" name="Text Box 1"/>
        <cdr:cNvSpPr txBox="1"/>
      </cdr:nvSpPr>
      <cdr:spPr>
        <a:xfrm xmlns:a="http://schemas.openxmlformats.org/drawingml/2006/main">
          <a:off x="5505438" y="52346"/>
          <a:ext cx="438162" cy="66647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rtlCol="0"/>
        <a:lstStyle xmlns:a="http://schemas.openxmlformats.org/drawingml/2006/main"/>
        <a:p xmlns:a="http://schemas.openxmlformats.org/drawingml/2006/main">
          <a:pPr algn="ctr">
            <a:lnSpc>
              <a:spcPct val="100000"/>
            </a:lnSpc>
          </a:pPr>
          <a:r>
            <a:rPr lang="en-US" sz="800" b="1">
              <a:solidFill>
                <a:sysClr val="windowText" lastClr="000000"/>
              </a:solidFill>
            </a:rPr>
            <a:t>Approx  HFP Transition Children = 751,293</a:t>
          </a:r>
        </a:p>
      </cdr:txBody>
    </cdr:sp>
  </cdr:relSizeAnchor>
  <cdr:relSizeAnchor xmlns:cdr="http://schemas.openxmlformats.org/drawingml/2006/chartDrawing">
    <cdr:from>
      <cdr:x>0.96108</cdr:x>
      <cdr:y>0.23308</cdr:y>
    </cdr:from>
    <cdr:to>
      <cdr:x>0.96168</cdr:x>
      <cdr:y>0.33308</cdr:y>
    </cdr:to>
    <cdr:cxnSp macro="">
      <cdr:nvCxnSpPr>
        <cdr:cNvPr id="13" name="Straight Arrow Connector 12"/>
        <cdr:cNvCxnSpPr/>
      </cdr:nvCxnSpPr>
      <cdr:spPr>
        <a:xfrm xmlns:a="http://schemas.openxmlformats.org/drawingml/2006/main" flipH="1">
          <a:off x="5712261" y="575437"/>
          <a:ext cx="3567" cy="246888"/>
        </a:xfrm>
        <a:prstGeom xmlns:a="http://schemas.openxmlformats.org/drawingml/2006/main" prst="straightConnector1">
          <a:avLst/>
        </a:prstGeom>
        <a:ln xmlns:a="http://schemas.openxmlformats.org/drawingml/2006/main" w="12700">
          <a:solidFill>
            <a:srgbClr val="008EC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0.01028</cdr:x>
      <cdr:y>0.21599</cdr:y>
    </cdr:from>
    <cdr:to>
      <cdr:x>0.0495</cdr:x>
      <cdr:y>0.73241</cdr:y>
    </cdr:to>
    <cdr:sp macro="" textlink="">
      <cdr:nvSpPr>
        <cdr:cNvPr id="2" name="TextBox 1"/>
        <cdr:cNvSpPr txBox="1"/>
      </cdr:nvSpPr>
      <cdr:spPr>
        <a:xfrm xmlns:a="http://schemas.openxmlformats.org/drawingml/2006/main" rot="16200000">
          <a:off x="-459864" y="1054179"/>
          <a:ext cx="1274979" cy="2331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1"/>
            <a:t>ACA Expansion</a:t>
          </a:r>
          <a:r>
            <a:rPr lang="en-US" sz="900"/>
            <a:t> </a:t>
          </a:r>
          <a:r>
            <a:rPr lang="en-US" sz="900" b="1"/>
            <a:t>Adults 19-6</a:t>
          </a:r>
          <a:r>
            <a:rPr lang="en-US" sz="800" b="1"/>
            <a:t>4</a:t>
          </a:r>
        </a:p>
      </cdr:txBody>
    </cdr:sp>
  </cdr:relSizeAnchor>
  <cdr:relSizeAnchor xmlns:cdr="http://schemas.openxmlformats.org/drawingml/2006/chartDrawing">
    <cdr:from>
      <cdr:x>0.0448</cdr:x>
      <cdr:y>0.90489</cdr:y>
    </cdr:from>
    <cdr:to>
      <cdr:x>0.15175</cdr:x>
      <cdr:y>0.96065</cdr:y>
    </cdr:to>
    <cdr:sp macro="" textlink="">
      <cdr:nvSpPr>
        <cdr:cNvPr id="3" name="TextBox 2"/>
        <cdr:cNvSpPr txBox="1"/>
      </cdr:nvSpPr>
      <cdr:spPr>
        <a:xfrm xmlns:a="http://schemas.openxmlformats.org/drawingml/2006/main">
          <a:off x="266250" y="2234060"/>
          <a:ext cx="635668" cy="1376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900" b="1"/>
        </a:p>
      </cdr:txBody>
    </cdr:sp>
  </cdr:relSizeAnchor>
</c:userShapes>
</file>

<file path=word/drawings/drawing4.xml><?xml version="1.0" encoding="utf-8"?>
<c:userShapes xmlns:c="http://schemas.openxmlformats.org/drawingml/2006/chart">
  <cdr:relSizeAnchor xmlns:cdr="http://schemas.openxmlformats.org/drawingml/2006/chartDrawing">
    <cdr:from>
      <cdr:x>0.30167</cdr:x>
      <cdr:y>0.90556</cdr:y>
    </cdr:from>
    <cdr:to>
      <cdr:x>0.73167</cdr:x>
      <cdr:y>0.98611</cdr:y>
    </cdr:to>
    <cdr:sp macro="" textlink="">
      <cdr:nvSpPr>
        <cdr:cNvPr id="2" name="TextBox 1"/>
        <cdr:cNvSpPr txBox="1"/>
      </cdr:nvSpPr>
      <cdr:spPr>
        <a:xfrm xmlns:a="http://schemas.openxmlformats.org/drawingml/2006/main">
          <a:off x="1379220" y="2484120"/>
          <a:ext cx="196596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Duration of FFS Enrollment</a:t>
          </a:r>
        </a:p>
      </cdr:txBody>
    </cdr:sp>
  </cdr:relSizeAnchor>
  <cdr:relSizeAnchor xmlns:cdr="http://schemas.openxmlformats.org/drawingml/2006/chartDrawing">
    <cdr:from>
      <cdr:x>0.225</cdr:x>
      <cdr:y>0.22778</cdr:y>
    </cdr:from>
    <cdr:to>
      <cdr:x>0.51</cdr:x>
      <cdr:y>0.31389</cdr:y>
    </cdr:to>
    <cdr:sp macro="" textlink="">
      <cdr:nvSpPr>
        <cdr:cNvPr id="3" name="TextBox 2"/>
        <cdr:cNvSpPr txBox="1"/>
      </cdr:nvSpPr>
      <cdr:spPr>
        <a:xfrm xmlns:a="http://schemas.openxmlformats.org/drawingml/2006/main">
          <a:off x="1028700" y="624840"/>
          <a:ext cx="1303020" cy="23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Rate</a:t>
          </a:r>
          <a:r>
            <a:rPr lang="en-US" sz="1100" b="1" baseline="0"/>
            <a:t> per 1,000 mm</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0.72049</cdr:x>
      <cdr:y>0.18452</cdr:y>
    </cdr:from>
    <cdr:to>
      <cdr:x>0.82639</cdr:x>
      <cdr:y>0.24702</cdr:y>
    </cdr:to>
    <cdr:sp macro="" textlink="">
      <cdr:nvSpPr>
        <cdr:cNvPr id="2" name="Text Box 1"/>
        <cdr:cNvSpPr txBox="1"/>
      </cdr:nvSpPr>
      <cdr:spPr>
        <a:xfrm xmlns:a="http://schemas.openxmlformats.org/drawingml/2006/main">
          <a:off x="3952875" y="590550"/>
          <a:ext cx="5810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77.9%</a:t>
          </a:r>
        </a:p>
      </cdr:txBody>
    </cdr:sp>
  </cdr:relSizeAnchor>
</c:userShapes>
</file>

<file path=word/drawings/drawing6.xml><?xml version="1.0" encoding="utf-8"?>
<c:userShapes xmlns:c="http://schemas.openxmlformats.org/drawingml/2006/chart">
  <cdr:relSizeAnchor xmlns:cdr="http://schemas.openxmlformats.org/drawingml/2006/chartDrawing">
    <cdr:from>
      <cdr:x>0.7257</cdr:x>
      <cdr:y>0.1051</cdr:y>
    </cdr:from>
    <cdr:to>
      <cdr:x>0.8316</cdr:x>
      <cdr:y>0.1676</cdr:y>
    </cdr:to>
    <cdr:sp macro="" textlink="">
      <cdr:nvSpPr>
        <cdr:cNvPr id="2" name="Text Box 1"/>
        <cdr:cNvSpPr txBox="1"/>
      </cdr:nvSpPr>
      <cdr:spPr>
        <a:xfrm xmlns:a="http://schemas.openxmlformats.org/drawingml/2006/main">
          <a:off x="3981471" y="277292"/>
          <a:ext cx="581010" cy="1649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7.8%</a:t>
          </a:r>
        </a:p>
      </cdr:txBody>
    </cdr:sp>
  </cdr:relSizeAnchor>
</c:userShapes>
</file>

<file path=word/drawings/drawing7.xml><?xml version="1.0" encoding="utf-8"?>
<c:userShapes xmlns:c="http://schemas.openxmlformats.org/drawingml/2006/chart">
  <cdr:relSizeAnchor xmlns:cdr="http://schemas.openxmlformats.org/drawingml/2006/chartDrawing">
    <cdr:from>
      <cdr:x>0.65973</cdr:x>
      <cdr:y>0.04216</cdr:y>
    </cdr:from>
    <cdr:to>
      <cdr:x>0.76563</cdr:x>
      <cdr:y>0.10466</cdr:y>
    </cdr:to>
    <cdr:sp macro="" textlink="">
      <cdr:nvSpPr>
        <cdr:cNvPr id="2" name="Text Box 1"/>
        <cdr:cNvSpPr txBox="1"/>
      </cdr:nvSpPr>
      <cdr:spPr>
        <a:xfrm xmlns:a="http://schemas.openxmlformats.org/drawingml/2006/main">
          <a:off x="3619530" y="114858"/>
          <a:ext cx="581010" cy="170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11.4%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HCS Document" ma:contentTypeID="0x010100EEE380F46F125946A8B4C4C90D9FFCDC00EA1F9A90D02B6D46B92858C59511D30E" ma:contentTypeVersion="36" ma:contentTypeDescription="This is the Custom Document Type for use by DHCS" ma:contentTypeScope="" ma:versionID="e871b2cda9f4495cd71c07a23343359a">
  <xsd:schema xmlns:xsd="http://www.w3.org/2001/XMLSchema" xmlns:xs="http://www.w3.org/2001/XMLSchema" xmlns:p="http://schemas.microsoft.com/office/2006/metadata/properties" xmlns:ns1="http://schemas.microsoft.com/sharepoint/v3" xmlns:ns2="69bc34b3-1921-46c7-8c7a-d18363374b4b" xmlns:ns4="c1c1dc04-eeda-4b6e-b2df-40979f5da1d3" targetNamespace="http://schemas.microsoft.com/office/2006/metadata/properties" ma:root="true" ma:fieldsID="d15d598dc21e39b185848f333fe21660" ns1:_="" ns2:_="" ns4:_="">
    <xsd:import namespace="http://schemas.microsoft.com/sharepoint/v3"/>
    <xsd:import namespace="69bc34b3-1921-46c7-8c7a-d18363374b4b"/>
    <xsd:import namespace="c1c1dc04-eeda-4b6e-b2df-40979f5da1d3"/>
    <xsd:element name="properties">
      <xsd:complexType>
        <xsd:sequence>
          <xsd:element name="documentManagement">
            <xsd:complexType>
              <xsd:all>
                <xsd:element ref="ns2:Publication_x0020_Type" minOccurs="0"/>
                <xsd:element ref="ns2:Abstract" minOccurs="0"/>
                <xsd:element ref="ns1:PublishingContactName" minOccurs="0"/>
                <xsd:element ref="ns1:Language" minOccurs="0"/>
                <xsd:element ref="ns2:TAGAge" minOccurs="0"/>
                <xsd:element ref="ns2:TAGBusPart" minOccurs="0"/>
                <xsd:element ref="ns2:TAGender" minOccurs="0"/>
                <xsd:element ref="ns2:TAGEthnicity" minOccurs="0"/>
                <xsd:element ref="ns2:Topics" minOccurs="0"/>
                <xsd:element ref="ns4:SharedWithUsers" minOccurs="0"/>
                <xsd:element ref="ns2:_dlc_DocId" minOccurs="0"/>
                <xsd:element ref="ns2:_dlc_DocIdUrl" minOccurs="0"/>
                <xsd:element ref="ns2:_dlc_DocIdPersistId" minOccurs="0"/>
                <xsd:element ref="ns2:o68eaf9243684232b2418c37bbb152dc" minOccurs="0"/>
                <xsd:element ref="ns2:TaxCatchAll" minOccurs="0"/>
                <xsd:element ref="ns2:TaxCatchAllLabel" minOccurs="0"/>
                <xsd:element ref="ns4:Reading_x0020_Lev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6"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element name="Language" ma:index="7" nillable="true" ma:displayName="Language" ma:default="English" ma:hidden="true" ma:internalName="Language" ma:readOnly="fals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9bc34b3-1921-46c7-8c7a-d18363374b4b" elementFormDefault="qualified">
    <xsd:import namespace="http://schemas.microsoft.com/office/2006/documentManagement/types"/>
    <xsd:import namespace="http://schemas.microsoft.com/office/infopath/2007/PartnerControls"/>
    <xsd:element name="Publication_x0020_Type" ma:index="3" nillable="true" ma:displayName="Publication Type" ma:list="adfece1d-3b17-431b-8151-7ebe638708da" ma:internalName="Publication_x0020_Type" ma:showField="Title" ma:web="69bc34b3-1921-46c7-8c7a-d18363374b4b">
      <xsd:simpleType>
        <xsd:restriction base="dms:Lookup"/>
      </xsd:simpleType>
    </xsd:element>
    <xsd:element name="Abstract" ma:index="4" nillable="true" ma:displayName="Abstract" ma:hidden="true" ma:internalName="Abstract" ma:readOnly="false">
      <xsd:simpleType>
        <xsd:restriction base="dms:Note"/>
      </xsd:simpleType>
    </xsd:element>
    <xsd:element name="TAGAge" ma:index="8" nillable="true" ma:displayName="TAGAge" ma:hidden="true" ma:list="379e5c79-d9c3-4952-a067-e05980d12f7d" ma:internalName="TAGAge" ma:readOnly="false" ma:showField="Title" ma:web="69bc34b3-1921-46c7-8c7a-d18363374b4b">
      <xsd:simpleType>
        <xsd:restriction base="dms:Lookup"/>
      </xsd:simpleType>
    </xsd:element>
    <xsd:element name="TAGBusPart" ma:index="9" nillable="true" ma:displayName="TAGBusPart" ma:hidden="true" ma:list="e6599d1e-16c4-4dcc-aa83-4b926728b2ff" ma:internalName="TAGBusPart" ma:readOnly="false" ma:showField="Title" ma:web="69bc34b3-1921-46c7-8c7a-d18363374b4b">
      <xsd:simpleType>
        <xsd:restriction base="dms:Lookup"/>
      </xsd:simpleType>
    </xsd:element>
    <xsd:element name="TAGender" ma:index="10" nillable="true" ma:displayName="TAGender" ma:hidden="true" ma:list="1fedfd00-9c5a-428a-8fed-99736ec43d80" ma:internalName="TAGender" ma:readOnly="false" ma:showField="Title" ma:web="69bc34b3-1921-46c7-8c7a-d18363374b4b">
      <xsd:simpleType>
        <xsd:restriction base="dms:Lookup"/>
      </xsd:simpleType>
    </xsd:element>
    <xsd:element name="TAGEthnicity" ma:index="11" nillable="true" ma:displayName="TAGEthnicity" ma:hidden="true" ma:list="90ba1348-e3b2-4d32-9e12-e8a4f76c577a" ma:internalName="TAGEthnicity" ma:readOnly="false" ma:showField="Title" ma:web="69bc34b3-1921-46c7-8c7a-d18363374b4b">
      <xsd:simpleType>
        <xsd:restriction base="dms:Lookup"/>
      </xsd:simpleType>
    </xsd:element>
    <xsd:element name="Topics" ma:index="12" nillable="true" ma:displayName="Topics" ma:hidden="true" ma:list="d882c70e-9a2a-4ac7-bf8a-63d5b11e81e5" ma:internalName="Topics" ma:readOnly="false" ma:showField="Title" ma:web="69bc34b3-1921-46c7-8c7a-d18363374b4b">
      <xsd:simpleType>
        <xsd:restriction base="dms:Lookup"/>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o68eaf9243684232b2418c37bbb152dc" ma:index="23" ma:taxonomy="true" ma:internalName="o68eaf9243684232b2418c37bbb152dc" ma:taxonomyFieldName="Division" ma:displayName="Organization" ma:default="" ma:fieldId="{868eaf92-4368-4232-b241-8c37bbb152dc}" ma:sspId="c5141bb9-a4dc-4ae4-b00f-eda7f03420e3" ma:termSetId="fab399b8-4812-477e-b787-6d88ce91a47f"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9f1b1011-fad5-4ab7-8fa2-ac38007fb757}" ma:internalName="TaxCatchAll" ma:showField="CatchAllData" ma:web="69bc34b3-1921-46c7-8c7a-d18363374b4b">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hidden="true" ma:list="{9f1b1011-fad5-4ab7-8fa2-ac38007fb757}" ma:internalName="TaxCatchAllLabel" ma:readOnly="true" ma:showField="CatchAllDataLabel" ma:web="69bc34b3-1921-46c7-8c7a-d18363374b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c1dc04-eeda-4b6e-b2df-40979f5da1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ading_x0020_Level" ma:index="26" nillable="true" ma:displayName="Reading Level" ma:format="Dropdown" ma:hidden="true" ma:internalName="Reading_x0020_Level"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2+"/>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axOccurs="1" ma:index="1" ma:displayName="Title"/>
        <xsd:element ref="dc:subject" minOccurs="0" maxOccurs="1"/>
        <xsd:element ref="dc:description" minOccurs="0" maxOccurs="1"/>
        <xsd:element name="keywords" minOccurs="0" maxOccurs="1" type="xsd:string" ma:index="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GBusPart xmlns="69bc34b3-1921-46c7-8c7a-d18363374b4b" xsi:nil="true"/>
    <TAGender xmlns="69bc34b3-1921-46c7-8c7a-d18363374b4b" xsi:nil="true"/>
    <Publication_x0020_Type xmlns="69bc34b3-1921-46c7-8c7a-d18363374b4b" xsi:nil="true"/>
    <Topics xmlns="69bc34b3-1921-46c7-8c7a-d18363374b4b" xsi:nil="true"/>
    <TaxCatchAll xmlns="69bc34b3-1921-46c7-8c7a-d18363374b4b">
      <Value>62</Value>
    </TaxCatchAll>
    <Reading_x0020_Level xmlns="c1c1dc04-eeda-4b6e-b2df-40979f5da1d3">12+</Reading_x0020_Level>
    <TAGEthnicity xmlns="69bc34b3-1921-46c7-8c7a-d18363374b4b" xsi:nil="true"/>
    <o68eaf9243684232b2418c37bbb152dc xmlns="69bc34b3-1921-46c7-8c7a-d18363374b4b">
      <Terms xmlns="http://schemas.microsoft.com/office/infopath/2007/PartnerControls">
        <TermInfo xmlns="http://schemas.microsoft.com/office/infopath/2007/PartnerControls">
          <TermName xmlns="http://schemas.microsoft.com/office/infopath/2007/PartnerControls">Directors Office</TermName>
          <TermId xmlns="http://schemas.microsoft.com/office/infopath/2007/PartnerControls">e4872da7-61d4-4c7f-a711-33e1928ea746</TermId>
        </TermInfo>
      </Terms>
    </o68eaf9243684232b2418c37bbb152dc>
    <Abstract xmlns="69bc34b3-1921-46c7-8c7a-d18363374b4b">Last fall, the Centers for Medicare and Medicaid Services (CMS) issued a final rule related to access for covered services in FFS Medicaid programs.  For further information on the final rule, please visit: https://www.medicaid.gov/medicaid-chip-program-information/by-topics/access-to-care/access.html.   Under the final rule, states are required to design and develop an access monitoring plan, and establish procedures to monitor beneficiary access when proposing to reduce or restructure Medicaid FFS payments.  States are required to submit their initial plans to CMS on or before October 1, 2016.  The plans submitted to CMS are required to include both the state’s proposed methods for monitoring access to specified services as well as the baseline data and selected measures to be used to analyze access.</Abstract>
    <PublishingContactName xmlns="http://schemas.microsoft.com/sharepoint/v3">Director's Office</PublishingContactName>
    <TAGAge xmlns="69bc34b3-1921-46c7-8c7a-d18363374b4b" xsi:nil="true"/>
    <_dlc_DocId xmlns="69bc34b3-1921-46c7-8c7a-d18363374b4b">DHCSDOC-1097138731-433</_dlc_DocId>
    <_dlc_DocIdUrl xmlns="69bc34b3-1921-46c7-8c7a-d18363374b4b">
      <Url>http://dhcs2016prod:88/formsandpubs/laws/_layouts/15/DocIdRedir.aspx?ID=DHCSDOC-1097138731-433</Url>
      <Description>DHCSDOC-1097138731-433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992C20-246D-4717-A1B8-043D5CA94E21}"/>
</file>

<file path=customXml/itemProps2.xml><?xml version="1.0" encoding="utf-8"?>
<ds:datastoreItem xmlns:ds="http://schemas.openxmlformats.org/officeDocument/2006/customXml" ds:itemID="{13E1B571-0F60-4956-9DAE-F6E906F63AAA}"/>
</file>

<file path=customXml/itemProps3.xml><?xml version="1.0" encoding="utf-8"?>
<ds:datastoreItem xmlns:ds="http://schemas.openxmlformats.org/officeDocument/2006/customXml" ds:itemID="{2EAF34D0-6325-4566-833E-A76079D0DD33}"/>
</file>

<file path=customXml/itemProps4.xml><?xml version="1.0" encoding="utf-8"?>
<ds:datastoreItem xmlns:ds="http://schemas.openxmlformats.org/officeDocument/2006/customXml" ds:itemID="{F3350CD4-087F-4A3F-BCD1-FFE7A3A57AA0}"/>
</file>

<file path=customXml/itemProps5.xml><?xml version="1.0" encoding="utf-8"?>
<ds:datastoreItem xmlns:ds="http://schemas.openxmlformats.org/officeDocument/2006/customXml" ds:itemID="{C8648556-6127-4444-AF27-C27D4A0A8CE7}"/>
</file>

<file path=customXml/itemProps6.xml><?xml version="1.0" encoding="utf-8"?>
<ds:datastoreItem xmlns:ds="http://schemas.openxmlformats.org/officeDocument/2006/customXml" ds:itemID="{6960272E-620C-486E-9FD3-FFF6EF34AC1A}"/>
</file>

<file path=docProps/app.xml><?xml version="1.0" encoding="utf-8"?>
<Properties xmlns="http://schemas.openxmlformats.org/officeDocument/2006/extended-properties" xmlns:vt="http://schemas.openxmlformats.org/officeDocument/2006/docPropsVTypes">
  <Template>Normal.dotm</Template>
  <TotalTime>0</TotalTime>
  <Pages>193</Pages>
  <Words>52739</Words>
  <Characters>300617</Characters>
  <Application>Microsoft Office Word</Application>
  <DocSecurity>8</DocSecurity>
  <Lines>2505</Lines>
  <Paragraphs>705</Paragraphs>
  <ScaleCrop>false</ScaleCrop>
  <HeadingPairs>
    <vt:vector size="2" baseType="variant">
      <vt:variant>
        <vt:lpstr>Title</vt:lpstr>
      </vt:variant>
      <vt:variant>
        <vt:i4>1</vt:i4>
      </vt:variant>
    </vt:vector>
  </HeadingPairs>
  <TitlesOfParts>
    <vt:vector size="1" baseType="lpstr">
      <vt:lpstr>DHCS FFS Access Monitoring Plan August 2016 - Draft for public review and comment</vt:lpstr>
    </vt:vector>
  </TitlesOfParts>
  <LinksUpToDate>false</LinksUpToDate>
  <CharactersWithSpaces>352651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DHCS FFS Access Monitoring Plan August 2016 - Draft for public review and comment</dc:title>
  <dc:creator/>
  <cp:keywords>Access Plan, Monitoring, FFS</cp:keywords>
  <cp:lastModifiedBy/>
  <cp:revision>1</cp:revision>
  <dcterms:created xsi:type="dcterms:W3CDTF">2016-08-18T21:01:00Z</dcterms:created>
  <dcterms:modified xsi:type="dcterms:W3CDTF">2016-08-19T15:46:00Z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0x010100EEE380F46F125946A8B4C4C90D9FFCDC00EA1F9A90D02B6D46B92858C59511D30E</vt:lpwstr>
  </property>
  <property fmtid="{D5CDD505-2E9C-101B-9397-08002B2CF9AE}" pid="3" name="_dlc_DocIdItemGuid">
    <vt:lpwstr>63a76ea0-e49c-471b-a47e-64b350bf98d7</vt:lpwstr>
  </property>
  <property fmtid="{D5CDD505-2E9C-101B-9397-08002B2CF9AE}" pid="4" name="Remediated">
    <vt:bool>false</vt:bool>
  </property>
  <property fmtid="{D5CDD505-2E9C-101B-9397-08002B2CF9AE}" pid="5" name="Organization">
    <vt:lpwstr>76</vt:lpwstr>
  </property>
  <property fmtid="{D5CDD505-2E9C-101B-9397-08002B2CF9AE}" pid="6" name="Division">
    <vt:lpwstr>62;#Directors Office|e4872da7-61d4-4c7f-a711-33e1928ea746</vt:lpwstr>
  </property>
</Properties>
</file>