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CA8D8" w14:textId="77777777" w:rsidR="004E00D5" w:rsidRDefault="004E00D5" w:rsidP="00E01533">
      <w:pPr>
        <w:rPr>
          <w:b/>
          <w:color w:val="000000" w:themeColor="text1"/>
          <w:sz w:val="24"/>
          <w:szCs w:val="24"/>
          <w:u w:val="single"/>
        </w:rPr>
      </w:pPr>
    </w:p>
    <w:p w14:paraId="39F612FA" w14:textId="77777777" w:rsidR="00E01533" w:rsidRPr="00C05901" w:rsidRDefault="00E01533" w:rsidP="00E01533">
      <w:pPr>
        <w:rPr>
          <w:b/>
          <w:color w:val="000000" w:themeColor="text1"/>
          <w:sz w:val="28"/>
          <w:szCs w:val="24"/>
          <w:u w:val="single"/>
        </w:rPr>
      </w:pPr>
      <w:r w:rsidRPr="00C05901">
        <w:rPr>
          <w:b/>
          <w:color w:val="000000" w:themeColor="text1"/>
          <w:sz w:val="28"/>
          <w:szCs w:val="24"/>
          <w:u w:val="single"/>
        </w:rPr>
        <w:t xml:space="preserve">Comparison of Existing Managed Care Plan Requirements and Preferred Requirement Standards for </w:t>
      </w:r>
      <w:r w:rsidR="005B6637" w:rsidRPr="00C05901">
        <w:rPr>
          <w:b/>
          <w:color w:val="000000" w:themeColor="text1"/>
          <w:sz w:val="28"/>
          <w:szCs w:val="24"/>
          <w:u w:val="single"/>
        </w:rPr>
        <w:t xml:space="preserve">Financial Alignment </w:t>
      </w:r>
      <w:r w:rsidRPr="00C05901">
        <w:rPr>
          <w:b/>
          <w:color w:val="000000" w:themeColor="text1"/>
          <w:sz w:val="28"/>
          <w:szCs w:val="24"/>
          <w:u w:val="single"/>
        </w:rPr>
        <w:t>Demonstration Plans</w:t>
      </w:r>
      <w:r w:rsidR="001A3CD6" w:rsidRPr="00C05901">
        <w:rPr>
          <w:b/>
          <w:color w:val="000000" w:themeColor="text1"/>
          <w:sz w:val="28"/>
          <w:szCs w:val="24"/>
          <w:u w:val="single"/>
        </w:rPr>
        <w:t xml:space="preserve"> Related to Network Adequacy</w:t>
      </w:r>
    </w:p>
    <w:p w14:paraId="3042D69D" w14:textId="77777777" w:rsidR="00E01533" w:rsidRPr="0099269F" w:rsidRDefault="00E01533" w:rsidP="00E01533">
      <w:pPr>
        <w:rPr>
          <w:b/>
          <w:color w:val="000000" w:themeColor="text1"/>
          <w:sz w:val="24"/>
          <w:szCs w:val="24"/>
        </w:rPr>
      </w:pPr>
    </w:p>
    <w:p w14:paraId="0F301E0E" w14:textId="77777777" w:rsidR="00E01533" w:rsidRPr="00C05901" w:rsidRDefault="00E01533" w:rsidP="00E01533">
      <w:pPr>
        <w:rPr>
          <w:rFonts w:ascii="Arial" w:hAnsi="Arial" w:cs="Arial"/>
          <w:color w:val="000000" w:themeColor="text1"/>
          <w:sz w:val="24"/>
          <w:szCs w:val="16"/>
        </w:rPr>
      </w:pPr>
      <w:r w:rsidRPr="00C05901">
        <w:rPr>
          <w:rFonts w:ascii="Arial" w:hAnsi="Arial" w:cs="Arial"/>
          <w:color w:val="000000" w:themeColor="text1"/>
          <w:sz w:val="24"/>
          <w:szCs w:val="16"/>
        </w:rPr>
        <w:t>The chart below adapts inf</w:t>
      </w:r>
      <w:r w:rsidR="00C05901">
        <w:rPr>
          <w:rFonts w:ascii="Arial" w:hAnsi="Arial" w:cs="Arial"/>
          <w:color w:val="000000" w:themeColor="text1"/>
          <w:sz w:val="24"/>
          <w:szCs w:val="16"/>
        </w:rPr>
        <w:t xml:space="preserve">ormation from the May 16, 2011 </w:t>
      </w:r>
      <w:r w:rsidRPr="00C05901">
        <w:rPr>
          <w:rFonts w:ascii="Arial" w:hAnsi="Arial" w:cs="Arial"/>
          <w:color w:val="000000" w:themeColor="text1"/>
          <w:sz w:val="24"/>
          <w:szCs w:val="16"/>
        </w:rPr>
        <w:t>Federal Register Notice, Vol. 76, No. 94, which outlined, among other items, key differences between Medicaid and Medicare managed care administration requirements. This chart also describes pre-</w:t>
      </w:r>
      <w:r w:rsidR="005B6637" w:rsidRPr="00C05901">
        <w:rPr>
          <w:rFonts w:ascii="Arial" w:hAnsi="Arial" w:cs="Arial"/>
          <w:color w:val="000000" w:themeColor="text1"/>
          <w:sz w:val="24"/>
          <w:szCs w:val="16"/>
        </w:rPr>
        <w:t>established</w:t>
      </w:r>
      <w:r w:rsidRPr="00C05901">
        <w:rPr>
          <w:rFonts w:ascii="Arial" w:hAnsi="Arial" w:cs="Arial"/>
          <w:color w:val="000000" w:themeColor="text1"/>
          <w:sz w:val="24"/>
          <w:szCs w:val="16"/>
        </w:rPr>
        <w:t xml:space="preserve"> parameters articulated in the July 8, 2011 Medicaid Director Letter, as well as MMCO’s position on preferred requirements for States and plans participating in the capitated model</w:t>
      </w:r>
      <w:r w:rsidR="00BC40C9" w:rsidRPr="00C05901">
        <w:rPr>
          <w:rFonts w:ascii="Arial" w:hAnsi="Arial" w:cs="Arial"/>
          <w:color w:val="000000" w:themeColor="text1"/>
          <w:sz w:val="24"/>
          <w:szCs w:val="16"/>
        </w:rPr>
        <w:t>,</w:t>
      </w:r>
      <w:r w:rsidRPr="00C05901">
        <w:rPr>
          <w:rFonts w:ascii="Arial" w:hAnsi="Arial" w:cs="Arial"/>
          <w:color w:val="000000" w:themeColor="text1"/>
          <w:sz w:val="24"/>
          <w:szCs w:val="16"/>
        </w:rPr>
        <w:t xml:space="preserve"> and authority needed to carry out this preferred position. </w:t>
      </w:r>
    </w:p>
    <w:tbl>
      <w:tblPr>
        <w:tblStyle w:val="TableGridLight"/>
        <w:tblpPr w:leftFromText="180" w:rightFromText="180" w:vertAnchor="text" w:horzAnchor="margin" w:tblpY="368"/>
        <w:tblW w:w="4963" w:type="pct"/>
        <w:tblLayout w:type="fixed"/>
        <w:tblLook w:val="00A0" w:firstRow="1" w:lastRow="0" w:firstColumn="1" w:lastColumn="0" w:noHBand="0" w:noVBand="0"/>
      </w:tblPr>
      <w:tblGrid>
        <w:gridCol w:w="2269"/>
        <w:gridCol w:w="4228"/>
        <w:gridCol w:w="4860"/>
        <w:gridCol w:w="1622"/>
        <w:gridCol w:w="1529"/>
      </w:tblGrid>
      <w:tr w:rsidR="00C05901" w:rsidRPr="00C05901" w14:paraId="0C09B7D5" w14:textId="77777777" w:rsidTr="00697C0C">
        <w:trPr>
          <w:trHeight w:val="710"/>
        </w:trPr>
        <w:tc>
          <w:tcPr>
            <w:tcW w:w="782" w:type="pct"/>
          </w:tcPr>
          <w:p w14:paraId="43FDAA78"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themeColor="text1"/>
                <w:sz w:val="22"/>
                <w:szCs w:val="22"/>
              </w:rPr>
            </w:pPr>
            <w:r w:rsidRPr="00C05901">
              <w:rPr>
                <w:rFonts w:ascii="Arial" w:hAnsi="Arial" w:cs="Arial"/>
                <w:b/>
                <w:bCs/>
                <w:color w:val="000000" w:themeColor="text1"/>
                <w:sz w:val="22"/>
                <w:szCs w:val="22"/>
              </w:rPr>
              <w:t>Federal Medicaid Requirements</w:t>
            </w:r>
          </w:p>
        </w:tc>
        <w:tc>
          <w:tcPr>
            <w:tcW w:w="1457" w:type="pct"/>
          </w:tcPr>
          <w:p w14:paraId="75819DF3"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themeColor="text1"/>
                <w:sz w:val="22"/>
                <w:szCs w:val="22"/>
              </w:rPr>
            </w:pPr>
            <w:r w:rsidRPr="00C05901">
              <w:rPr>
                <w:rFonts w:ascii="Arial" w:hAnsi="Arial" w:cs="Arial"/>
                <w:b/>
                <w:bCs/>
                <w:color w:val="000000" w:themeColor="text1"/>
                <w:sz w:val="22"/>
                <w:szCs w:val="22"/>
              </w:rPr>
              <w:t>Medicare Requirements</w:t>
            </w:r>
          </w:p>
        </w:tc>
        <w:tc>
          <w:tcPr>
            <w:tcW w:w="1675" w:type="pct"/>
          </w:tcPr>
          <w:p w14:paraId="089563C0"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themeColor="text1"/>
                <w:sz w:val="22"/>
                <w:szCs w:val="22"/>
              </w:rPr>
            </w:pPr>
            <w:r w:rsidRPr="00C05901">
              <w:rPr>
                <w:rFonts w:ascii="Arial" w:hAnsi="Arial" w:cs="Arial"/>
                <w:b/>
                <w:bCs/>
                <w:color w:val="000000" w:themeColor="text1"/>
                <w:sz w:val="22"/>
                <w:szCs w:val="22"/>
              </w:rPr>
              <w:t xml:space="preserve">Pre-Established Parameter and/or Preferred Requirement Standard </w:t>
            </w:r>
          </w:p>
        </w:tc>
        <w:tc>
          <w:tcPr>
            <w:tcW w:w="559" w:type="pct"/>
          </w:tcPr>
          <w:p w14:paraId="66206296"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themeColor="text1"/>
                <w:sz w:val="22"/>
                <w:szCs w:val="22"/>
              </w:rPr>
            </w:pPr>
            <w:r w:rsidRPr="00C05901">
              <w:rPr>
                <w:rFonts w:ascii="Arial" w:hAnsi="Arial" w:cs="Arial"/>
                <w:b/>
                <w:bCs/>
                <w:color w:val="000000" w:themeColor="text1"/>
                <w:sz w:val="22"/>
                <w:szCs w:val="22"/>
              </w:rPr>
              <w:t>Authority Needed to Implement Requirement</w:t>
            </w:r>
          </w:p>
        </w:tc>
        <w:tc>
          <w:tcPr>
            <w:tcW w:w="527" w:type="pct"/>
          </w:tcPr>
          <w:p w14:paraId="03730A49"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themeColor="text1"/>
                <w:sz w:val="22"/>
                <w:szCs w:val="22"/>
              </w:rPr>
            </w:pPr>
            <w:r w:rsidRPr="00C05901">
              <w:rPr>
                <w:rFonts w:ascii="Arial" w:hAnsi="Arial" w:cs="Arial"/>
                <w:b/>
                <w:bCs/>
                <w:color w:val="000000" w:themeColor="text1"/>
                <w:sz w:val="22"/>
                <w:szCs w:val="22"/>
              </w:rPr>
              <w:t>State-Specific Negotiated Standard</w:t>
            </w:r>
          </w:p>
          <w:p w14:paraId="6F5E344F"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themeColor="text1"/>
                <w:sz w:val="22"/>
                <w:szCs w:val="18"/>
              </w:rPr>
            </w:pPr>
            <w:r w:rsidRPr="00C05901">
              <w:rPr>
                <w:rFonts w:ascii="Arial" w:hAnsi="Arial" w:cs="Arial"/>
                <w:b/>
                <w:bCs/>
                <w:color w:val="000000" w:themeColor="text1"/>
                <w:sz w:val="22"/>
                <w:szCs w:val="18"/>
              </w:rPr>
              <w:t>(</w:t>
            </w:r>
            <w:r w:rsidRPr="00C05901">
              <w:rPr>
                <w:rFonts w:ascii="Arial" w:hAnsi="Arial" w:cs="Arial"/>
                <w:bCs/>
                <w:i/>
                <w:color w:val="000000" w:themeColor="text1"/>
                <w:sz w:val="22"/>
                <w:szCs w:val="18"/>
              </w:rPr>
              <w:t>To be jointly completed</w:t>
            </w:r>
            <w:r w:rsidRPr="00C05901">
              <w:rPr>
                <w:rFonts w:ascii="Arial" w:hAnsi="Arial" w:cs="Arial"/>
                <w:b/>
                <w:bCs/>
                <w:color w:val="000000" w:themeColor="text1"/>
                <w:sz w:val="22"/>
                <w:szCs w:val="18"/>
              </w:rPr>
              <w:t>)</w:t>
            </w:r>
          </w:p>
        </w:tc>
      </w:tr>
      <w:tr w:rsidR="00C05901" w:rsidRPr="00C05901" w14:paraId="46C62F48" w14:textId="77777777" w:rsidTr="00697C0C">
        <w:trPr>
          <w:trHeight w:val="1185"/>
        </w:trPr>
        <w:tc>
          <w:tcPr>
            <w:tcW w:w="782" w:type="pct"/>
          </w:tcPr>
          <w:p w14:paraId="6BDE270A"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 xml:space="preserve">Medicaid managed care contracts must require the plan gives assurances to the State and provides supporting documentation that demonstrates that it has the capacity to serve the expected enrollment in its service area in accordance with the State's standards for access to care. </w:t>
            </w:r>
          </w:p>
          <w:p w14:paraId="448CA178"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p w14:paraId="621B55BA"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 xml:space="preserve">Among other requirements, plans must maintain a network of providers that is sufficient in number, mix, and geographic distribution to meet </w:t>
            </w:r>
            <w:r w:rsidRPr="00C05901">
              <w:rPr>
                <w:rFonts w:ascii="Arial" w:hAnsi="Arial" w:cs="Arial"/>
                <w:color w:val="000000" w:themeColor="text1"/>
                <w:sz w:val="22"/>
                <w:szCs w:val="16"/>
              </w:rPr>
              <w:lastRenderedPageBreak/>
              <w:t>the needs of the anticipated number of enrollees in the service area.  42 CFR 438.207</w:t>
            </w:r>
          </w:p>
          <w:p w14:paraId="4DB4B84E"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tc>
        <w:tc>
          <w:tcPr>
            <w:tcW w:w="1457" w:type="pct"/>
          </w:tcPr>
          <w:p w14:paraId="290F6C38"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lastRenderedPageBreak/>
              <w:t>Medicare Advantage requires that plans must maintain and monitor a network of appropriate providers that is supported by written agreements and is sufficient to provide adequate access to covered services to meet the needs of the population served. These providers are typically used in the network as primary care providers (PCPs), specialists, hospitals, skilled nursing facilities, home health agencies, ambulatory clinics, and other providers.</w:t>
            </w:r>
          </w:p>
          <w:p w14:paraId="4FB758B0"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p w14:paraId="47D2488E"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 xml:space="preserve">Also, plans must provide or arrange for necessary specialty care. The MA organization arranges for specialty care outside of the plan provider network when network providers are unavailable or inadequate to meet an enrollee's medical needs.  42 CFR  422.112   </w:t>
            </w:r>
          </w:p>
          <w:p w14:paraId="693649A6"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p w14:paraId="62B44BE1" w14:textId="77777777" w:rsidR="00C05901" w:rsidRPr="00C05901" w:rsidRDefault="00C05901" w:rsidP="00343E6E">
            <w:pPr>
              <w:pStyle w:val="Default"/>
              <w:overflowPunct w:val="0"/>
              <w:textAlignment w:val="baseline"/>
              <w:rPr>
                <w:rFonts w:ascii="Arial" w:hAnsi="Arial" w:cs="Arial"/>
                <w:color w:val="000000" w:themeColor="text1"/>
                <w:sz w:val="22"/>
                <w:szCs w:val="16"/>
              </w:rPr>
            </w:pPr>
            <w:r w:rsidRPr="00C05901">
              <w:rPr>
                <w:rFonts w:ascii="Arial" w:hAnsi="Arial" w:cs="Arial"/>
                <w:b/>
                <w:bCs/>
                <w:color w:val="000000" w:themeColor="text1"/>
                <w:sz w:val="22"/>
                <w:szCs w:val="16"/>
              </w:rPr>
              <w:t xml:space="preserve">Exceptions to the Criteria </w:t>
            </w:r>
          </w:p>
          <w:p w14:paraId="39CFEA21"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 xml:space="preserve">CMS recognizes that in certain cases, an applicant’s contracted network may not </w:t>
            </w:r>
            <w:r w:rsidRPr="00C05901">
              <w:rPr>
                <w:rFonts w:ascii="Arial" w:hAnsi="Arial" w:cs="Arial"/>
                <w:color w:val="000000" w:themeColor="text1"/>
                <w:sz w:val="22"/>
                <w:szCs w:val="16"/>
              </w:rPr>
              <w:lastRenderedPageBreak/>
              <w:t>meet the provider network adequacy criteria. In such cases, the applicant may request an exception, from a pre-defined list created by CMS, for a specific provider/facility type in a specific county. These exceptions are detailed in the CMS Health Services Delivery Tables Exceptions Guidance.</w:t>
            </w:r>
          </w:p>
          <w:p w14:paraId="7855C356"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p w14:paraId="0D33A1CC"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 xml:space="preserve">Plans must have a contracted pharmacy network that assures convenient access to network pharmacies, including retail, home infusion, long-term care, and I/T/U pharmacies.  42 CFR 423.120   </w:t>
            </w:r>
          </w:p>
        </w:tc>
        <w:tc>
          <w:tcPr>
            <w:tcW w:w="1675" w:type="pct"/>
          </w:tcPr>
          <w:p w14:paraId="10D2C3CA"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b/>
                <w:color w:val="000000" w:themeColor="text1"/>
                <w:sz w:val="22"/>
                <w:szCs w:val="16"/>
              </w:rPr>
              <w:lastRenderedPageBreak/>
              <w:t xml:space="preserve">Preferred Requirement Standard: </w:t>
            </w:r>
            <w:r w:rsidRPr="00C05901">
              <w:rPr>
                <w:rFonts w:ascii="Arial" w:hAnsi="Arial" w:cs="Arial"/>
                <w:color w:val="000000" w:themeColor="text1"/>
                <w:sz w:val="22"/>
                <w:szCs w:val="16"/>
              </w:rPr>
              <w:t>Use State Medicaid standards for long term care networks and use Medicare standards for medical services and prescription drugs.</w:t>
            </w:r>
          </w:p>
          <w:p w14:paraId="00ADC419"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p w14:paraId="2548B0E6"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 xml:space="preserve">Demonstration plans will be able to utilize an exceptions process in areas where Medicare network standards may not reflect the number of dual eligible beneficiaries. Plans will be required to use Medicare network adequacy standards and review processes during plan selection process and network adequacy will be subject to confirmation through readiness reviews. </w:t>
            </w:r>
          </w:p>
          <w:p w14:paraId="70B73BC6"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p w14:paraId="407D0691"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 xml:space="preserve">For areas of overlap where services are covered under both Medicaid and Medicare, the appropriate network adequacy standard will be determined via MOU negotiation and memorialized in three-way contracts with health plans, so long as such requirements result in a network of providers that is sufficient in number, mix, and geographic distribution to meet the needs of the anticipated number of </w:t>
            </w:r>
            <w:r w:rsidRPr="00C05901">
              <w:rPr>
                <w:rFonts w:ascii="Arial" w:hAnsi="Arial" w:cs="Arial"/>
                <w:color w:val="000000" w:themeColor="text1"/>
                <w:sz w:val="22"/>
                <w:szCs w:val="16"/>
              </w:rPr>
              <w:lastRenderedPageBreak/>
              <w:t>enrollees in the service area.</w:t>
            </w:r>
          </w:p>
          <w:p w14:paraId="1771ACA3"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7EF8B962"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t>Note:  Part D requirements will continue to be applied; see #3 for details.</w:t>
            </w:r>
          </w:p>
          <w:p w14:paraId="26ECF271"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6B1DAD0B"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6C847096"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2FE0126B"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422F6A50"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300E57EE"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31500946"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668084AA"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6B6E5D79"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0404E47F"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4ABE813A"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0970648B"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37CDCD23"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6D438ABC"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532E3207"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2E420764"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362260CB"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p w14:paraId="5FE820F0"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tc>
        <w:tc>
          <w:tcPr>
            <w:tcW w:w="559" w:type="pct"/>
          </w:tcPr>
          <w:p w14:paraId="6744852E"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r w:rsidRPr="00C05901">
              <w:rPr>
                <w:rFonts w:ascii="Arial" w:hAnsi="Arial" w:cs="Arial"/>
                <w:color w:val="000000" w:themeColor="text1"/>
                <w:sz w:val="22"/>
                <w:szCs w:val="16"/>
              </w:rPr>
              <w:lastRenderedPageBreak/>
              <w:t>MA deadline to have demonstrated network adequacy may need to be extended consistent with the plan selection process in the demonstration.</w:t>
            </w:r>
          </w:p>
          <w:p w14:paraId="4AB6286D"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2"/>
                <w:szCs w:val="16"/>
              </w:rPr>
            </w:pPr>
          </w:p>
        </w:tc>
        <w:tc>
          <w:tcPr>
            <w:tcW w:w="527" w:type="pct"/>
          </w:tcPr>
          <w:p w14:paraId="4939BAF5" w14:textId="77777777" w:rsidR="00C05901" w:rsidRPr="00C05901" w:rsidRDefault="00C05901" w:rsidP="00343E6E">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2"/>
                <w:szCs w:val="16"/>
              </w:rPr>
            </w:pPr>
          </w:p>
        </w:tc>
      </w:tr>
    </w:tbl>
    <w:p w14:paraId="3C10B4AC" w14:textId="77777777" w:rsidR="00E01533" w:rsidRDefault="00E01533" w:rsidP="0082680B">
      <w:pPr>
        <w:rPr>
          <w:sz w:val="24"/>
          <w:szCs w:val="24"/>
        </w:rPr>
      </w:pPr>
    </w:p>
    <w:sectPr w:rsidR="00E01533" w:rsidSect="00C05901">
      <w:headerReference w:type="default" r:id="rId12"/>
      <w:footerReference w:type="default" r:id="rId13"/>
      <w:pgSz w:w="15840" w:h="12240" w:orient="landscape" w:code="1"/>
      <w:pgMar w:top="576" w:right="720" w:bottom="576" w:left="720" w:header="36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DC6DF" w14:textId="77777777" w:rsidR="00551BB6" w:rsidRDefault="00551BB6">
      <w:r>
        <w:separator/>
      </w:r>
    </w:p>
  </w:endnote>
  <w:endnote w:type="continuationSeparator" w:id="0">
    <w:p w14:paraId="54D0DAB6" w14:textId="77777777" w:rsidR="00551BB6" w:rsidRDefault="005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3FD1" w14:textId="77777777" w:rsidR="008D3A40" w:rsidRDefault="008D3A40" w:rsidP="00C333F6">
    <w:pPr>
      <w:rPr>
        <w:i/>
      </w:rPr>
    </w:pPr>
  </w:p>
  <w:p w14:paraId="27522013" w14:textId="77777777" w:rsidR="008D3A40" w:rsidRDefault="008D3A40">
    <w:pPr>
      <w:pStyle w:val="Footer"/>
    </w:pPr>
    <w:r>
      <w:tab/>
    </w:r>
    <w:r>
      <w:tab/>
    </w:r>
    <w:r>
      <w:tab/>
    </w:r>
    <w:r>
      <w:tab/>
    </w:r>
    <w:r>
      <w:tab/>
    </w:r>
    <w:r>
      <w:tab/>
    </w:r>
    <w:r>
      <w:tab/>
    </w:r>
    <w:r>
      <w:tab/>
    </w:r>
    <w:r w:rsidR="00485466">
      <w:rPr>
        <w:rStyle w:val="PageNumber"/>
      </w:rPr>
      <w:fldChar w:fldCharType="begin"/>
    </w:r>
    <w:r>
      <w:rPr>
        <w:rStyle w:val="PageNumber"/>
      </w:rPr>
      <w:instrText xml:space="preserve"> PAGE </w:instrText>
    </w:r>
    <w:r w:rsidR="00485466">
      <w:rPr>
        <w:rStyle w:val="PageNumber"/>
      </w:rPr>
      <w:fldChar w:fldCharType="separate"/>
    </w:r>
    <w:r w:rsidR="00C32DEA">
      <w:rPr>
        <w:rStyle w:val="PageNumber"/>
        <w:noProof/>
      </w:rPr>
      <w:t>2</w:t>
    </w:r>
    <w:r w:rsidR="0048546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73B2A" w14:textId="77777777" w:rsidR="00551BB6" w:rsidRDefault="00551BB6">
      <w:r>
        <w:separator/>
      </w:r>
    </w:p>
  </w:footnote>
  <w:footnote w:type="continuationSeparator" w:id="0">
    <w:p w14:paraId="47EE1588" w14:textId="77777777" w:rsidR="00551BB6" w:rsidRDefault="005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04E98" w14:textId="77777777" w:rsidR="004E00D5" w:rsidRDefault="004E00D5" w:rsidP="004E00D5">
    <w:pPr>
      <w:pStyle w:val="Header"/>
      <w:jc w:val="right"/>
      <w:rPr>
        <w:b/>
      </w:rPr>
    </w:pPr>
    <w:r>
      <w:rPr>
        <w:b/>
      </w:rPr>
      <w:t>For Informational Purposes Only</w:t>
    </w:r>
  </w:p>
  <w:p w14:paraId="40240C30" w14:textId="77777777" w:rsidR="006D02B0" w:rsidRDefault="006D02B0" w:rsidP="004E00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9"/>
    <w:multiLevelType w:val="hybridMultilevel"/>
    <w:tmpl w:val="2FD6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7BE1"/>
    <w:multiLevelType w:val="hybridMultilevel"/>
    <w:tmpl w:val="C50C03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D95540"/>
    <w:multiLevelType w:val="hybridMultilevel"/>
    <w:tmpl w:val="E200BD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561F74"/>
    <w:multiLevelType w:val="hybridMultilevel"/>
    <w:tmpl w:val="3F26EE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4B2D8D"/>
    <w:multiLevelType w:val="hybridMultilevel"/>
    <w:tmpl w:val="8D2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571EA"/>
    <w:multiLevelType w:val="hybridMultilevel"/>
    <w:tmpl w:val="D15C55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B659BF"/>
    <w:multiLevelType w:val="hybridMultilevel"/>
    <w:tmpl w:val="D7986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0BC22A9"/>
    <w:multiLevelType w:val="multilevel"/>
    <w:tmpl w:val="B6E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07568"/>
    <w:multiLevelType w:val="hybridMultilevel"/>
    <w:tmpl w:val="EEA00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051DF"/>
    <w:multiLevelType w:val="hybridMultilevel"/>
    <w:tmpl w:val="7A163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4523DE"/>
    <w:multiLevelType w:val="hybridMultilevel"/>
    <w:tmpl w:val="6B1CA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239AD"/>
    <w:multiLevelType w:val="hybridMultilevel"/>
    <w:tmpl w:val="E4645040"/>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92F58B1"/>
    <w:multiLevelType w:val="hybridMultilevel"/>
    <w:tmpl w:val="B5FAD8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11062B"/>
    <w:multiLevelType w:val="hybridMultilevel"/>
    <w:tmpl w:val="2ED61D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E491AEA"/>
    <w:multiLevelType w:val="hybridMultilevel"/>
    <w:tmpl w:val="2D325262"/>
    <w:lvl w:ilvl="0" w:tplc="7D12816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390"/>
    <w:multiLevelType w:val="hybridMultilevel"/>
    <w:tmpl w:val="03006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E92BCC"/>
    <w:multiLevelType w:val="hybridMultilevel"/>
    <w:tmpl w:val="47DAEA12"/>
    <w:lvl w:ilvl="0" w:tplc="070E2120">
      <w:start w:val="1"/>
      <w:numFmt w:val="decimal"/>
      <w:lvlText w:val="%1."/>
      <w:lvlJc w:val="left"/>
      <w:pPr>
        <w:ind w:left="3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88815EB"/>
    <w:multiLevelType w:val="hybridMultilevel"/>
    <w:tmpl w:val="02EED2F2"/>
    <w:lvl w:ilvl="0" w:tplc="F61E7D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B4522E2"/>
    <w:multiLevelType w:val="hybridMultilevel"/>
    <w:tmpl w:val="704ECC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BC84BFE"/>
    <w:multiLevelType w:val="hybridMultilevel"/>
    <w:tmpl w:val="2966B7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FCC5EEA"/>
    <w:multiLevelType w:val="hybridMultilevel"/>
    <w:tmpl w:val="E9E483C4"/>
    <w:lvl w:ilvl="0" w:tplc="C7EA104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D7C0C12"/>
    <w:multiLevelType w:val="hybridMultilevel"/>
    <w:tmpl w:val="A0F457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139FF"/>
    <w:multiLevelType w:val="hybridMultilevel"/>
    <w:tmpl w:val="9EB872BC"/>
    <w:lvl w:ilvl="0" w:tplc="F61E7D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95223F1"/>
    <w:multiLevelType w:val="hybridMultilevel"/>
    <w:tmpl w:val="1E6091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BB1185"/>
    <w:multiLevelType w:val="hybridMultilevel"/>
    <w:tmpl w:val="A47CB606"/>
    <w:lvl w:ilvl="0" w:tplc="D326EA2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9F018B"/>
    <w:multiLevelType w:val="hybridMultilevel"/>
    <w:tmpl w:val="358211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DB55BA4"/>
    <w:multiLevelType w:val="hybridMultilevel"/>
    <w:tmpl w:val="B5CCE3C8"/>
    <w:lvl w:ilvl="0" w:tplc="F960917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4ED8089C"/>
    <w:multiLevelType w:val="hybridMultilevel"/>
    <w:tmpl w:val="DD6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E0C8D"/>
    <w:multiLevelType w:val="hybridMultilevel"/>
    <w:tmpl w:val="091A8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27239"/>
    <w:multiLevelType w:val="hybridMultilevel"/>
    <w:tmpl w:val="75EC4BC6"/>
    <w:lvl w:ilvl="0" w:tplc="04B60EA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51E871BD"/>
    <w:multiLevelType w:val="hybridMultilevel"/>
    <w:tmpl w:val="D9EE16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53AC3363"/>
    <w:multiLevelType w:val="hybridMultilevel"/>
    <w:tmpl w:val="49387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B7592"/>
    <w:multiLevelType w:val="hybridMultilevel"/>
    <w:tmpl w:val="7E5C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11DC3"/>
    <w:multiLevelType w:val="hybridMultilevel"/>
    <w:tmpl w:val="7892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536B7"/>
    <w:multiLevelType w:val="hybridMultilevel"/>
    <w:tmpl w:val="CD64FA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C2D52AE"/>
    <w:multiLevelType w:val="hybridMultilevel"/>
    <w:tmpl w:val="7FC4FB2A"/>
    <w:lvl w:ilvl="0" w:tplc="B8D8D448">
      <w:start w:val="4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D1634EF"/>
    <w:multiLevelType w:val="hybridMultilevel"/>
    <w:tmpl w:val="26CA9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D39783B"/>
    <w:multiLevelType w:val="hybridMultilevel"/>
    <w:tmpl w:val="B9125580"/>
    <w:lvl w:ilvl="0" w:tplc="FAC0267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76543C9F"/>
    <w:multiLevelType w:val="multilevel"/>
    <w:tmpl w:val="A21E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40FE1"/>
    <w:multiLevelType w:val="hybridMultilevel"/>
    <w:tmpl w:val="3F26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66791"/>
    <w:multiLevelType w:val="hybridMultilevel"/>
    <w:tmpl w:val="F676B7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AB30482"/>
    <w:multiLevelType w:val="hybridMultilevel"/>
    <w:tmpl w:val="D340F6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D8A6EEA"/>
    <w:multiLevelType w:val="hybridMultilevel"/>
    <w:tmpl w:val="8B4C5B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F0B1EA8"/>
    <w:multiLevelType w:val="hybridMultilevel"/>
    <w:tmpl w:val="7D464C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8"/>
  </w:num>
  <w:num w:numId="2">
    <w:abstractNumId w:val="7"/>
  </w:num>
  <w:num w:numId="3">
    <w:abstractNumId w:val="9"/>
  </w:num>
  <w:num w:numId="4">
    <w:abstractNumId w:val="21"/>
  </w:num>
  <w:num w:numId="5">
    <w:abstractNumId w:val="4"/>
  </w:num>
  <w:num w:numId="6">
    <w:abstractNumId w:val="19"/>
  </w:num>
  <w:num w:numId="7">
    <w:abstractNumId w:val="29"/>
  </w:num>
  <w:num w:numId="8">
    <w:abstractNumId w:val="20"/>
  </w:num>
  <w:num w:numId="9">
    <w:abstractNumId w:val="11"/>
  </w:num>
  <w:num w:numId="10">
    <w:abstractNumId w:val="12"/>
  </w:num>
  <w:num w:numId="11">
    <w:abstractNumId w:val="34"/>
  </w:num>
  <w:num w:numId="12">
    <w:abstractNumId w:val="24"/>
  </w:num>
  <w:num w:numId="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42"/>
  </w:num>
  <w:num w:numId="18">
    <w:abstractNumId w:val="5"/>
  </w:num>
  <w:num w:numId="19">
    <w:abstractNumId w:val="3"/>
  </w:num>
  <w:num w:numId="20">
    <w:abstractNumId w:val="1"/>
  </w:num>
  <w:num w:numId="21">
    <w:abstractNumId w:val="2"/>
  </w:num>
  <w:num w:numId="22">
    <w:abstractNumId w:val="17"/>
  </w:num>
  <w:num w:numId="23">
    <w:abstractNumId w:val="43"/>
  </w:num>
  <w:num w:numId="24">
    <w:abstractNumId w:val="37"/>
  </w:num>
  <w:num w:numId="25">
    <w:abstractNumId w:val="25"/>
  </w:num>
  <w:num w:numId="26">
    <w:abstractNumId w:val="16"/>
  </w:num>
  <w:num w:numId="27">
    <w:abstractNumId w:val="18"/>
  </w:num>
  <w:num w:numId="28">
    <w:abstractNumId w:val="31"/>
  </w:num>
  <w:num w:numId="29">
    <w:abstractNumId w:val="10"/>
  </w:num>
  <w:num w:numId="30">
    <w:abstractNumId w:val="13"/>
  </w:num>
  <w:num w:numId="31">
    <w:abstractNumId w:val="35"/>
  </w:num>
  <w:num w:numId="32">
    <w:abstractNumId w:val="14"/>
  </w:num>
  <w:num w:numId="33">
    <w:abstractNumId w:val="27"/>
  </w:num>
  <w:num w:numId="34">
    <w:abstractNumId w:val="15"/>
  </w:num>
  <w:num w:numId="35">
    <w:abstractNumId w:val="23"/>
  </w:num>
  <w:num w:numId="36">
    <w:abstractNumId w:val="40"/>
  </w:num>
  <w:num w:numId="37">
    <w:abstractNumId w:val="22"/>
  </w:num>
  <w:num w:numId="38">
    <w:abstractNumId w:val="8"/>
  </w:num>
  <w:num w:numId="39">
    <w:abstractNumId w:val="33"/>
  </w:num>
  <w:num w:numId="40">
    <w:abstractNumId w:val="32"/>
  </w:num>
  <w:num w:numId="41">
    <w:abstractNumId w:val="39"/>
  </w:num>
  <w:num w:numId="42">
    <w:abstractNumId w:val="28"/>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409"/>
    <w:rsid w:val="00002162"/>
    <w:rsid w:val="00006509"/>
    <w:rsid w:val="00020A27"/>
    <w:rsid w:val="000240FE"/>
    <w:rsid w:val="00025FA6"/>
    <w:rsid w:val="000265AD"/>
    <w:rsid w:val="00030FF1"/>
    <w:rsid w:val="00033356"/>
    <w:rsid w:val="00035D7D"/>
    <w:rsid w:val="000417C6"/>
    <w:rsid w:val="00042893"/>
    <w:rsid w:val="00042BC6"/>
    <w:rsid w:val="000560DC"/>
    <w:rsid w:val="00057329"/>
    <w:rsid w:val="0006251D"/>
    <w:rsid w:val="00063482"/>
    <w:rsid w:val="00066866"/>
    <w:rsid w:val="00066E82"/>
    <w:rsid w:val="00073D82"/>
    <w:rsid w:val="000740E8"/>
    <w:rsid w:val="00076A74"/>
    <w:rsid w:val="000809C9"/>
    <w:rsid w:val="00086CF9"/>
    <w:rsid w:val="00090D09"/>
    <w:rsid w:val="00090D7D"/>
    <w:rsid w:val="000B31BC"/>
    <w:rsid w:val="000B621E"/>
    <w:rsid w:val="000B7C49"/>
    <w:rsid w:val="000C05B3"/>
    <w:rsid w:val="000D6105"/>
    <w:rsid w:val="000D6860"/>
    <w:rsid w:val="000E28E6"/>
    <w:rsid w:val="000E4590"/>
    <w:rsid w:val="000F2689"/>
    <w:rsid w:val="000F2FBA"/>
    <w:rsid w:val="000F311C"/>
    <w:rsid w:val="00101D1C"/>
    <w:rsid w:val="001110B1"/>
    <w:rsid w:val="0011273C"/>
    <w:rsid w:val="00125856"/>
    <w:rsid w:val="00136180"/>
    <w:rsid w:val="001408E9"/>
    <w:rsid w:val="0015536B"/>
    <w:rsid w:val="00162769"/>
    <w:rsid w:val="00165DB1"/>
    <w:rsid w:val="00167BD6"/>
    <w:rsid w:val="00172E0E"/>
    <w:rsid w:val="001764BE"/>
    <w:rsid w:val="0017751C"/>
    <w:rsid w:val="001858DB"/>
    <w:rsid w:val="00185A43"/>
    <w:rsid w:val="00191CA4"/>
    <w:rsid w:val="001939F3"/>
    <w:rsid w:val="001971C8"/>
    <w:rsid w:val="001A33D4"/>
    <w:rsid w:val="001A3CD6"/>
    <w:rsid w:val="001B6A80"/>
    <w:rsid w:val="001C1BD3"/>
    <w:rsid w:val="001E7CE7"/>
    <w:rsid w:val="001F1A91"/>
    <w:rsid w:val="001F3F26"/>
    <w:rsid w:val="001F640A"/>
    <w:rsid w:val="001F7F1B"/>
    <w:rsid w:val="00200ECB"/>
    <w:rsid w:val="002053D9"/>
    <w:rsid w:val="0020598B"/>
    <w:rsid w:val="0020768F"/>
    <w:rsid w:val="00207E6E"/>
    <w:rsid w:val="002239A1"/>
    <w:rsid w:val="00226F82"/>
    <w:rsid w:val="002352BC"/>
    <w:rsid w:val="0023664D"/>
    <w:rsid w:val="0023779D"/>
    <w:rsid w:val="00243B84"/>
    <w:rsid w:val="00243ECD"/>
    <w:rsid w:val="00244BCB"/>
    <w:rsid w:val="00255172"/>
    <w:rsid w:val="00261B94"/>
    <w:rsid w:val="0027023D"/>
    <w:rsid w:val="00271510"/>
    <w:rsid w:val="00272FA7"/>
    <w:rsid w:val="0028185A"/>
    <w:rsid w:val="0028207A"/>
    <w:rsid w:val="00284BB4"/>
    <w:rsid w:val="00284D8B"/>
    <w:rsid w:val="0029056F"/>
    <w:rsid w:val="0029791E"/>
    <w:rsid w:val="002A0F79"/>
    <w:rsid w:val="002A1EF4"/>
    <w:rsid w:val="002A5D8F"/>
    <w:rsid w:val="002A6B12"/>
    <w:rsid w:val="002B4D52"/>
    <w:rsid w:val="002B5602"/>
    <w:rsid w:val="002C2ABA"/>
    <w:rsid w:val="002C416A"/>
    <w:rsid w:val="002E5EA8"/>
    <w:rsid w:val="002F17D4"/>
    <w:rsid w:val="003011CA"/>
    <w:rsid w:val="0031429D"/>
    <w:rsid w:val="003162EC"/>
    <w:rsid w:val="003174A9"/>
    <w:rsid w:val="00321E04"/>
    <w:rsid w:val="00322735"/>
    <w:rsid w:val="00323C80"/>
    <w:rsid w:val="00324191"/>
    <w:rsid w:val="003304A0"/>
    <w:rsid w:val="00331780"/>
    <w:rsid w:val="00332893"/>
    <w:rsid w:val="00337A7D"/>
    <w:rsid w:val="003411DF"/>
    <w:rsid w:val="00343E6E"/>
    <w:rsid w:val="00346317"/>
    <w:rsid w:val="00357035"/>
    <w:rsid w:val="0035743F"/>
    <w:rsid w:val="00365964"/>
    <w:rsid w:val="00370490"/>
    <w:rsid w:val="00371B77"/>
    <w:rsid w:val="003739AB"/>
    <w:rsid w:val="003758CB"/>
    <w:rsid w:val="00376539"/>
    <w:rsid w:val="00383BB0"/>
    <w:rsid w:val="0038579F"/>
    <w:rsid w:val="00396BEA"/>
    <w:rsid w:val="003A0A52"/>
    <w:rsid w:val="003A4BA3"/>
    <w:rsid w:val="003A51BB"/>
    <w:rsid w:val="003A7051"/>
    <w:rsid w:val="003A77FE"/>
    <w:rsid w:val="003B4DE5"/>
    <w:rsid w:val="003B50C1"/>
    <w:rsid w:val="003B5101"/>
    <w:rsid w:val="003B6C15"/>
    <w:rsid w:val="003D6AA5"/>
    <w:rsid w:val="003D7954"/>
    <w:rsid w:val="003E3013"/>
    <w:rsid w:val="003E3ED8"/>
    <w:rsid w:val="003E46F4"/>
    <w:rsid w:val="003E4F0E"/>
    <w:rsid w:val="003E507B"/>
    <w:rsid w:val="003E6951"/>
    <w:rsid w:val="003F23B3"/>
    <w:rsid w:val="003F276B"/>
    <w:rsid w:val="003F3925"/>
    <w:rsid w:val="003F7EE6"/>
    <w:rsid w:val="00412221"/>
    <w:rsid w:val="00412C6C"/>
    <w:rsid w:val="00413A5B"/>
    <w:rsid w:val="00427819"/>
    <w:rsid w:val="00437A01"/>
    <w:rsid w:val="00437D90"/>
    <w:rsid w:val="00445CB4"/>
    <w:rsid w:val="0045278E"/>
    <w:rsid w:val="00460C3C"/>
    <w:rsid w:val="00461003"/>
    <w:rsid w:val="00465956"/>
    <w:rsid w:val="0047075E"/>
    <w:rsid w:val="00474C9D"/>
    <w:rsid w:val="00476A72"/>
    <w:rsid w:val="00484641"/>
    <w:rsid w:val="00485466"/>
    <w:rsid w:val="00492CDC"/>
    <w:rsid w:val="00492D0A"/>
    <w:rsid w:val="00493244"/>
    <w:rsid w:val="00494A11"/>
    <w:rsid w:val="004A0C94"/>
    <w:rsid w:val="004B1336"/>
    <w:rsid w:val="004B6893"/>
    <w:rsid w:val="004C0576"/>
    <w:rsid w:val="004C5732"/>
    <w:rsid w:val="004C67A5"/>
    <w:rsid w:val="004C7048"/>
    <w:rsid w:val="004C7B46"/>
    <w:rsid w:val="004D2F15"/>
    <w:rsid w:val="004D411F"/>
    <w:rsid w:val="004D6F73"/>
    <w:rsid w:val="004E00D5"/>
    <w:rsid w:val="004E6685"/>
    <w:rsid w:val="004E797D"/>
    <w:rsid w:val="004F0C12"/>
    <w:rsid w:val="004F1377"/>
    <w:rsid w:val="004F1428"/>
    <w:rsid w:val="004F22C6"/>
    <w:rsid w:val="005002FA"/>
    <w:rsid w:val="00505201"/>
    <w:rsid w:val="00506C24"/>
    <w:rsid w:val="00511444"/>
    <w:rsid w:val="00512A00"/>
    <w:rsid w:val="005163AC"/>
    <w:rsid w:val="0053443F"/>
    <w:rsid w:val="0053569C"/>
    <w:rsid w:val="00541514"/>
    <w:rsid w:val="005427CB"/>
    <w:rsid w:val="00543E15"/>
    <w:rsid w:val="00551BB6"/>
    <w:rsid w:val="00560FBE"/>
    <w:rsid w:val="005616C3"/>
    <w:rsid w:val="005651FD"/>
    <w:rsid w:val="005663C2"/>
    <w:rsid w:val="00566679"/>
    <w:rsid w:val="00571EB3"/>
    <w:rsid w:val="005736E8"/>
    <w:rsid w:val="005763E8"/>
    <w:rsid w:val="005769F1"/>
    <w:rsid w:val="00583AF0"/>
    <w:rsid w:val="00591D21"/>
    <w:rsid w:val="00592AA2"/>
    <w:rsid w:val="005937D9"/>
    <w:rsid w:val="005962E4"/>
    <w:rsid w:val="005A3CD2"/>
    <w:rsid w:val="005A75F4"/>
    <w:rsid w:val="005B1B71"/>
    <w:rsid w:val="005B3793"/>
    <w:rsid w:val="005B6637"/>
    <w:rsid w:val="005D1409"/>
    <w:rsid w:val="005D2479"/>
    <w:rsid w:val="005D3769"/>
    <w:rsid w:val="005D5BAF"/>
    <w:rsid w:val="005E4DDD"/>
    <w:rsid w:val="005E6669"/>
    <w:rsid w:val="005F21C6"/>
    <w:rsid w:val="005F5447"/>
    <w:rsid w:val="00601CB6"/>
    <w:rsid w:val="00606CFB"/>
    <w:rsid w:val="006120E5"/>
    <w:rsid w:val="00612A69"/>
    <w:rsid w:val="00615B77"/>
    <w:rsid w:val="00617536"/>
    <w:rsid w:val="00617A16"/>
    <w:rsid w:val="0062160B"/>
    <w:rsid w:val="00622D28"/>
    <w:rsid w:val="006233C6"/>
    <w:rsid w:val="006278FD"/>
    <w:rsid w:val="00630B03"/>
    <w:rsid w:val="00631BCB"/>
    <w:rsid w:val="00636D6A"/>
    <w:rsid w:val="00636F21"/>
    <w:rsid w:val="00646429"/>
    <w:rsid w:val="0064726F"/>
    <w:rsid w:val="006506F0"/>
    <w:rsid w:val="00655CA5"/>
    <w:rsid w:val="00656569"/>
    <w:rsid w:val="006625A3"/>
    <w:rsid w:val="006656A4"/>
    <w:rsid w:val="00667124"/>
    <w:rsid w:val="00667832"/>
    <w:rsid w:val="00667DDD"/>
    <w:rsid w:val="00670B2B"/>
    <w:rsid w:val="006748C4"/>
    <w:rsid w:val="00677165"/>
    <w:rsid w:val="0068111F"/>
    <w:rsid w:val="00687639"/>
    <w:rsid w:val="00693716"/>
    <w:rsid w:val="00697C0C"/>
    <w:rsid w:val="006A0305"/>
    <w:rsid w:val="006A4C2A"/>
    <w:rsid w:val="006B3B08"/>
    <w:rsid w:val="006B547C"/>
    <w:rsid w:val="006C4845"/>
    <w:rsid w:val="006C7DA4"/>
    <w:rsid w:val="006D02B0"/>
    <w:rsid w:val="006D194C"/>
    <w:rsid w:val="006E0A06"/>
    <w:rsid w:val="006F5F4C"/>
    <w:rsid w:val="007014EF"/>
    <w:rsid w:val="007036BC"/>
    <w:rsid w:val="007061DD"/>
    <w:rsid w:val="007128E2"/>
    <w:rsid w:val="007155FC"/>
    <w:rsid w:val="00716A74"/>
    <w:rsid w:val="00730124"/>
    <w:rsid w:val="007344C3"/>
    <w:rsid w:val="00735F33"/>
    <w:rsid w:val="00747708"/>
    <w:rsid w:val="00751301"/>
    <w:rsid w:val="00751519"/>
    <w:rsid w:val="00751637"/>
    <w:rsid w:val="007539EC"/>
    <w:rsid w:val="0075587C"/>
    <w:rsid w:val="00757A73"/>
    <w:rsid w:val="007612C5"/>
    <w:rsid w:val="00762380"/>
    <w:rsid w:val="007633CC"/>
    <w:rsid w:val="007661ED"/>
    <w:rsid w:val="00767355"/>
    <w:rsid w:val="00771236"/>
    <w:rsid w:val="007728EC"/>
    <w:rsid w:val="00773B3D"/>
    <w:rsid w:val="0077558B"/>
    <w:rsid w:val="0078025E"/>
    <w:rsid w:val="007818EF"/>
    <w:rsid w:val="00781A88"/>
    <w:rsid w:val="007835D5"/>
    <w:rsid w:val="007837D8"/>
    <w:rsid w:val="00791AE5"/>
    <w:rsid w:val="00791B78"/>
    <w:rsid w:val="00795629"/>
    <w:rsid w:val="007A1434"/>
    <w:rsid w:val="007A5329"/>
    <w:rsid w:val="007A587E"/>
    <w:rsid w:val="007B08C8"/>
    <w:rsid w:val="007C0E4B"/>
    <w:rsid w:val="007C3E5A"/>
    <w:rsid w:val="007C61B6"/>
    <w:rsid w:val="007D0DEE"/>
    <w:rsid w:val="007D1D49"/>
    <w:rsid w:val="007D2733"/>
    <w:rsid w:val="007D3169"/>
    <w:rsid w:val="007E3D7C"/>
    <w:rsid w:val="007E470B"/>
    <w:rsid w:val="007E5DE5"/>
    <w:rsid w:val="007E633A"/>
    <w:rsid w:val="007F72EB"/>
    <w:rsid w:val="00800C25"/>
    <w:rsid w:val="008018AF"/>
    <w:rsid w:val="00802343"/>
    <w:rsid w:val="00806E53"/>
    <w:rsid w:val="00815819"/>
    <w:rsid w:val="008166B8"/>
    <w:rsid w:val="00821D87"/>
    <w:rsid w:val="00821E91"/>
    <w:rsid w:val="0082680B"/>
    <w:rsid w:val="008370F3"/>
    <w:rsid w:val="00841A61"/>
    <w:rsid w:val="00846143"/>
    <w:rsid w:val="00847238"/>
    <w:rsid w:val="00850715"/>
    <w:rsid w:val="00853A44"/>
    <w:rsid w:val="008542DA"/>
    <w:rsid w:val="00861D21"/>
    <w:rsid w:val="00882274"/>
    <w:rsid w:val="00883B35"/>
    <w:rsid w:val="008864F4"/>
    <w:rsid w:val="008949FE"/>
    <w:rsid w:val="00894D79"/>
    <w:rsid w:val="00897C43"/>
    <w:rsid w:val="008A0676"/>
    <w:rsid w:val="008A17FD"/>
    <w:rsid w:val="008A3154"/>
    <w:rsid w:val="008A5138"/>
    <w:rsid w:val="008B6907"/>
    <w:rsid w:val="008C0AE6"/>
    <w:rsid w:val="008C1441"/>
    <w:rsid w:val="008C3393"/>
    <w:rsid w:val="008C5B61"/>
    <w:rsid w:val="008D0D1A"/>
    <w:rsid w:val="008D0DCD"/>
    <w:rsid w:val="008D1A17"/>
    <w:rsid w:val="008D3A40"/>
    <w:rsid w:val="008D7633"/>
    <w:rsid w:val="008E56E1"/>
    <w:rsid w:val="008F0190"/>
    <w:rsid w:val="008F431E"/>
    <w:rsid w:val="008F493F"/>
    <w:rsid w:val="008F51D4"/>
    <w:rsid w:val="00905443"/>
    <w:rsid w:val="009162BD"/>
    <w:rsid w:val="00934463"/>
    <w:rsid w:val="00937E24"/>
    <w:rsid w:val="009548D0"/>
    <w:rsid w:val="00961ACF"/>
    <w:rsid w:val="00967E8B"/>
    <w:rsid w:val="009718D2"/>
    <w:rsid w:val="009769B9"/>
    <w:rsid w:val="00977014"/>
    <w:rsid w:val="009846D5"/>
    <w:rsid w:val="0099269F"/>
    <w:rsid w:val="00994C12"/>
    <w:rsid w:val="009A0091"/>
    <w:rsid w:val="009A43F0"/>
    <w:rsid w:val="009B584A"/>
    <w:rsid w:val="009B6DC2"/>
    <w:rsid w:val="009C46D4"/>
    <w:rsid w:val="009C7048"/>
    <w:rsid w:val="009E4897"/>
    <w:rsid w:val="009E5156"/>
    <w:rsid w:val="009F6349"/>
    <w:rsid w:val="009F645B"/>
    <w:rsid w:val="009F6749"/>
    <w:rsid w:val="009F6B1E"/>
    <w:rsid w:val="00A051D3"/>
    <w:rsid w:val="00A0767D"/>
    <w:rsid w:val="00A100B9"/>
    <w:rsid w:val="00A16081"/>
    <w:rsid w:val="00A21FA0"/>
    <w:rsid w:val="00A2721F"/>
    <w:rsid w:val="00A30623"/>
    <w:rsid w:val="00A323B9"/>
    <w:rsid w:val="00A344BF"/>
    <w:rsid w:val="00A34745"/>
    <w:rsid w:val="00A54D58"/>
    <w:rsid w:val="00A72543"/>
    <w:rsid w:val="00A76772"/>
    <w:rsid w:val="00A76F79"/>
    <w:rsid w:val="00A8114A"/>
    <w:rsid w:val="00A836A8"/>
    <w:rsid w:val="00A83B7A"/>
    <w:rsid w:val="00A84C5B"/>
    <w:rsid w:val="00A937A5"/>
    <w:rsid w:val="00AA0066"/>
    <w:rsid w:val="00AA0C66"/>
    <w:rsid w:val="00AA20E1"/>
    <w:rsid w:val="00AA26D8"/>
    <w:rsid w:val="00AA6850"/>
    <w:rsid w:val="00AA6887"/>
    <w:rsid w:val="00AA6A72"/>
    <w:rsid w:val="00AB02F5"/>
    <w:rsid w:val="00AB1F00"/>
    <w:rsid w:val="00AB4A50"/>
    <w:rsid w:val="00AC3EBD"/>
    <w:rsid w:val="00AD3B3B"/>
    <w:rsid w:val="00AD7130"/>
    <w:rsid w:val="00AE1DFC"/>
    <w:rsid w:val="00AE1E4C"/>
    <w:rsid w:val="00AE2D52"/>
    <w:rsid w:val="00AF0E72"/>
    <w:rsid w:val="00AF1E3B"/>
    <w:rsid w:val="00AF3E5C"/>
    <w:rsid w:val="00B010BC"/>
    <w:rsid w:val="00B02E5F"/>
    <w:rsid w:val="00B04788"/>
    <w:rsid w:val="00B05FD4"/>
    <w:rsid w:val="00B073EE"/>
    <w:rsid w:val="00B109E2"/>
    <w:rsid w:val="00B205D0"/>
    <w:rsid w:val="00B207A5"/>
    <w:rsid w:val="00B23FD7"/>
    <w:rsid w:val="00B2652A"/>
    <w:rsid w:val="00B3026F"/>
    <w:rsid w:val="00B5185F"/>
    <w:rsid w:val="00B52E8D"/>
    <w:rsid w:val="00B55388"/>
    <w:rsid w:val="00B631D3"/>
    <w:rsid w:val="00B70A88"/>
    <w:rsid w:val="00B87236"/>
    <w:rsid w:val="00B87506"/>
    <w:rsid w:val="00B90559"/>
    <w:rsid w:val="00B928B6"/>
    <w:rsid w:val="00B953DE"/>
    <w:rsid w:val="00BA70B5"/>
    <w:rsid w:val="00BA77AB"/>
    <w:rsid w:val="00BB16AC"/>
    <w:rsid w:val="00BB1FAE"/>
    <w:rsid w:val="00BB4D23"/>
    <w:rsid w:val="00BB60FC"/>
    <w:rsid w:val="00BB7A4A"/>
    <w:rsid w:val="00BC1982"/>
    <w:rsid w:val="00BC24BF"/>
    <w:rsid w:val="00BC271D"/>
    <w:rsid w:val="00BC2791"/>
    <w:rsid w:val="00BC2F4A"/>
    <w:rsid w:val="00BC40C9"/>
    <w:rsid w:val="00BC7E21"/>
    <w:rsid w:val="00BD359A"/>
    <w:rsid w:val="00BD7471"/>
    <w:rsid w:val="00BE7E08"/>
    <w:rsid w:val="00BF3C86"/>
    <w:rsid w:val="00BF4CC2"/>
    <w:rsid w:val="00BF6891"/>
    <w:rsid w:val="00BF721D"/>
    <w:rsid w:val="00BF770A"/>
    <w:rsid w:val="00C0423F"/>
    <w:rsid w:val="00C05714"/>
    <w:rsid w:val="00C05901"/>
    <w:rsid w:val="00C10C98"/>
    <w:rsid w:val="00C166B3"/>
    <w:rsid w:val="00C218F5"/>
    <w:rsid w:val="00C226E0"/>
    <w:rsid w:val="00C25896"/>
    <w:rsid w:val="00C25C39"/>
    <w:rsid w:val="00C32DEA"/>
    <w:rsid w:val="00C333F6"/>
    <w:rsid w:val="00C40B05"/>
    <w:rsid w:val="00C43642"/>
    <w:rsid w:val="00C47237"/>
    <w:rsid w:val="00C53D0F"/>
    <w:rsid w:val="00C54901"/>
    <w:rsid w:val="00C558D3"/>
    <w:rsid w:val="00C60D50"/>
    <w:rsid w:val="00C63E59"/>
    <w:rsid w:val="00C644DE"/>
    <w:rsid w:val="00C645EF"/>
    <w:rsid w:val="00C75538"/>
    <w:rsid w:val="00C816E3"/>
    <w:rsid w:val="00C91D81"/>
    <w:rsid w:val="00C925E6"/>
    <w:rsid w:val="00CA566D"/>
    <w:rsid w:val="00CA5F50"/>
    <w:rsid w:val="00CB1A5D"/>
    <w:rsid w:val="00CB321B"/>
    <w:rsid w:val="00CB326A"/>
    <w:rsid w:val="00CB394C"/>
    <w:rsid w:val="00CC3439"/>
    <w:rsid w:val="00CC3B69"/>
    <w:rsid w:val="00CC4AE9"/>
    <w:rsid w:val="00CC763D"/>
    <w:rsid w:val="00CD2281"/>
    <w:rsid w:val="00CD37F6"/>
    <w:rsid w:val="00CD5BFD"/>
    <w:rsid w:val="00CD6B69"/>
    <w:rsid w:val="00CD7ABF"/>
    <w:rsid w:val="00CE14B8"/>
    <w:rsid w:val="00CE37C7"/>
    <w:rsid w:val="00CE3ED9"/>
    <w:rsid w:val="00CF29B9"/>
    <w:rsid w:val="00D07899"/>
    <w:rsid w:val="00D10B8A"/>
    <w:rsid w:val="00D123AB"/>
    <w:rsid w:val="00D13F6D"/>
    <w:rsid w:val="00D1626D"/>
    <w:rsid w:val="00D16E33"/>
    <w:rsid w:val="00D21296"/>
    <w:rsid w:val="00D21C91"/>
    <w:rsid w:val="00D23A9F"/>
    <w:rsid w:val="00D2429C"/>
    <w:rsid w:val="00D27FCE"/>
    <w:rsid w:val="00D36744"/>
    <w:rsid w:val="00D4292F"/>
    <w:rsid w:val="00D500FC"/>
    <w:rsid w:val="00D51D33"/>
    <w:rsid w:val="00D55D86"/>
    <w:rsid w:val="00D66602"/>
    <w:rsid w:val="00D6694C"/>
    <w:rsid w:val="00D67BC6"/>
    <w:rsid w:val="00D725DE"/>
    <w:rsid w:val="00D73006"/>
    <w:rsid w:val="00D74332"/>
    <w:rsid w:val="00D82419"/>
    <w:rsid w:val="00D84EB3"/>
    <w:rsid w:val="00D868E4"/>
    <w:rsid w:val="00D92A94"/>
    <w:rsid w:val="00DA03AD"/>
    <w:rsid w:val="00DA1BCD"/>
    <w:rsid w:val="00DA2929"/>
    <w:rsid w:val="00DA6BFC"/>
    <w:rsid w:val="00DB65CF"/>
    <w:rsid w:val="00DC1F9C"/>
    <w:rsid w:val="00DD5298"/>
    <w:rsid w:val="00DD55F0"/>
    <w:rsid w:val="00DD6E6E"/>
    <w:rsid w:val="00DE3BE2"/>
    <w:rsid w:val="00DF00F1"/>
    <w:rsid w:val="00DF0D16"/>
    <w:rsid w:val="00DF7A05"/>
    <w:rsid w:val="00E01533"/>
    <w:rsid w:val="00E0668D"/>
    <w:rsid w:val="00E075CE"/>
    <w:rsid w:val="00E07BFA"/>
    <w:rsid w:val="00E25370"/>
    <w:rsid w:val="00E25C71"/>
    <w:rsid w:val="00E31E24"/>
    <w:rsid w:val="00E35109"/>
    <w:rsid w:val="00E4193A"/>
    <w:rsid w:val="00E4466F"/>
    <w:rsid w:val="00E55C1D"/>
    <w:rsid w:val="00E60EFE"/>
    <w:rsid w:val="00E65231"/>
    <w:rsid w:val="00E6567F"/>
    <w:rsid w:val="00E7242B"/>
    <w:rsid w:val="00E72E93"/>
    <w:rsid w:val="00E76B9F"/>
    <w:rsid w:val="00E8690E"/>
    <w:rsid w:val="00E93894"/>
    <w:rsid w:val="00E95DEC"/>
    <w:rsid w:val="00EA2C58"/>
    <w:rsid w:val="00EA452C"/>
    <w:rsid w:val="00EA4BA3"/>
    <w:rsid w:val="00EB1E55"/>
    <w:rsid w:val="00EB4F31"/>
    <w:rsid w:val="00EC4BEF"/>
    <w:rsid w:val="00EC678F"/>
    <w:rsid w:val="00ED2F88"/>
    <w:rsid w:val="00EE0C47"/>
    <w:rsid w:val="00EE5A44"/>
    <w:rsid w:val="00EE7F77"/>
    <w:rsid w:val="00EF2BBE"/>
    <w:rsid w:val="00EF3509"/>
    <w:rsid w:val="00EF3BD2"/>
    <w:rsid w:val="00EF53B3"/>
    <w:rsid w:val="00EF6426"/>
    <w:rsid w:val="00F02D1E"/>
    <w:rsid w:val="00F06602"/>
    <w:rsid w:val="00F15D82"/>
    <w:rsid w:val="00F173A8"/>
    <w:rsid w:val="00F25D6F"/>
    <w:rsid w:val="00F353DE"/>
    <w:rsid w:val="00F35612"/>
    <w:rsid w:val="00F36B79"/>
    <w:rsid w:val="00F372CF"/>
    <w:rsid w:val="00F4278A"/>
    <w:rsid w:val="00F43C97"/>
    <w:rsid w:val="00F46B84"/>
    <w:rsid w:val="00F600E4"/>
    <w:rsid w:val="00F64F91"/>
    <w:rsid w:val="00F65D21"/>
    <w:rsid w:val="00F72191"/>
    <w:rsid w:val="00F74E81"/>
    <w:rsid w:val="00F759DC"/>
    <w:rsid w:val="00F80B2B"/>
    <w:rsid w:val="00FA4ABD"/>
    <w:rsid w:val="00FA50D2"/>
    <w:rsid w:val="00FA68A4"/>
    <w:rsid w:val="00FB44BA"/>
    <w:rsid w:val="00FB778D"/>
    <w:rsid w:val="00FC2DDF"/>
    <w:rsid w:val="00FD29A0"/>
    <w:rsid w:val="00FD2C58"/>
    <w:rsid w:val="00FD30F8"/>
    <w:rsid w:val="00FF25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8EF3"/>
  <w15:docId w15:val="{59705C5C-BB46-4DDF-BEB6-C8298A90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EF"/>
    <w:pPr>
      <w:overflowPunct w:val="0"/>
      <w:autoSpaceDE w:val="0"/>
      <w:autoSpaceDN w:val="0"/>
      <w:adjustRightInd w:val="0"/>
      <w:textAlignment w:val="baseline"/>
    </w:pPr>
    <w:rPr>
      <w:sz w:val="20"/>
      <w:szCs w:val="20"/>
    </w:rPr>
  </w:style>
  <w:style w:type="paragraph" w:styleId="Heading5">
    <w:name w:val="heading 5"/>
    <w:basedOn w:val="Normal"/>
    <w:link w:val="Heading5Char"/>
    <w:uiPriority w:val="99"/>
    <w:qFormat/>
    <w:rsid w:val="00D27FCE"/>
    <w:pPr>
      <w:overflowPunct/>
      <w:autoSpaceDE/>
      <w:autoSpaceDN/>
      <w:adjustRightInd/>
      <w:spacing w:before="100" w:beforeAutospacing="1" w:after="100" w:afterAutospacing="1"/>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71B77"/>
    <w:rPr>
      <w:rFonts w:ascii="Tahoma" w:hAnsi="Tahoma" w:cs="Tahoma"/>
      <w:sz w:val="16"/>
      <w:szCs w:val="16"/>
    </w:rPr>
  </w:style>
  <w:style w:type="character" w:customStyle="1" w:styleId="BalloonTextChar">
    <w:name w:val="Balloon Text Char"/>
    <w:basedOn w:val="DefaultParagraphFont"/>
    <w:uiPriority w:val="99"/>
    <w:semiHidden/>
    <w:rsid w:val="00B02391"/>
    <w:rPr>
      <w:rFonts w:ascii="Lucida Grande" w:hAnsi="Lucida Grande"/>
      <w:sz w:val="18"/>
      <w:szCs w:val="18"/>
    </w:rPr>
  </w:style>
  <w:style w:type="character" w:customStyle="1" w:styleId="Heading5Char">
    <w:name w:val="Heading 5 Char"/>
    <w:basedOn w:val="DefaultParagraphFont"/>
    <w:link w:val="Heading5"/>
    <w:uiPriority w:val="99"/>
    <w:locked/>
    <w:rsid w:val="00D27FCE"/>
    <w:rPr>
      <w:rFonts w:cs="Times New Roman"/>
      <w:b/>
      <w:bCs/>
    </w:rPr>
  </w:style>
  <w:style w:type="table" w:styleId="TableGrid">
    <w:name w:val="Table Grid"/>
    <w:basedOn w:val="TableNormal"/>
    <w:uiPriority w:val="99"/>
    <w:rsid w:val="005D140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1C91"/>
    <w:pPr>
      <w:tabs>
        <w:tab w:val="center" w:pos="4320"/>
        <w:tab w:val="right" w:pos="8640"/>
      </w:tabs>
    </w:pPr>
  </w:style>
  <w:style w:type="character" w:customStyle="1" w:styleId="HeaderChar">
    <w:name w:val="Header Char"/>
    <w:basedOn w:val="DefaultParagraphFont"/>
    <w:link w:val="Header"/>
    <w:uiPriority w:val="99"/>
    <w:semiHidden/>
    <w:locked/>
    <w:rsid w:val="00AF3E5C"/>
    <w:rPr>
      <w:rFonts w:cs="Times New Roman"/>
      <w:sz w:val="20"/>
      <w:szCs w:val="20"/>
    </w:rPr>
  </w:style>
  <w:style w:type="paragraph" w:styleId="Footer">
    <w:name w:val="footer"/>
    <w:basedOn w:val="Normal"/>
    <w:link w:val="FooterChar"/>
    <w:uiPriority w:val="99"/>
    <w:rsid w:val="00D21C91"/>
    <w:pPr>
      <w:tabs>
        <w:tab w:val="center" w:pos="4320"/>
        <w:tab w:val="right" w:pos="8640"/>
      </w:tabs>
    </w:pPr>
  </w:style>
  <w:style w:type="character" w:customStyle="1" w:styleId="FooterChar">
    <w:name w:val="Footer Char"/>
    <w:basedOn w:val="DefaultParagraphFont"/>
    <w:link w:val="Footer"/>
    <w:uiPriority w:val="99"/>
    <w:semiHidden/>
    <w:locked/>
    <w:rsid w:val="00AF3E5C"/>
    <w:rPr>
      <w:rFonts w:cs="Times New Roman"/>
      <w:sz w:val="20"/>
      <w:szCs w:val="20"/>
    </w:rPr>
  </w:style>
  <w:style w:type="character" w:styleId="PageNumber">
    <w:name w:val="page number"/>
    <w:basedOn w:val="DefaultParagraphFont"/>
    <w:uiPriority w:val="99"/>
    <w:rsid w:val="00D21C91"/>
    <w:rPr>
      <w:rFonts w:cs="Times New Roman"/>
    </w:rPr>
  </w:style>
  <w:style w:type="character" w:customStyle="1" w:styleId="BalloonTextChar1">
    <w:name w:val="Balloon Text Char1"/>
    <w:basedOn w:val="DefaultParagraphFont"/>
    <w:link w:val="BalloonText"/>
    <w:uiPriority w:val="99"/>
    <w:semiHidden/>
    <w:locked/>
    <w:rsid w:val="00AF3E5C"/>
    <w:rPr>
      <w:rFonts w:cs="Times New Roman"/>
      <w:sz w:val="2"/>
    </w:rPr>
  </w:style>
  <w:style w:type="paragraph" w:customStyle="1" w:styleId="Default">
    <w:name w:val="Default"/>
    <w:uiPriority w:val="99"/>
    <w:rsid w:val="00CE14B8"/>
    <w:pPr>
      <w:autoSpaceDE w:val="0"/>
      <w:autoSpaceDN w:val="0"/>
      <w:adjustRightInd w:val="0"/>
    </w:pPr>
    <w:rPr>
      <w:color w:val="000000"/>
      <w:sz w:val="24"/>
      <w:szCs w:val="24"/>
    </w:rPr>
  </w:style>
  <w:style w:type="character" w:styleId="Hyperlink">
    <w:name w:val="Hyperlink"/>
    <w:basedOn w:val="DefaultParagraphFont"/>
    <w:uiPriority w:val="99"/>
    <w:rsid w:val="00C333F6"/>
    <w:rPr>
      <w:rFonts w:cs="Times New Roman"/>
      <w:color w:val="0000FF"/>
      <w:u w:val="single"/>
    </w:rPr>
  </w:style>
  <w:style w:type="character" w:styleId="CommentReference">
    <w:name w:val="annotation reference"/>
    <w:basedOn w:val="DefaultParagraphFont"/>
    <w:uiPriority w:val="99"/>
    <w:rsid w:val="00C333F6"/>
    <w:rPr>
      <w:rFonts w:cs="Times New Roman"/>
      <w:sz w:val="16"/>
    </w:rPr>
  </w:style>
  <w:style w:type="paragraph" w:styleId="CommentText">
    <w:name w:val="annotation text"/>
    <w:basedOn w:val="Normal"/>
    <w:link w:val="CommentTextChar"/>
    <w:uiPriority w:val="99"/>
    <w:rsid w:val="00C333F6"/>
    <w:pPr>
      <w:widowControl w:val="0"/>
      <w:overflowPunct/>
      <w:autoSpaceDE/>
      <w:autoSpaceDN/>
      <w:adjustRightInd/>
      <w:textAlignment w:val="auto"/>
    </w:pPr>
    <w:rPr>
      <w:rFonts w:ascii="Courier" w:hAnsi="Courier"/>
    </w:rPr>
  </w:style>
  <w:style w:type="character" w:customStyle="1" w:styleId="CommentTextChar">
    <w:name w:val="Comment Text Char"/>
    <w:basedOn w:val="DefaultParagraphFont"/>
    <w:link w:val="CommentText"/>
    <w:uiPriority w:val="99"/>
    <w:locked/>
    <w:rsid w:val="00C333F6"/>
    <w:rPr>
      <w:rFonts w:ascii="Courier" w:hAnsi="Courier" w:cs="Times New Roman"/>
      <w:snapToGrid w:val="0"/>
    </w:rPr>
  </w:style>
  <w:style w:type="paragraph" w:styleId="NormalWeb">
    <w:name w:val="Normal (Web)"/>
    <w:basedOn w:val="Normal"/>
    <w:uiPriority w:val="99"/>
    <w:rsid w:val="00D27FCE"/>
    <w:pPr>
      <w:overflowPunct/>
      <w:autoSpaceDE/>
      <w:autoSpaceDN/>
      <w:adjustRightInd/>
      <w:spacing w:before="100" w:beforeAutospacing="1" w:after="100" w:afterAutospacing="1"/>
      <w:textAlignment w:val="auto"/>
    </w:pPr>
    <w:rPr>
      <w:sz w:val="24"/>
      <w:szCs w:val="24"/>
    </w:rPr>
  </w:style>
  <w:style w:type="paragraph" w:styleId="CommentSubject">
    <w:name w:val="annotation subject"/>
    <w:basedOn w:val="CommentText"/>
    <w:next w:val="CommentText"/>
    <w:link w:val="CommentSubjectChar"/>
    <w:uiPriority w:val="99"/>
    <w:rsid w:val="00D27FCE"/>
    <w:pPr>
      <w:widowControl/>
      <w:overflowPunct w:val="0"/>
      <w:autoSpaceDE w:val="0"/>
      <w:autoSpaceDN w:val="0"/>
      <w:adjustRightInd w:val="0"/>
      <w:textAlignment w:val="baseline"/>
    </w:pPr>
    <w:rPr>
      <w:rFonts w:ascii="Times New Roman" w:hAnsi="Times New Roman"/>
      <w:b/>
      <w:bCs/>
    </w:rPr>
  </w:style>
  <w:style w:type="character" w:customStyle="1" w:styleId="CommentSubjectChar">
    <w:name w:val="Comment Subject Char"/>
    <w:basedOn w:val="CommentTextChar"/>
    <w:link w:val="CommentSubject"/>
    <w:uiPriority w:val="99"/>
    <w:locked/>
    <w:rsid w:val="00D27FCE"/>
    <w:rPr>
      <w:rFonts w:ascii="Courier" w:hAnsi="Courier" w:cs="Times New Roman"/>
      <w:b/>
      <w:bCs/>
      <w:snapToGrid w:val="0"/>
    </w:rPr>
  </w:style>
  <w:style w:type="paragraph" w:styleId="ListParagraph">
    <w:name w:val="List Paragraph"/>
    <w:basedOn w:val="Normal"/>
    <w:uiPriority w:val="99"/>
    <w:qFormat/>
    <w:rsid w:val="002352BC"/>
    <w:pPr>
      <w:ind w:left="720"/>
      <w:contextualSpacing/>
    </w:pPr>
  </w:style>
  <w:style w:type="paragraph" w:styleId="FootnoteText">
    <w:name w:val="footnote text"/>
    <w:basedOn w:val="Normal"/>
    <w:link w:val="FootnoteTextChar"/>
    <w:uiPriority w:val="99"/>
    <w:rsid w:val="003D7954"/>
  </w:style>
  <w:style w:type="character" w:customStyle="1" w:styleId="FootnoteTextChar">
    <w:name w:val="Footnote Text Char"/>
    <w:basedOn w:val="DefaultParagraphFont"/>
    <w:link w:val="FootnoteText"/>
    <w:uiPriority w:val="99"/>
    <w:locked/>
    <w:rsid w:val="003D7954"/>
    <w:rPr>
      <w:rFonts w:cs="Times New Roman"/>
    </w:rPr>
  </w:style>
  <w:style w:type="character" w:styleId="FootnoteReference">
    <w:name w:val="footnote reference"/>
    <w:basedOn w:val="DefaultParagraphFont"/>
    <w:uiPriority w:val="99"/>
    <w:rsid w:val="003D7954"/>
    <w:rPr>
      <w:rFonts w:cs="Times New Roman"/>
      <w:vertAlign w:val="superscript"/>
    </w:rPr>
  </w:style>
  <w:style w:type="character" w:styleId="FollowedHyperlink">
    <w:name w:val="FollowedHyperlink"/>
    <w:basedOn w:val="DefaultParagraphFont"/>
    <w:uiPriority w:val="99"/>
    <w:rsid w:val="00DB65CF"/>
    <w:rPr>
      <w:rFonts w:cs="Times New Roman"/>
      <w:color w:val="800080"/>
      <w:u w:val="single"/>
    </w:rPr>
  </w:style>
  <w:style w:type="paragraph" w:styleId="NoSpacing">
    <w:name w:val="No Spacing"/>
    <w:uiPriority w:val="99"/>
    <w:qFormat/>
    <w:rsid w:val="00101D1C"/>
    <w:rPr>
      <w:rFonts w:ascii="Calibri" w:hAnsi="Calibri"/>
    </w:rPr>
  </w:style>
  <w:style w:type="paragraph" w:styleId="PlainText">
    <w:name w:val="Plain Text"/>
    <w:basedOn w:val="Normal"/>
    <w:link w:val="PlainTextChar"/>
    <w:uiPriority w:val="99"/>
    <w:rsid w:val="0075587C"/>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locked/>
    <w:rsid w:val="0075587C"/>
    <w:rPr>
      <w:rFonts w:ascii="Consolas" w:hAnsi="Consolas" w:cs="Times New Roman"/>
      <w:sz w:val="21"/>
      <w:szCs w:val="21"/>
    </w:rPr>
  </w:style>
  <w:style w:type="paragraph" w:styleId="Revision">
    <w:name w:val="Revision"/>
    <w:hidden/>
    <w:uiPriority w:val="99"/>
    <w:semiHidden/>
    <w:rsid w:val="00693716"/>
    <w:rPr>
      <w:sz w:val="20"/>
      <w:szCs w:val="20"/>
    </w:rPr>
  </w:style>
  <w:style w:type="table" w:styleId="TableGridLight">
    <w:name w:val="Grid Table Light"/>
    <w:basedOn w:val="TableNormal"/>
    <w:uiPriority w:val="40"/>
    <w:rsid w:val="00697C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15542">
      <w:bodyDiv w:val="1"/>
      <w:marLeft w:val="0"/>
      <w:marRight w:val="0"/>
      <w:marTop w:val="0"/>
      <w:marBottom w:val="0"/>
      <w:divBdr>
        <w:top w:val="none" w:sz="0" w:space="0" w:color="auto"/>
        <w:left w:val="none" w:sz="0" w:space="0" w:color="auto"/>
        <w:bottom w:val="none" w:sz="0" w:space="0" w:color="auto"/>
        <w:right w:val="none" w:sz="0" w:space="0" w:color="auto"/>
      </w:divBdr>
    </w:div>
    <w:div w:id="480081825">
      <w:bodyDiv w:val="1"/>
      <w:marLeft w:val="0"/>
      <w:marRight w:val="0"/>
      <w:marTop w:val="0"/>
      <w:marBottom w:val="0"/>
      <w:divBdr>
        <w:top w:val="none" w:sz="0" w:space="0" w:color="auto"/>
        <w:left w:val="none" w:sz="0" w:space="0" w:color="auto"/>
        <w:bottom w:val="none" w:sz="0" w:space="0" w:color="auto"/>
        <w:right w:val="none" w:sz="0" w:space="0" w:color="auto"/>
      </w:divBdr>
    </w:div>
    <w:div w:id="601456305">
      <w:bodyDiv w:val="1"/>
      <w:marLeft w:val="0"/>
      <w:marRight w:val="0"/>
      <w:marTop w:val="0"/>
      <w:marBottom w:val="0"/>
      <w:divBdr>
        <w:top w:val="none" w:sz="0" w:space="0" w:color="auto"/>
        <w:left w:val="none" w:sz="0" w:space="0" w:color="auto"/>
        <w:bottom w:val="none" w:sz="0" w:space="0" w:color="auto"/>
        <w:right w:val="none" w:sz="0" w:space="0" w:color="auto"/>
      </w:divBdr>
    </w:div>
    <w:div w:id="715667660">
      <w:marLeft w:val="0"/>
      <w:marRight w:val="0"/>
      <w:marTop w:val="0"/>
      <w:marBottom w:val="0"/>
      <w:divBdr>
        <w:top w:val="none" w:sz="0" w:space="0" w:color="auto"/>
        <w:left w:val="none" w:sz="0" w:space="0" w:color="auto"/>
        <w:bottom w:val="none" w:sz="0" w:space="0" w:color="auto"/>
        <w:right w:val="none" w:sz="0" w:space="0" w:color="auto"/>
      </w:divBdr>
      <w:divsChild>
        <w:div w:id="715667672">
          <w:marLeft w:val="0"/>
          <w:marRight w:val="0"/>
          <w:marTop w:val="0"/>
          <w:marBottom w:val="0"/>
          <w:divBdr>
            <w:top w:val="none" w:sz="0" w:space="0" w:color="auto"/>
            <w:left w:val="none" w:sz="0" w:space="0" w:color="auto"/>
            <w:bottom w:val="none" w:sz="0" w:space="0" w:color="auto"/>
            <w:right w:val="none" w:sz="0" w:space="0" w:color="auto"/>
          </w:divBdr>
          <w:divsChild>
            <w:div w:id="715667662">
              <w:marLeft w:val="0"/>
              <w:marRight w:val="0"/>
              <w:marTop w:val="0"/>
              <w:marBottom w:val="0"/>
              <w:divBdr>
                <w:top w:val="none" w:sz="0" w:space="0" w:color="auto"/>
                <w:left w:val="none" w:sz="0" w:space="0" w:color="auto"/>
                <w:bottom w:val="none" w:sz="0" w:space="0" w:color="auto"/>
                <w:right w:val="none" w:sz="0" w:space="0" w:color="auto"/>
              </w:divBdr>
              <w:divsChild>
                <w:div w:id="715667674">
                  <w:marLeft w:val="0"/>
                  <w:marRight w:val="0"/>
                  <w:marTop w:val="0"/>
                  <w:marBottom w:val="0"/>
                  <w:divBdr>
                    <w:top w:val="none" w:sz="0" w:space="0" w:color="auto"/>
                    <w:left w:val="none" w:sz="0" w:space="0" w:color="auto"/>
                    <w:bottom w:val="none" w:sz="0" w:space="0" w:color="auto"/>
                    <w:right w:val="none" w:sz="0" w:space="0" w:color="auto"/>
                  </w:divBdr>
                  <w:divsChild>
                    <w:div w:id="715667661">
                      <w:marLeft w:val="3074"/>
                      <w:marRight w:val="3074"/>
                      <w:marTop w:val="0"/>
                      <w:marBottom w:val="0"/>
                      <w:divBdr>
                        <w:top w:val="none" w:sz="0" w:space="0" w:color="auto"/>
                        <w:left w:val="none" w:sz="0" w:space="0" w:color="auto"/>
                        <w:bottom w:val="none" w:sz="0" w:space="0" w:color="auto"/>
                        <w:right w:val="none" w:sz="0" w:space="0" w:color="auto"/>
                      </w:divBdr>
                      <w:divsChild>
                        <w:div w:id="715667664">
                          <w:marLeft w:val="0"/>
                          <w:marRight w:val="0"/>
                          <w:marTop w:val="0"/>
                          <w:marBottom w:val="0"/>
                          <w:divBdr>
                            <w:top w:val="none" w:sz="0" w:space="0" w:color="auto"/>
                            <w:left w:val="none" w:sz="0" w:space="0" w:color="auto"/>
                            <w:bottom w:val="none" w:sz="0" w:space="0" w:color="auto"/>
                            <w:right w:val="none" w:sz="0" w:space="0" w:color="auto"/>
                          </w:divBdr>
                          <w:divsChild>
                            <w:div w:id="715667666">
                              <w:marLeft w:val="0"/>
                              <w:marRight w:val="0"/>
                              <w:marTop w:val="0"/>
                              <w:marBottom w:val="0"/>
                              <w:divBdr>
                                <w:top w:val="none" w:sz="0" w:space="0" w:color="auto"/>
                                <w:left w:val="none" w:sz="0" w:space="0" w:color="auto"/>
                                <w:bottom w:val="none" w:sz="0" w:space="0" w:color="auto"/>
                                <w:right w:val="none" w:sz="0" w:space="0" w:color="auto"/>
                              </w:divBdr>
                              <w:divsChild>
                                <w:div w:id="7156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667663">
      <w:marLeft w:val="0"/>
      <w:marRight w:val="0"/>
      <w:marTop w:val="0"/>
      <w:marBottom w:val="0"/>
      <w:divBdr>
        <w:top w:val="none" w:sz="0" w:space="0" w:color="auto"/>
        <w:left w:val="none" w:sz="0" w:space="0" w:color="auto"/>
        <w:bottom w:val="none" w:sz="0" w:space="0" w:color="auto"/>
        <w:right w:val="none" w:sz="0" w:space="0" w:color="auto"/>
      </w:divBdr>
      <w:divsChild>
        <w:div w:id="715667671">
          <w:marLeft w:val="0"/>
          <w:marRight w:val="0"/>
          <w:marTop w:val="0"/>
          <w:marBottom w:val="0"/>
          <w:divBdr>
            <w:top w:val="none" w:sz="0" w:space="0" w:color="auto"/>
            <w:left w:val="none" w:sz="0" w:space="0" w:color="auto"/>
            <w:bottom w:val="none" w:sz="0" w:space="0" w:color="auto"/>
            <w:right w:val="none" w:sz="0" w:space="0" w:color="auto"/>
          </w:divBdr>
          <w:divsChild>
            <w:div w:id="715667667">
              <w:marLeft w:val="0"/>
              <w:marRight w:val="0"/>
              <w:marTop w:val="0"/>
              <w:marBottom w:val="0"/>
              <w:divBdr>
                <w:top w:val="none" w:sz="0" w:space="0" w:color="auto"/>
                <w:left w:val="none" w:sz="0" w:space="0" w:color="auto"/>
                <w:bottom w:val="none" w:sz="0" w:space="0" w:color="auto"/>
                <w:right w:val="none" w:sz="0" w:space="0" w:color="auto"/>
              </w:divBdr>
              <w:divsChild>
                <w:div w:id="715667673">
                  <w:marLeft w:val="0"/>
                  <w:marRight w:val="0"/>
                  <w:marTop w:val="0"/>
                  <w:marBottom w:val="0"/>
                  <w:divBdr>
                    <w:top w:val="none" w:sz="0" w:space="0" w:color="auto"/>
                    <w:left w:val="none" w:sz="0" w:space="0" w:color="auto"/>
                    <w:bottom w:val="none" w:sz="0" w:space="0" w:color="auto"/>
                    <w:right w:val="none" w:sz="0" w:space="0" w:color="auto"/>
                  </w:divBdr>
                  <w:divsChild>
                    <w:div w:id="715667675">
                      <w:marLeft w:val="3420"/>
                      <w:marRight w:val="3420"/>
                      <w:marTop w:val="0"/>
                      <w:marBottom w:val="0"/>
                      <w:divBdr>
                        <w:top w:val="none" w:sz="0" w:space="0" w:color="auto"/>
                        <w:left w:val="none" w:sz="0" w:space="0" w:color="auto"/>
                        <w:bottom w:val="none" w:sz="0" w:space="0" w:color="auto"/>
                        <w:right w:val="none" w:sz="0" w:space="0" w:color="auto"/>
                      </w:divBdr>
                      <w:divsChild>
                        <w:div w:id="715667665">
                          <w:marLeft w:val="0"/>
                          <w:marRight w:val="0"/>
                          <w:marTop w:val="0"/>
                          <w:marBottom w:val="0"/>
                          <w:divBdr>
                            <w:top w:val="none" w:sz="0" w:space="0" w:color="auto"/>
                            <w:left w:val="none" w:sz="0" w:space="0" w:color="auto"/>
                            <w:bottom w:val="none" w:sz="0" w:space="0" w:color="auto"/>
                            <w:right w:val="none" w:sz="0" w:space="0" w:color="auto"/>
                          </w:divBdr>
                          <w:divsChild>
                            <w:div w:id="715667668">
                              <w:marLeft w:val="0"/>
                              <w:marRight w:val="0"/>
                              <w:marTop w:val="0"/>
                              <w:marBottom w:val="0"/>
                              <w:divBdr>
                                <w:top w:val="none" w:sz="0" w:space="0" w:color="auto"/>
                                <w:left w:val="none" w:sz="0" w:space="0" w:color="auto"/>
                                <w:bottom w:val="none" w:sz="0" w:space="0" w:color="auto"/>
                                <w:right w:val="none" w:sz="0" w:space="0" w:color="auto"/>
                              </w:divBdr>
                              <w:divsChild>
                                <w:div w:id="7156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5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Dual Eligible Demonstration LTSS Stakeholder Workgroup CMS Matrix Document</Abstract>
    <PublishingContactName xmlns="http://schemas.microsoft.com/sharepoint/v3">Rebecca Schupp</PublishingContactName>
    <TAGAge xmlns="69bc34b3-1921-46c7-8c7a-d18363374b4b" xsi:nil="true"/>
    <_dlc_DocId xmlns="69bc34b3-1921-46c7-8c7a-d18363374b4b">DHCSDOC-2129867196-3405</_dlc_DocId>
    <_dlc_DocIdUrl xmlns="69bc34b3-1921-46c7-8c7a-d18363374b4b">
      <Url>http://dhcs2016prod:88/provgovpart/_layouts/15/DocIdRedir.aspx?ID=DHCSDOC-2129867196-3405</Url>
      <Description>DHCSDOC-2129867196-3405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7C6C70-51E5-438F-A2AB-5F9730FF4439}">
  <ds:schemaRefs>
    <ds:schemaRef ds:uri="http://schemas.microsoft.com/sharepoint/v3/contenttype/forms"/>
  </ds:schemaRefs>
</ds:datastoreItem>
</file>

<file path=customXml/itemProps2.xml><?xml version="1.0" encoding="utf-8"?>
<ds:datastoreItem xmlns:ds="http://schemas.openxmlformats.org/officeDocument/2006/customXml" ds:itemID="{CDE85ADA-45E9-4F37-A1F0-B80E219A8D4D}"/>
</file>

<file path=customXml/itemProps3.xml><?xml version="1.0" encoding="utf-8"?>
<ds:datastoreItem xmlns:ds="http://schemas.openxmlformats.org/officeDocument/2006/customXml" ds:itemID="{8A158777-DFEE-44A7-959D-1FDDA9EA19A6}">
  <ds:schemaRefs>
    <ds:schemaRef ds:uri="http://schemas.openxmlformats.org/officeDocument/2006/bibliography"/>
  </ds:schemaRefs>
</ds:datastoreItem>
</file>

<file path=customXml/itemProps4.xml><?xml version="1.0" encoding="utf-8"?>
<ds:datastoreItem xmlns:ds="http://schemas.openxmlformats.org/officeDocument/2006/customXml" ds:itemID="{4D2B0858-1B5D-4AA3-A4A8-8FFB4FE195D6}">
  <ds:schemaRefs>
    <ds:schemaRef ds:uri="http://schemas.microsoft.com/sharepoint/events"/>
  </ds:schemaRefs>
</ds:datastoreItem>
</file>

<file path=customXml/itemProps5.xml><?xml version="1.0" encoding="utf-8"?>
<ds:datastoreItem xmlns:ds="http://schemas.openxmlformats.org/officeDocument/2006/customXml" ds:itemID="{0B64C74D-90D5-409C-A324-A05329DFD51A}">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6.xml><?xml version="1.0" encoding="utf-8"?>
<ds:datastoreItem xmlns:ds="http://schemas.openxmlformats.org/officeDocument/2006/customXml" ds:itemID="{EE096970-D5E2-46A0-A401-030CAAA3665A}"/>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TOPIC</vt:lpstr>
    </vt:vector>
  </TitlesOfParts>
  <Company>AHCCCS</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LTSS Matrix portion</dc:title>
  <dc:creator>Katrina Cope</dc:creator>
  <cp:keywords>Duals LTSS Stakeholder Workgroup,Dual Demonstration,Dual Demonstration Stakeholder Workgroups,</cp:keywords>
  <cp:lastModifiedBy>Jamie Bracht</cp:lastModifiedBy>
  <cp:revision>3</cp:revision>
  <cp:lastPrinted>2011-12-20T17:13:00Z</cp:lastPrinted>
  <dcterms:created xsi:type="dcterms:W3CDTF">2012-05-01T23:44:00Z</dcterms:created>
  <dcterms:modified xsi:type="dcterms:W3CDTF">2020-10-28T23:30:00Z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0x010100EEE380F46F125946A8B4C4C90D9FFCDC002BD714A348B448409FBFD44A860871DB</vt:lpwstr>
  </property>
  <property fmtid="{D5CDD505-2E9C-101B-9397-08002B2CF9AE}" pid="4" name="Order">
    <vt:r8>346600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_dlc_DocIdItemGuid">
    <vt:lpwstr>88e263be-199e-461a-b8b3-34cfc8d32067</vt:lpwstr>
  </property>
  <property fmtid="{D5CDD505-2E9C-101B-9397-08002B2CF9AE}" pid="11" name="Remediated">
    <vt:bool>false</vt:bool>
  </property>
  <property fmtid="{D5CDD505-2E9C-101B-9397-08002B2CF9AE}" pid="12" name="Organization">
    <vt:lpwstr>7</vt:lpwstr>
  </property>
  <property fmtid="{D5CDD505-2E9C-101B-9397-08002B2CF9AE}" pid="13" name="Division">
    <vt:lpwstr>22;#Integrated Systems of Care|6fd1b75e-be80-4bfc-8514-f354fda71f41</vt:lpwstr>
  </property>
</Properties>
</file>