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B26A" w14:textId="74908EEA" w:rsidR="009C1BB2" w:rsidRPr="00C15BE1" w:rsidRDefault="007F2AB5" w:rsidP="00C15BE1">
      <w:pPr>
        <w:pStyle w:val="Heading1"/>
      </w:pPr>
      <w:r>
        <w:t>2022</w:t>
      </w:r>
      <w:r w:rsidR="009C1BB2" w:rsidRPr="00C15BE1">
        <w:t xml:space="preserve"> QASP Payment Award</w:t>
      </w:r>
    </w:p>
    <w:p w14:paraId="5B08B794" w14:textId="7CD29B74" w:rsidR="00C03FA7" w:rsidRPr="00C15BE1" w:rsidRDefault="00B57DB6" w:rsidP="00C15BE1">
      <w:r w:rsidRPr="00C15BE1">
        <w:t>T</w:t>
      </w:r>
      <w:r w:rsidR="004E0A08" w:rsidRPr="00C15BE1">
        <w:t xml:space="preserve">he </w:t>
      </w:r>
      <w:r w:rsidR="005A293B" w:rsidRPr="00C15BE1">
        <w:t xml:space="preserve">California </w:t>
      </w:r>
      <w:r w:rsidR="004E0A08" w:rsidRPr="00C15BE1">
        <w:t>Department of Health</w:t>
      </w:r>
      <w:r w:rsidR="00E44759" w:rsidRPr="00C15BE1">
        <w:t xml:space="preserve"> C</w:t>
      </w:r>
      <w:r w:rsidR="004E0A08" w:rsidRPr="00C15BE1">
        <w:t>are Services</w:t>
      </w:r>
      <w:r w:rsidR="00E44759" w:rsidRPr="00C15BE1">
        <w:t xml:space="preserve"> (DHCS)</w:t>
      </w:r>
      <w:r w:rsidR="00C03FA7" w:rsidRPr="00C15BE1">
        <w:t xml:space="preserve"> </w:t>
      </w:r>
      <w:r w:rsidRPr="00C15BE1">
        <w:t xml:space="preserve">has issued the annual payment for the </w:t>
      </w:r>
      <w:r w:rsidR="00EE13B8" w:rsidRPr="00C15BE1">
        <w:t xml:space="preserve">Annual </w:t>
      </w:r>
      <w:r w:rsidR="00596D7C" w:rsidRPr="00C15BE1">
        <w:t xml:space="preserve">Quality and Accountability Supplemental Payment (QASP) </w:t>
      </w:r>
      <w:r w:rsidR="00EE13B8" w:rsidRPr="00C15BE1">
        <w:t>Report</w:t>
      </w:r>
      <w:r w:rsidR="008D5B02" w:rsidRPr="00C15BE1">
        <w:t xml:space="preserve"> </w:t>
      </w:r>
      <w:r w:rsidR="005C06B6" w:rsidRPr="00C15BE1">
        <w:t>based on</w:t>
      </w:r>
      <w:r w:rsidR="008465EB" w:rsidRPr="00C15BE1">
        <w:t xml:space="preserve"> </w:t>
      </w:r>
      <w:r w:rsidR="00E95377">
        <w:t>2020-21</w:t>
      </w:r>
      <w:r w:rsidR="00596D7C" w:rsidRPr="00C15BE1">
        <w:t xml:space="preserve"> </w:t>
      </w:r>
      <w:r w:rsidR="008465EB" w:rsidRPr="00C15BE1">
        <w:t>performance period data</w:t>
      </w:r>
      <w:r w:rsidRPr="00C15BE1">
        <w:t>.</w:t>
      </w:r>
      <w:r w:rsidR="00485C21">
        <w:t xml:space="preserve"> Payments effective April 202</w:t>
      </w:r>
      <w:r w:rsidR="007F2AB5">
        <w:t>2</w:t>
      </w:r>
      <w:r w:rsidR="00485C21">
        <w:t xml:space="preserve"> </w:t>
      </w:r>
      <w:r w:rsidR="007F2AB5">
        <w:t>may be</w:t>
      </w:r>
      <w:r w:rsidR="00485C21">
        <w:t xml:space="preserve"> revised </w:t>
      </w:r>
      <w:r w:rsidR="007F2AB5">
        <w:t xml:space="preserve">as the July and October </w:t>
      </w:r>
      <w:r w:rsidR="00485C21">
        <w:t>Quarterly payment</w:t>
      </w:r>
      <w:r w:rsidR="007F2AB5">
        <w:t>s are</w:t>
      </w:r>
      <w:r w:rsidR="00485C21">
        <w:t xml:space="preserve"> issued.</w:t>
      </w:r>
    </w:p>
    <w:p w14:paraId="058D8D50" w14:textId="77777777" w:rsidR="00EF1867" w:rsidRDefault="00E44759" w:rsidP="00C15BE1">
      <w:r>
        <w:t>DHCS</w:t>
      </w:r>
      <w:r w:rsidR="0017274E">
        <w:t xml:space="preserve"> </w:t>
      </w:r>
      <w:r w:rsidR="00EF50D7">
        <w:t>in partnership with t</w:t>
      </w:r>
      <w:r w:rsidR="00693ABD">
        <w:t>he California Department of Public Health (</w:t>
      </w:r>
      <w:r w:rsidR="00F10488">
        <w:t>CDPH</w:t>
      </w:r>
      <w:r w:rsidR="00693ABD">
        <w:t>)</w:t>
      </w:r>
      <w:r w:rsidR="00F10488">
        <w:t xml:space="preserve"> </w:t>
      </w:r>
      <w:r w:rsidR="004E0A08">
        <w:t>utilizes</w:t>
      </w:r>
      <w:r w:rsidR="00E22FED">
        <w:t xml:space="preserve"> a</w:t>
      </w:r>
      <w:r w:rsidR="004E0A08">
        <w:t xml:space="preserve"> </w:t>
      </w:r>
      <w:r>
        <w:t>third</w:t>
      </w:r>
      <w:r w:rsidR="00E22FED">
        <w:t>-</w:t>
      </w:r>
      <w:r w:rsidR="004E0A08">
        <w:t xml:space="preserve">party </w:t>
      </w:r>
      <w:r w:rsidR="00E22FED">
        <w:t>contractor,</w:t>
      </w:r>
      <w:r w:rsidR="004E0A08">
        <w:t xml:space="preserve"> Health Services Advisory Group</w:t>
      </w:r>
      <w:r w:rsidR="006B50BC">
        <w:t xml:space="preserve"> (HSAG)</w:t>
      </w:r>
      <w:r w:rsidR="00596D7C">
        <w:t>,</w:t>
      </w:r>
      <w:r w:rsidR="004E0A08">
        <w:t xml:space="preserve"> </w:t>
      </w:r>
      <w:r w:rsidR="00E22FED">
        <w:t xml:space="preserve">to calculate the </w:t>
      </w:r>
      <w:r w:rsidR="004E0A08">
        <w:t xml:space="preserve">performance scores </w:t>
      </w:r>
      <w:r w:rsidR="00E22FED">
        <w:t>for</w:t>
      </w:r>
      <w:r w:rsidR="004E0A08">
        <w:t xml:space="preserve"> the QASP</w:t>
      </w:r>
      <w:r w:rsidR="00E22FED">
        <w:t xml:space="preserve"> program</w:t>
      </w:r>
      <w:r w:rsidR="00B57DB6">
        <w:t xml:space="preserve">. </w:t>
      </w:r>
      <w:r w:rsidR="00C03FA7" w:rsidRPr="00234537">
        <w:t>The</w:t>
      </w:r>
      <w:r w:rsidR="00E22FED">
        <w:t xml:space="preserve"> </w:t>
      </w:r>
      <w:r w:rsidR="00C03FA7" w:rsidRPr="00234537">
        <w:t>measure</w:t>
      </w:r>
      <w:r w:rsidR="00B57DB6">
        <w:t xml:space="preserve">s for the </w:t>
      </w:r>
      <w:r w:rsidR="00FA3647">
        <w:t>202</w:t>
      </w:r>
      <w:r w:rsidR="007F2AB5">
        <w:t>2</w:t>
      </w:r>
      <w:r w:rsidR="00FE2C26">
        <w:t xml:space="preserve"> QASP payments </w:t>
      </w:r>
      <w:r w:rsidR="006B50BC">
        <w:t xml:space="preserve">are </w:t>
      </w:r>
      <w:r w:rsidR="00FE2C26">
        <w:t xml:space="preserve">the following: </w:t>
      </w:r>
    </w:p>
    <w:p w14:paraId="50060943" w14:textId="29C4FF94" w:rsidR="00FE2C26" w:rsidRDefault="00FE2C26" w:rsidP="00C15BE1">
      <w:r>
        <w:t xml:space="preserve"> </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78"/>
        <w:gridCol w:w="3697"/>
      </w:tblGrid>
      <w:tr w:rsidR="00861B17" w:rsidRPr="00EF1867" w14:paraId="105D9BF2" w14:textId="77777777" w:rsidTr="00EF1867">
        <w:trPr>
          <w:trHeight w:hRule="exact" w:val="417"/>
          <w:jc w:val="center"/>
        </w:trPr>
        <w:tc>
          <w:tcPr>
            <w:tcW w:w="6278" w:type="dxa"/>
            <w:shd w:val="clear" w:color="auto" w:fill="002060"/>
            <w:tcMar>
              <w:top w:w="0" w:type="dxa"/>
              <w:left w:w="108" w:type="dxa"/>
              <w:bottom w:w="0" w:type="dxa"/>
              <w:right w:w="108" w:type="dxa"/>
            </w:tcMar>
            <w:vAlign w:val="center"/>
            <w:hideMark/>
          </w:tcPr>
          <w:p w14:paraId="33E4C026" w14:textId="77777777" w:rsidR="00861B17" w:rsidRPr="00EF1867" w:rsidRDefault="00861B17" w:rsidP="00EF1867">
            <w:pPr>
              <w:spacing w:line="276" w:lineRule="auto"/>
              <w:jc w:val="center"/>
              <w:rPr>
                <w:bCs/>
                <w:color w:val="FFFFFF" w:themeColor="background1"/>
              </w:rPr>
            </w:pPr>
            <w:r w:rsidRPr="00EF1867">
              <w:rPr>
                <w:bCs/>
                <w:color w:val="FFFFFF" w:themeColor="background1"/>
              </w:rPr>
              <w:t>Measurement Area/Indicator</w:t>
            </w:r>
          </w:p>
        </w:tc>
        <w:tc>
          <w:tcPr>
            <w:tcW w:w="3697" w:type="dxa"/>
            <w:shd w:val="clear" w:color="auto" w:fill="002060"/>
            <w:tcMar>
              <w:top w:w="0" w:type="dxa"/>
              <w:left w:w="108" w:type="dxa"/>
              <w:bottom w:w="0" w:type="dxa"/>
              <w:right w:w="108" w:type="dxa"/>
            </w:tcMar>
            <w:vAlign w:val="center"/>
            <w:hideMark/>
          </w:tcPr>
          <w:p w14:paraId="69AC419A" w14:textId="007F01B8" w:rsidR="00861B17" w:rsidRPr="00EF1867" w:rsidRDefault="00861B17" w:rsidP="00EF1867">
            <w:pPr>
              <w:spacing w:line="276" w:lineRule="auto"/>
              <w:jc w:val="center"/>
              <w:rPr>
                <w:bCs/>
                <w:color w:val="FFFFFF" w:themeColor="background1"/>
              </w:rPr>
            </w:pPr>
            <w:r w:rsidRPr="00EF1867">
              <w:rPr>
                <w:bCs/>
                <w:color w:val="FFFFFF" w:themeColor="background1"/>
              </w:rPr>
              <w:t>Possible Points:</w:t>
            </w:r>
          </w:p>
        </w:tc>
      </w:tr>
      <w:tr w:rsidR="00861B17" w:rsidRPr="00EF1867" w14:paraId="7F5CB81B" w14:textId="77777777" w:rsidTr="00EF1867">
        <w:trPr>
          <w:trHeight w:hRule="exact" w:val="417"/>
          <w:jc w:val="center"/>
        </w:trPr>
        <w:tc>
          <w:tcPr>
            <w:tcW w:w="6278" w:type="dxa"/>
            <w:shd w:val="clear" w:color="auto" w:fill="D9D9D9"/>
            <w:noWrap/>
            <w:tcMar>
              <w:top w:w="0" w:type="dxa"/>
              <w:left w:w="108" w:type="dxa"/>
              <w:bottom w:w="0" w:type="dxa"/>
              <w:right w:w="108" w:type="dxa"/>
            </w:tcMar>
            <w:vAlign w:val="bottom"/>
            <w:hideMark/>
          </w:tcPr>
          <w:p w14:paraId="72345513" w14:textId="77777777" w:rsidR="00861B17" w:rsidRPr="00EF1867" w:rsidRDefault="00861B17" w:rsidP="00EF1867">
            <w:pPr>
              <w:spacing w:line="276" w:lineRule="auto"/>
              <w:jc w:val="center"/>
              <w:rPr>
                <w:bCs/>
              </w:rPr>
            </w:pPr>
            <w:r w:rsidRPr="00EF1867">
              <w:rPr>
                <w:bCs/>
              </w:rPr>
              <w:t>Minimum Data Set Clinical</w:t>
            </w:r>
          </w:p>
        </w:tc>
        <w:tc>
          <w:tcPr>
            <w:tcW w:w="3697" w:type="dxa"/>
            <w:shd w:val="clear" w:color="auto" w:fill="D9D9D9"/>
            <w:noWrap/>
            <w:tcMar>
              <w:top w:w="0" w:type="dxa"/>
              <w:left w:w="108" w:type="dxa"/>
              <w:bottom w:w="0" w:type="dxa"/>
              <w:right w:w="108" w:type="dxa"/>
            </w:tcMar>
            <w:vAlign w:val="bottom"/>
            <w:hideMark/>
          </w:tcPr>
          <w:p w14:paraId="5CB0A2A7" w14:textId="77777777" w:rsidR="00861B17" w:rsidRPr="00EF1867" w:rsidRDefault="00861B17" w:rsidP="00EF1867">
            <w:pPr>
              <w:spacing w:line="276" w:lineRule="auto"/>
              <w:jc w:val="center"/>
              <w:rPr>
                <w:bCs/>
              </w:rPr>
            </w:pPr>
            <w:r w:rsidRPr="00EF1867">
              <w:rPr>
                <w:bCs/>
              </w:rPr>
              <w:t>100.00</w:t>
            </w:r>
          </w:p>
        </w:tc>
      </w:tr>
      <w:tr w:rsidR="00861B17" w:rsidRPr="00EF1867" w14:paraId="2C542965" w14:textId="77777777" w:rsidTr="00EF1867">
        <w:trPr>
          <w:trHeight w:hRule="exact" w:val="417"/>
          <w:jc w:val="center"/>
        </w:trPr>
        <w:tc>
          <w:tcPr>
            <w:tcW w:w="6278" w:type="dxa"/>
            <w:noWrap/>
            <w:tcMar>
              <w:top w:w="0" w:type="dxa"/>
              <w:left w:w="108" w:type="dxa"/>
              <w:bottom w:w="0" w:type="dxa"/>
              <w:right w:w="108" w:type="dxa"/>
            </w:tcMar>
            <w:vAlign w:val="bottom"/>
          </w:tcPr>
          <w:p w14:paraId="230FE30A" w14:textId="592C4EFF" w:rsidR="00861B17" w:rsidRPr="00EF1867" w:rsidRDefault="00861B17" w:rsidP="00EF1867">
            <w:r w:rsidRPr="00EF1867">
              <w:t xml:space="preserve">​Physical Restraints: Long Stay   </w:t>
            </w:r>
          </w:p>
        </w:tc>
        <w:tc>
          <w:tcPr>
            <w:tcW w:w="3697" w:type="dxa"/>
            <w:shd w:val="clear" w:color="auto" w:fill="auto"/>
            <w:noWrap/>
            <w:tcMar>
              <w:top w:w="0" w:type="dxa"/>
              <w:left w:w="108" w:type="dxa"/>
              <w:bottom w:w="0" w:type="dxa"/>
              <w:right w:w="108" w:type="dxa"/>
            </w:tcMar>
            <w:vAlign w:val="bottom"/>
          </w:tcPr>
          <w:p w14:paraId="3385BA98" w14:textId="77777777" w:rsidR="00861B17" w:rsidRPr="00EF1867" w:rsidRDefault="00861B17" w:rsidP="00EF1867">
            <w:r w:rsidRPr="00EF1867">
              <w:t>​Monitor-only, not scored</w:t>
            </w:r>
          </w:p>
        </w:tc>
      </w:tr>
      <w:tr w:rsidR="00861B17" w:rsidRPr="00EF1867" w14:paraId="1B9E88BD" w14:textId="77777777" w:rsidTr="00EF1867">
        <w:trPr>
          <w:trHeight w:hRule="exact" w:val="417"/>
          <w:jc w:val="center"/>
        </w:trPr>
        <w:tc>
          <w:tcPr>
            <w:tcW w:w="6278" w:type="dxa"/>
            <w:noWrap/>
            <w:tcMar>
              <w:top w:w="0" w:type="dxa"/>
              <w:left w:w="108" w:type="dxa"/>
              <w:bottom w:w="0" w:type="dxa"/>
              <w:right w:w="108" w:type="dxa"/>
            </w:tcMar>
            <w:vAlign w:val="bottom"/>
          </w:tcPr>
          <w:p w14:paraId="33C4C8CE" w14:textId="77777777" w:rsidR="00861B17" w:rsidRPr="00EF1867" w:rsidRDefault="00861B17" w:rsidP="00EF1867">
            <w:r w:rsidRPr="00EF1867">
              <w:t>​Facility Acquired Pressure Ulcer: Long Stay</w:t>
            </w:r>
          </w:p>
        </w:tc>
        <w:tc>
          <w:tcPr>
            <w:tcW w:w="3697" w:type="dxa"/>
            <w:shd w:val="clear" w:color="auto" w:fill="auto"/>
            <w:noWrap/>
            <w:tcMar>
              <w:top w:w="0" w:type="dxa"/>
              <w:left w:w="108" w:type="dxa"/>
              <w:bottom w:w="0" w:type="dxa"/>
              <w:right w:w="108" w:type="dxa"/>
            </w:tcMar>
            <w:vAlign w:val="bottom"/>
          </w:tcPr>
          <w:p w14:paraId="1F585AC2" w14:textId="77777777" w:rsidR="00861B17" w:rsidRPr="00EF1867" w:rsidRDefault="00861B17" w:rsidP="00EF1867">
            <w:r w:rsidRPr="00EF1867">
              <w:t>10.55600</w:t>
            </w:r>
          </w:p>
        </w:tc>
      </w:tr>
      <w:tr w:rsidR="00861B17" w:rsidRPr="00EF1867" w14:paraId="5EDE60C9" w14:textId="77777777" w:rsidTr="00EF1867">
        <w:trPr>
          <w:trHeight w:hRule="exact" w:val="417"/>
          <w:jc w:val="center"/>
        </w:trPr>
        <w:tc>
          <w:tcPr>
            <w:tcW w:w="6278" w:type="dxa"/>
            <w:noWrap/>
            <w:tcMar>
              <w:top w:w="0" w:type="dxa"/>
              <w:left w:w="108" w:type="dxa"/>
              <w:bottom w:w="0" w:type="dxa"/>
              <w:right w:w="108" w:type="dxa"/>
            </w:tcMar>
            <w:vAlign w:val="bottom"/>
            <w:hideMark/>
          </w:tcPr>
          <w:p w14:paraId="2BF08058" w14:textId="77777777" w:rsidR="00861B17" w:rsidRPr="00EF1867" w:rsidRDefault="00861B17" w:rsidP="00EF1867">
            <w:r w:rsidRPr="00EF1867">
              <w:t>​Influenza Vaccination: Short Stay</w:t>
            </w:r>
          </w:p>
        </w:tc>
        <w:tc>
          <w:tcPr>
            <w:tcW w:w="3697" w:type="dxa"/>
            <w:shd w:val="clear" w:color="auto" w:fill="auto"/>
            <w:noWrap/>
            <w:tcMar>
              <w:top w:w="0" w:type="dxa"/>
              <w:left w:w="108" w:type="dxa"/>
              <w:bottom w:w="0" w:type="dxa"/>
              <w:right w:w="108" w:type="dxa"/>
            </w:tcMar>
            <w:vAlign w:val="bottom"/>
          </w:tcPr>
          <w:p w14:paraId="447886F6" w14:textId="77777777" w:rsidR="00861B17" w:rsidRPr="00EF1867" w:rsidRDefault="00861B17" w:rsidP="00EF1867">
            <w:r w:rsidRPr="00EF1867">
              <w:t>10.55600</w:t>
            </w:r>
          </w:p>
        </w:tc>
      </w:tr>
      <w:tr w:rsidR="00861B17" w:rsidRPr="00EF1867" w14:paraId="13AF21AD" w14:textId="77777777" w:rsidTr="00EF1867">
        <w:trPr>
          <w:trHeight w:hRule="exact" w:val="417"/>
          <w:jc w:val="center"/>
        </w:trPr>
        <w:tc>
          <w:tcPr>
            <w:tcW w:w="6278" w:type="dxa"/>
            <w:noWrap/>
            <w:tcMar>
              <w:top w:w="0" w:type="dxa"/>
              <w:left w:w="108" w:type="dxa"/>
              <w:bottom w:w="0" w:type="dxa"/>
              <w:right w:w="108" w:type="dxa"/>
            </w:tcMar>
            <w:vAlign w:val="bottom"/>
            <w:hideMark/>
          </w:tcPr>
          <w:p w14:paraId="1433DB8F" w14:textId="77777777" w:rsidR="00861B17" w:rsidRPr="00EF1867" w:rsidRDefault="00861B17" w:rsidP="00EF1867">
            <w:r w:rsidRPr="00EF1867">
              <w:t xml:space="preserve">​Pneumococcal Vaccination: Short Stay </w:t>
            </w:r>
          </w:p>
        </w:tc>
        <w:tc>
          <w:tcPr>
            <w:tcW w:w="3697" w:type="dxa"/>
            <w:shd w:val="clear" w:color="auto" w:fill="auto"/>
            <w:noWrap/>
            <w:tcMar>
              <w:top w:w="0" w:type="dxa"/>
              <w:left w:w="108" w:type="dxa"/>
              <w:bottom w:w="0" w:type="dxa"/>
              <w:right w:w="108" w:type="dxa"/>
            </w:tcMar>
            <w:vAlign w:val="bottom"/>
          </w:tcPr>
          <w:p w14:paraId="247ABCF1" w14:textId="77777777" w:rsidR="00861B17" w:rsidRPr="00EF1867" w:rsidRDefault="00861B17" w:rsidP="00EF1867">
            <w:r w:rsidRPr="00EF1867">
              <w:t>5.27700</w:t>
            </w:r>
          </w:p>
        </w:tc>
      </w:tr>
      <w:tr w:rsidR="00861B17" w:rsidRPr="00EF1867" w14:paraId="1486B150" w14:textId="77777777" w:rsidTr="00EF1867">
        <w:trPr>
          <w:trHeight w:hRule="exact" w:val="417"/>
          <w:jc w:val="center"/>
        </w:trPr>
        <w:tc>
          <w:tcPr>
            <w:tcW w:w="6278" w:type="dxa"/>
            <w:noWrap/>
            <w:tcMar>
              <w:top w:w="0" w:type="dxa"/>
              <w:left w:w="108" w:type="dxa"/>
              <w:bottom w:w="0" w:type="dxa"/>
              <w:right w:w="108" w:type="dxa"/>
            </w:tcMar>
            <w:vAlign w:val="bottom"/>
            <w:hideMark/>
          </w:tcPr>
          <w:p w14:paraId="40AB9F32" w14:textId="77777777" w:rsidR="00861B17" w:rsidRPr="00EF1867" w:rsidRDefault="00861B17" w:rsidP="00EF1867">
            <w:r w:rsidRPr="00EF1867">
              <w:t xml:space="preserve">​Urinary Tract Infection: Long Stay      </w:t>
            </w:r>
          </w:p>
        </w:tc>
        <w:tc>
          <w:tcPr>
            <w:tcW w:w="3697" w:type="dxa"/>
            <w:shd w:val="clear" w:color="auto" w:fill="auto"/>
            <w:noWrap/>
            <w:tcMar>
              <w:top w:w="0" w:type="dxa"/>
              <w:left w:w="108" w:type="dxa"/>
              <w:bottom w:w="0" w:type="dxa"/>
              <w:right w:w="108" w:type="dxa"/>
            </w:tcMar>
            <w:vAlign w:val="bottom"/>
          </w:tcPr>
          <w:p w14:paraId="13072798" w14:textId="77777777" w:rsidR="00861B17" w:rsidRPr="00EF1867" w:rsidRDefault="00861B17" w:rsidP="00EF1867">
            <w:r w:rsidRPr="00EF1867">
              <w:t>5.27700</w:t>
            </w:r>
          </w:p>
        </w:tc>
      </w:tr>
      <w:tr w:rsidR="00861B17" w:rsidRPr="00EF1867" w14:paraId="572C1781" w14:textId="77777777" w:rsidTr="00EF1867">
        <w:trPr>
          <w:trHeight w:hRule="exact" w:val="417"/>
          <w:jc w:val="center"/>
        </w:trPr>
        <w:tc>
          <w:tcPr>
            <w:tcW w:w="6278" w:type="dxa"/>
            <w:noWrap/>
            <w:tcMar>
              <w:top w:w="0" w:type="dxa"/>
              <w:left w:w="108" w:type="dxa"/>
              <w:bottom w:w="0" w:type="dxa"/>
              <w:right w:w="108" w:type="dxa"/>
            </w:tcMar>
            <w:vAlign w:val="bottom"/>
            <w:hideMark/>
          </w:tcPr>
          <w:p w14:paraId="0E4CFB4B" w14:textId="77777777" w:rsidR="00861B17" w:rsidRPr="00EF1867" w:rsidRDefault="00861B17" w:rsidP="00EF1867">
            <w:r w:rsidRPr="00EF1867">
              <w:t xml:space="preserve">​Control of Bowel/Bladder: Long Stay     </w:t>
            </w:r>
          </w:p>
        </w:tc>
        <w:tc>
          <w:tcPr>
            <w:tcW w:w="3697" w:type="dxa"/>
            <w:shd w:val="clear" w:color="auto" w:fill="auto"/>
            <w:noWrap/>
            <w:tcMar>
              <w:top w:w="0" w:type="dxa"/>
              <w:left w:w="108" w:type="dxa"/>
              <w:bottom w:w="0" w:type="dxa"/>
              <w:right w:w="108" w:type="dxa"/>
            </w:tcMar>
            <w:vAlign w:val="bottom"/>
          </w:tcPr>
          <w:p w14:paraId="3A512CAF" w14:textId="77777777" w:rsidR="00861B17" w:rsidRPr="00EF1867" w:rsidRDefault="00861B17" w:rsidP="00EF1867">
            <w:r w:rsidRPr="00EF1867">
              <w:t>10.55600</w:t>
            </w:r>
          </w:p>
        </w:tc>
      </w:tr>
      <w:tr w:rsidR="00861B17" w:rsidRPr="00EF1867" w14:paraId="06A42E93" w14:textId="77777777" w:rsidTr="00EF1867">
        <w:trPr>
          <w:trHeight w:hRule="exact" w:val="417"/>
          <w:jc w:val="center"/>
        </w:trPr>
        <w:tc>
          <w:tcPr>
            <w:tcW w:w="6278" w:type="dxa"/>
            <w:noWrap/>
            <w:tcMar>
              <w:top w:w="0" w:type="dxa"/>
              <w:left w:w="108" w:type="dxa"/>
              <w:bottom w:w="0" w:type="dxa"/>
              <w:right w:w="108" w:type="dxa"/>
            </w:tcMar>
            <w:vAlign w:val="bottom"/>
            <w:hideMark/>
          </w:tcPr>
          <w:p w14:paraId="518E9936" w14:textId="77777777" w:rsidR="00861B17" w:rsidRPr="00EF1867" w:rsidRDefault="00861B17" w:rsidP="00EF1867">
            <w:r w:rsidRPr="00EF1867">
              <w:t xml:space="preserve">​Self-Report Pain: Short Stay    </w:t>
            </w:r>
          </w:p>
        </w:tc>
        <w:tc>
          <w:tcPr>
            <w:tcW w:w="3697" w:type="dxa"/>
            <w:shd w:val="clear" w:color="auto" w:fill="auto"/>
            <w:noWrap/>
            <w:tcMar>
              <w:top w:w="0" w:type="dxa"/>
              <w:left w:w="108" w:type="dxa"/>
              <w:bottom w:w="0" w:type="dxa"/>
              <w:right w:w="108" w:type="dxa"/>
            </w:tcMar>
            <w:vAlign w:val="bottom"/>
          </w:tcPr>
          <w:p w14:paraId="6698954A" w14:textId="77777777" w:rsidR="00861B17" w:rsidRPr="00EF1867" w:rsidRDefault="00861B17" w:rsidP="00EF1867">
            <w:r w:rsidRPr="00EF1867">
              <w:t>10.55600</w:t>
            </w:r>
          </w:p>
        </w:tc>
      </w:tr>
      <w:tr w:rsidR="00861B17" w:rsidRPr="00EF1867" w14:paraId="6279BA47" w14:textId="77777777" w:rsidTr="00EF1867">
        <w:trPr>
          <w:trHeight w:hRule="exact" w:val="417"/>
          <w:jc w:val="center"/>
        </w:trPr>
        <w:tc>
          <w:tcPr>
            <w:tcW w:w="6278" w:type="dxa"/>
            <w:noWrap/>
            <w:tcMar>
              <w:top w:w="0" w:type="dxa"/>
              <w:left w:w="108" w:type="dxa"/>
              <w:bottom w:w="0" w:type="dxa"/>
              <w:right w:w="108" w:type="dxa"/>
            </w:tcMar>
            <w:vAlign w:val="bottom"/>
            <w:hideMark/>
          </w:tcPr>
          <w:p w14:paraId="639B6616" w14:textId="77777777" w:rsidR="00861B17" w:rsidRPr="00EF1867" w:rsidRDefault="00861B17" w:rsidP="00EF1867">
            <w:r w:rsidRPr="00EF1867">
              <w:t xml:space="preserve">​Self-Report Pain: Long Stay         </w:t>
            </w:r>
          </w:p>
        </w:tc>
        <w:tc>
          <w:tcPr>
            <w:tcW w:w="3697" w:type="dxa"/>
            <w:shd w:val="clear" w:color="auto" w:fill="auto"/>
            <w:noWrap/>
            <w:tcMar>
              <w:top w:w="0" w:type="dxa"/>
              <w:left w:w="108" w:type="dxa"/>
              <w:bottom w:w="0" w:type="dxa"/>
              <w:right w:w="108" w:type="dxa"/>
            </w:tcMar>
            <w:vAlign w:val="bottom"/>
          </w:tcPr>
          <w:p w14:paraId="5BA84C08" w14:textId="77777777" w:rsidR="00861B17" w:rsidRPr="00EF1867" w:rsidRDefault="00861B17" w:rsidP="00EF1867">
            <w:r w:rsidRPr="00EF1867">
              <w:t>5.27700</w:t>
            </w:r>
          </w:p>
        </w:tc>
      </w:tr>
      <w:tr w:rsidR="00861B17" w:rsidRPr="00EF1867" w14:paraId="5B910EDA" w14:textId="77777777" w:rsidTr="00EF1867">
        <w:trPr>
          <w:trHeight w:hRule="exact" w:val="417"/>
          <w:jc w:val="center"/>
        </w:trPr>
        <w:tc>
          <w:tcPr>
            <w:tcW w:w="6278" w:type="dxa"/>
            <w:noWrap/>
            <w:tcMar>
              <w:top w:w="0" w:type="dxa"/>
              <w:left w:w="108" w:type="dxa"/>
              <w:bottom w:w="0" w:type="dxa"/>
              <w:right w:w="108" w:type="dxa"/>
            </w:tcMar>
            <w:vAlign w:val="bottom"/>
            <w:hideMark/>
          </w:tcPr>
          <w:p w14:paraId="72EC1ACB" w14:textId="77777777" w:rsidR="00861B17" w:rsidRPr="00EF1867" w:rsidRDefault="00861B17" w:rsidP="00EF1867">
            <w:r w:rsidRPr="00EF1867">
              <w:t xml:space="preserve">​Activities of Daily Living: Long Stay    </w:t>
            </w:r>
          </w:p>
        </w:tc>
        <w:tc>
          <w:tcPr>
            <w:tcW w:w="3697" w:type="dxa"/>
            <w:shd w:val="clear" w:color="auto" w:fill="auto"/>
            <w:noWrap/>
            <w:tcMar>
              <w:top w:w="0" w:type="dxa"/>
              <w:left w:w="108" w:type="dxa"/>
              <w:bottom w:w="0" w:type="dxa"/>
              <w:right w:w="108" w:type="dxa"/>
            </w:tcMar>
            <w:vAlign w:val="bottom"/>
          </w:tcPr>
          <w:p w14:paraId="66CCD840" w14:textId="77777777" w:rsidR="00861B17" w:rsidRPr="00EF1867" w:rsidRDefault="00861B17" w:rsidP="00EF1867">
            <w:r w:rsidRPr="00EF1867">
              <w:t>5.27700</w:t>
            </w:r>
          </w:p>
        </w:tc>
      </w:tr>
      <w:tr w:rsidR="00861B17" w:rsidRPr="00EF1867" w14:paraId="064EA73F" w14:textId="77777777" w:rsidTr="00EF1867">
        <w:trPr>
          <w:trHeight w:hRule="exact" w:val="417"/>
          <w:jc w:val="center"/>
        </w:trPr>
        <w:tc>
          <w:tcPr>
            <w:tcW w:w="6278" w:type="dxa"/>
            <w:noWrap/>
            <w:tcMar>
              <w:top w:w="0" w:type="dxa"/>
              <w:left w:w="108" w:type="dxa"/>
              <w:bottom w:w="0" w:type="dxa"/>
              <w:right w:w="108" w:type="dxa"/>
            </w:tcMar>
            <w:vAlign w:val="bottom"/>
          </w:tcPr>
          <w:p w14:paraId="66F3A7D8" w14:textId="77777777" w:rsidR="00861B17" w:rsidRPr="00EF1867" w:rsidRDefault="00861B17" w:rsidP="00EF1867">
            <w:r w:rsidRPr="00EF1867">
              <w:t>California-specific Antipsychotic Medication: Long Stay</w:t>
            </w:r>
          </w:p>
        </w:tc>
        <w:tc>
          <w:tcPr>
            <w:tcW w:w="3697" w:type="dxa"/>
            <w:shd w:val="clear" w:color="auto" w:fill="auto"/>
            <w:noWrap/>
            <w:tcMar>
              <w:top w:w="0" w:type="dxa"/>
              <w:left w:w="108" w:type="dxa"/>
              <w:bottom w:w="0" w:type="dxa"/>
              <w:right w:w="108" w:type="dxa"/>
            </w:tcMar>
            <w:vAlign w:val="bottom"/>
          </w:tcPr>
          <w:p w14:paraId="2C7B03D4" w14:textId="77777777" w:rsidR="00861B17" w:rsidRPr="00EF1867" w:rsidRDefault="00861B17" w:rsidP="00EF1867">
            <w:r w:rsidRPr="00EF1867">
              <w:t>10.55600</w:t>
            </w:r>
          </w:p>
        </w:tc>
      </w:tr>
      <w:tr w:rsidR="00861B17" w:rsidRPr="00EF1867" w14:paraId="1829C957" w14:textId="77777777" w:rsidTr="00EF1867">
        <w:trPr>
          <w:trHeight w:hRule="exact" w:val="417"/>
          <w:jc w:val="center"/>
        </w:trPr>
        <w:tc>
          <w:tcPr>
            <w:tcW w:w="6278" w:type="dxa"/>
            <w:noWrap/>
            <w:tcMar>
              <w:top w:w="0" w:type="dxa"/>
              <w:left w:w="108" w:type="dxa"/>
              <w:bottom w:w="0" w:type="dxa"/>
              <w:right w:w="108" w:type="dxa"/>
            </w:tcMar>
            <w:vAlign w:val="bottom"/>
            <w:hideMark/>
          </w:tcPr>
          <w:p w14:paraId="1272DD74" w14:textId="77777777" w:rsidR="00861B17" w:rsidRPr="00EF1867" w:rsidRDefault="00861B17" w:rsidP="00EF1867">
            <w:r w:rsidRPr="00EF1867">
              <w:t>Direct Care ​Staff Retention</w:t>
            </w:r>
          </w:p>
        </w:tc>
        <w:tc>
          <w:tcPr>
            <w:tcW w:w="3697" w:type="dxa"/>
            <w:shd w:val="clear" w:color="auto" w:fill="auto"/>
            <w:noWrap/>
            <w:tcMar>
              <w:top w:w="0" w:type="dxa"/>
              <w:left w:w="108" w:type="dxa"/>
              <w:bottom w:w="0" w:type="dxa"/>
              <w:right w:w="108" w:type="dxa"/>
            </w:tcMar>
            <w:vAlign w:val="bottom"/>
          </w:tcPr>
          <w:p w14:paraId="5BA65C24" w14:textId="77777777" w:rsidR="00861B17" w:rsidRPr="00EF1867" w:rsidRDefault="00861B17" w:rsidP="00EF1867">
            <w:r w:rsidRPr="00EF1867">
              <w:t>10.55600</w:t>
            </w:r>
          </w:p>
        </w:tc>
      </w:tr>
      <w:tr w:rsidR="00861B17" w:rsidRPr="00EF1867" w14:paraId="7B3D5C83" w14:textId="77777777" w:rsidTr="00EF1867">
        <w:trPr>
          <w:trHeight w:hRule="exact" w:val="417"/>
          <w:jc w:val="center"/>
        </w:trPr>
        <w:tc>
          <w:tcPr>
            <w:tcW w:w="6278" w:type="dxa"/>
            <w:noWrap/>
            <w:tcMar>
              <w:top w:w="0" w:type="dxa"/>
              <w:left w:w="108" w:type="dxa"/>
              <w:bottom w:w="0" w:type="dxa"/>
              <w:right w:w="108" w:type="dxa"/>
            </w:tcMar>
            <w:vAlign w:val="bottom"/>
          </w:tcPr>
          <w:p w14:paraId="161DD68A" w14:textId="77777777" w:rsidR="00861B17" w:rsidRPr="00EF1867" w:rsidRDefault="00861B17" w:rsidP="00EF1867">
            <w:r w:rsidRPr="00EF1867">
              <w:t>30 Day All-Cause Readmission</w:t>
            </w:r>
          </w:p>
        </w:tc>
        <w:tc>
          <w:tcPr>
            <w:tcW w:w="3697" w:type="dxa"/>
            <w:shd w:val="clear" w:color="auto" w:fill="auto"/>
            <w:noWrap/>
            <w:tcMar>
              <w:top w:w="0" w:type="dxa"/>
              <w:left w:w="108" w:type="dxa"/>
              <w:bottom w:w="0" w:type="dxa"/>
              <w:right w:w="108" w:type="dxa"/>
            </w:tcMar>
            <w:vAlign w:val="bottom"/>
          </w:tcPr>
          <w:p w14:paraId="11BC2DFF" w14:textId="77777777" w:rsidR="00861B17" w:rsidRPr="00EF1867" w:rsidRDefault="00861B17" w:rsidP="00EF1867">
            <w:r w:rsidRPr="00EF1867">
              <w:t>10.55600</w:t>
            </w:r>
          </w:p>
        </w:tc>
      </w:tr>
      <w:tr w:rsidR="00861B17" w:rsidRPr="00EF1867" w14:paraId="25C647DA" w14:textId="77777777" w:rsidTr="00EF1867">
        <w:trPr>
          <w:trHeight w:hRule="exact" w:val="417"/>
          <w:jc w:val="center"/>
        </w:trPr>
        <w:tc>
          <w:tcPr>
            <w:tcW w:w="6278" w:type="dxa"/>
            <w:noWrap/>
            <w:tcMar>
              <w:top w:w="0" w:type="dxa"/>
              <w:left w:w="108" w:type="dxa"/>
              <w:bottom w:w="0" w:type="dxa"/>
              <w:right w:w="108" w:type="dxa"/>
            </w:tcMar>
            <w:vAlign w:val="bottom"/>
          </w:tcPr>
          <w:p w14:paraId="7C12F55D" w14:textId="77777777" w:rsidR="00861B17" w:rsidRPr="00EF1867" w:rsidRDefault="00861B17" w:rsidP="00EF1867">
            <w:r w:rsidRPr="00EF1867">
              <w:t>Infection Preventionist</w:t>
            </w:r>
          </w:p>
        </w:tc>
        <w:tc>
          <w:tcPr>
            <w:tcW w:w="3697" w:type="dxa"/>
            <w:shd w:val="clear" w:color="auto" w:fill="auto"/>
            <w:noWrap/>
            <w:tcMar>
              <w:top w:w="0" w:type="dxa"/>
              <w:left w:w="108" w:type="dxa"/>
              <w:bottom w:w="0" w:type="dxa"/>
              <w:right w:w="108" w:type="dxa"/>
            </w:tcMar>
            <w:vAlign w:val="bottom"/>
          </w:tcPr>
          <w:p w14:paraId="7E5BE0A6" w14:textId="77777777" w:rsidR="00861B17" w:rsidRPr="00EF1867" w:rsidRDefault="00861B17" w:rsidP="00EF1867">
            <w:r w:rsidRPr="00EF1867">
              <w:t>5</w:t>
            </w:r>
          </w:p>
        </w:tc>
      </w:tr>
      <w:tr w:rsidR="00861B17" w:rsidRPr="00EF1867" w14:paraId="6A152BE6" w14:textId="77777777" w:rsidTr="00EF1867">
        <w:trPr>
          <w:trHeight w:hRule="exact" w:val="417"/>
          <w:jc w:val="center"/>
        </w:trPr>
        <w:tc>
          <w:tcPr>
            <w:tcW w:w="6278" w:type="dxa"/>
            <w:noWrap/>
            <w:tcMar>
              <w:top w:w="0" w:type="dxa"/>
              <w:left w:w="108" w:type="dxa"/>
              <w:bottom w:w="0" w:type="dxa"/>
              <w:right w:w="108" w:type="dxa"/>
            </w:tcMar>
            <w:vAlign w:val="bottom"/>
          </w:tcPr>
          <w:p w14:paraId="42BF404D" w14:textId="77777777" w:rsidR="00861B17" w:rsidRPr="00EF1867" w:rsidRDefault="00861B17" w:rsidP="00EF1867">
            <w:r w:rsidRPr="00EF1867">
              <w:t>Total</w:t>
            </w:r>
          </w:p>
        </w:tc>
        <w:tc>
          <w:tcPr>
            <w:tcW w:w="3697" w:type="dxa"/>
            <w:shd w:val="clear" w:color="auto" w:fill="auto"/>
            <w:noWrap/>
            <w:tcMar>
              <w:top w:w="0" w:type="dxa"/>
              <w:left w:w="108" w:type="dxa"/>
              <w:bottom w:w="0" w:type="dxa"/>
              <w:right w:w="108" w:type="dxa"/>
            </w:tcMar>
            <w:vAlign w:val="bottom"/>
          </w:tcPr>
          <w:p w14:paraId="3E12961A" w14:textId="77777777" w:rsidR="00861B17" w:rsidRPr="00EF1867" w:rsidRDefault="00861B17" w:rsidP="00EF1867">
            <w:r w:rsidRPr="00EF1867">
              <w:t>100</w:t>
            </w:r>
          </w:p>
        </w:tc>
      </w:tr>
    </w:tbl>
    <w:p w14:paraId="4B6F6B13" w14:textId="44006C0C" w:rsidR="00CF3D73" w:rsidRDefault="00CF3D73" w:rsidP="00C15BE1"/>
    <w:p w14:paraId="67D22F7B" w14:textId="246BDAC3" w:rsidR="00FA50D2" w:rsidRPr="00234537" w:rsidRDefault="00FA50D2" w:rsidP="00C15BE1"/>
    <w:sectPr w:rsidR="00FA50D2" w:rsidRPr="002345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133D0"/>
    <w:multiLevelType w:val="hybridMultilevel"/>
    <w:tmpl w:val="C66A719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3791D"/>
    <w:multiLevelType w:val="hybridMultilevel"/>
    <w:tmpl w:val="3752B0F6"/>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2" w15:restartNumberingAfterBreak="0">
    <w:nsid w:val="4F066181"/>
    <w:multiLevelType w:val="hybridMultilevel"/>
    <w:tmpl w:val="5DC48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2123E3"/>
    <w:multiLevelType w:val="hybridMultilevel"/>
    <w:tmpl w:val="0E40F4A8"/>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4" w15:restartNumberingAfterBreak="0">
    <w:nsid w:val="6E3E0908"/>
    <w:multiLevelType w:val="hybridMultilevel"/>
    <w:tmpl w:val="3520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FA7"/>
    <w:rsid w:val="0003024F"/>
    <w:rsid w:val="00045445"/>
    <w:rsid w:val="0005281A"/>
    <w:rsid w:val="000635A7"/>
    <w:rsid w:val="000E56E7"/>
    <w:rsid w:val="00100A83"/>
    <w:rsid w:val="00121E73"/>
    <w:rsid w:val="0017274E"/>
    <w:rsid w:val="001E2FC4"/>
    <w:rsid w:val="001F4075"/>
    <w:rsid w:val="00221CB1"/>
    <w:rsid w:val="00234537"/>
    <w:rsid w:val="002621A6"/>
    <w:rsid w:val="0027004F"/>
    <w:rsid w:val="00294195"/>
    <w:rsid w:val="002A6231"/>
    <w:rsid w:val="003712C3"/>
    <w:rsid w:val="003B620F"/>
    <w:rsid w:val="00484596"/>
    <w:rsid w:val="00485C21"/>
    <w:rsid w:val="00490C97"/>
    <w:rsid w:val="004C1B94"/>
    <w:rsid w:val="004D40D7"/>
    <w:rsid w:val="004E0A08"/>
    <w:rsid w:val="00522B1B"/>
    <w:rsid w:val="00556AE6"/>
    <w:rsid w:val="00596D7C"/>
    <w:rsid w:val="0059737E"/>
    <w:rsid w:val="005A293B"/>
    <w:rsid w:val="005C06B6"/>
    <w:rsid w:val="005D2062"/>
    <w:rsid w:val="005E2D05"/>
    <w:rsid w:val="006911C3"/>
    <w:rsid w:val="00691784"/>
    <w:rsid w:val="00693ABD"/>
    <w:rsid w:val="006A0DBC"/>
    <w:rsid w:val="006A622A"/>
    <w:rsid w:val="006B50BC"/>
    <w:rsid w:val="006E17E3"/>
    <w:rsid w:val="00733CEB"/>
    <w:rsid w:val="00765B45"/>
    <w:rsid w:val="00782F7F"/>
    <w:rsid w:val="00790B0E"/>
    <w:rsid w:val="007933DC"/>
    <w:rsid w:val="00793993"/>
    <w:rsid w:val="007F2AB5"/>
    <w:rsid w:val="00821279"/>
    <w:rsid w:val="00833E0F"/>
    <w:rsid w:val="008465EB"/>
    <w:rsid w:val="00861B17"/>
    <w:rsid w:val="008A5299"/>
    <w:rsid w:val="008B2EA5"/>
    <w:rsid w:val="008D5B02"/>
    <w:rsid w:val="00935591"/>
    <w:rsid w:val="00936524"/>
    <w:rsid w:val="0097487E"/>
    <w:rsid w:val="0098091D"/>
    <w:rsid w:val="00990F7E"/>
    <w:rsid w:val="009A4D27"/>
    <w:rsid w:val="009B17B4"/>
    <w:rsid w:val="009C1BB2"/>
    <w:rsid w:val="009D7110"/>
    <w:rsid w:val="009D7C1B"/>
    <w:rsid w:val="00A04668"/>
    <w:rsid w:val="00A1453E"/>
    <w:rsid w:val="00A35121"/>
    <w:rsid w:val="00A51A6B"/>
    <w:rsid w:val="00A80DF5"/>
    <w:rsid w:val="00A838FC"/>
    <w:rsid w:val="00A8501C"/>
    <w:rsid w:val="00AA5B3C"/>
    <w:rsid w:val="00B41E2D"/>
    <w:rsid w:val="00B472AE"/>
    <w:rsid w:val="00B57DB6"/>
    <w:rsid w:val="00B77373"/>
    <w:rsid w:val="00BC52C8"/>
    <w:rsid w:val="00C015FC"/>
    <w:rsid w:val="00C03FA7"/>
    <w:rsid w:val="00C15BE1"/>
    <w:rsid w:val="00C560EB"/>
    <w:rsid w:val="00C87E28"/>
    <w:rsid w:val="00CF3D73"/>
    <w:rsid w:val="00D17387"/>
    <w:rsid w:val="00D64041"/>
    <w:rsid w:val="00D92CD8"/>
    <w:rsid w:val="00D94DB9"/>
    <w:rsid w:val="00DC07E7"/>
    <w:rsid w:val="00E15F51"/>
    <w:rsid w:val="00E22FED"/>
    <w:rsid w:val="00E2483C"/>
    <w:rsid w:val="00E44759"/>
    <w:rsid w:val="00E9326E"/>
    <w:rsid w:val="00E95377"/>
    <w:rsid w:val="00EC2AF8"/>
    <w:rsid w:val="00EC3943"/>
    <w:rsid w:val="00ED2F64"/>
    <w:rsid w:val="00EE13B8"/>
    <w:rsid w:val="00EF1867"/>
    <w:rsid w:val="00EF50D7"/>
    <w:rsid w:val="00EF6E4C"/>
    <w:rsid w:val="00F10488"/>
    <w:rsid w:val="00F456B1"/>
    <w:rsid w:val="00FA3647"/>
    <w:rsid w:val="00FA50D2"/>
    <w:rsid w:val="00FE039D"/>
    <w:rsid w:val="00FE2C26"/>
    <w:rsid w:val="00FE6FD6"/>
    <w:rsid w:val="00FF3632"/>
    <w:rsid w:val="00FF5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A225"/>
  <w15:chartTrackingRefBased/>
  <w15:docId w15:val="{F1099884-B727-4C4A-BE8C-C4A3C714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E1"/>
    <w:rPr>
      <w:rFonts w:ascii="Arial" w:eastAsia="Calibri" w:hAnsi="Arial" w:cs="Arial"/>
      <w:iCs/>
      <w:sz w:val="24"/>
      <w:szCs w:val="24"/>
    </w:rPr>
  </w:style>
  <w:style w:type="paragraph" w:styleId="Heading1">
    <w:name w:val="heading 1"/>
    <w:basedOn w:val="Normal"/>
    <w:next w:val="Normal"/>
    <w:link w:val="Heading1Char"/>
    <w:uiPriority w:val="9"/>
    <w:qFormat/>
    <w:rsid w:val="00C15BE1"/>
    <w:pPr>
      <w:jc w:val="center"/>
      <w:outlineLvl w:val="0"/>
    </w:pPr>
    <w:rPr>
      <w:b/>
      <w:iCs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7387"/>
    <w:rPr>
      <w:sz w:val="16"/>
      <w:szCs w:val="16"/>
    </w:rPr>
  </w:style>
  <w:style w:type="paragraph" w:styleId="CommentText">
    <w:name w:val="annotation text"/>
    <w:basedOn w:val="Normal"/>
    <w:link w:val="CommentTextChar"/>
    <w:uiPriority w:val="99"/>
    <w:semiHidden/>
    <w:unhideWhenUsed/>
    <w:rsid w:val="00D17387"/>
    <w:rPr>
      <w:sz w:val="20"/>
      <w:szCs w:val="20"/>
    </w:rPr>
  </w:style>
  <w:style w:type="character" w:customStyle="1" w:styleId="CommentTextChar">
    <w:name w:val="Comment Text Char"/>
    <w:basedOn w:val="DefaultParagraphFont"/>
    <w:link w:val="CommentText"/>
    <w:uiPriority w:val="99"/>
    <w:semiHidden/>
    <w:rsid w:val="00D17387"/>
    <w:rPr>
      <w:sz w:val="20"/>
      <w:szCs w:val="20"/>
    </w:rPr>
  </w:style>
  <w:style w:type="paragraph" w:styleId="CommentSubject">
    <w:name w:val="annotation subject"/>
    <w:basedOn w:val="CommentText"/>
    <w:next w:val="CommentText"/>
    <w:link w:val="CommentSubjectChar"/>
    <w:uiPriority w:val="99"/>
    <w:semiHidden/>
    <w:unhideWhenUsed/>
    <w:rsid w:val="00D17387"/>
    <w:rPr>
      <w:b/>
      <w:bCs/>
    </w:rPr>
  </w:style>
  <w:style w:type="character" w:customStyle="1" w:styleId="CommentSubjectChar">
    <w:name w:val="Comment Subject Char"/>
    <w:basedOn w:val="CommentTextChar"/>
    <w:link w:val="CommentSubject"/>
    <w:uiPriority w:val="99"/>
    <w:semiHidden/>
    <w:rsid w:val="00D17387"/>
    <w:rPr>
      <w:b/>
      <w:bCs/>
      <w:sz w:val="20"/>
      <w:szCs w:val="20"/>
    </w:rPr>
  </w:style>
  <w:style w:type="paragraph" w:styleId="BalloonText">
    <w:name w:val="Balloon Text"/>
    <w:basedOn w:val="Normal"/>
    <w:link w:val="BalloonTextChar"/>
    <w:uiPriority w:val="99"/>
    <w:semiHidden/>
    <w:unhideWhenUsed/>
    <w:rsid w:val="00D173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387"/>
    <w:rPr>
      <w:rFonts w:ascii="Segoe UI" w:hAnsi="Segoe UI" w:cs="Segoe UI"/>
      <w:sz w:val="18"/>
      <w:szCs w:val="18"/>
    </w:rPr>
  </w:style>
  <w:style w:type="paragraph" w:styleId="ListParagraph">
    <w:name w:val="List Paragraph"/>
    <w:basedOn w:val="Normal"/>
    <w:uiPriority w:val="34"/>
    <w:qFormat/>
    <w:rsid w:val="00FE2C26"/>
    <w:pPr>
      <w:ind w:left="720"/>
      <w:contextualSpacing/>
    </w:pPr>
  </w:style>
  <w:style w:type="paragraph" w:styleId="Revision">
    <w:name w:val="Revision"/>
    <w:hidden/>
    <w:uiPriority w:val="99"/>
    <w:semiHidden/>
    <w:rsid w:val="00ED2F64"/>
    <w:pPr>
      <w:spacing w:after="0"/>
    </w:pPr>
  </w:style>
  <w:style w:type="character" w:customStyle="1" w:styleId="Heading1Char">
    <w:name w:val="Heading 1 Char"/>
    <w:basedOn w:val="DefaultParagraphFont"/>
    <w:link w:val="Heading1"/>
    <w:uiPriority w:val="9"/>
    <w:rsid w:val="00C15BE1"/>
    <w:rPr>
      <w:rFonts w:ascii="Arial" w:eastAsia="Calibri" w:hAnsi="Arial" w:cs="Arial"/>
      <w:b/>
      <w:i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814">
      <w:bodyDiv w:val="1"/>
      <w:marLeft w:val="0"/>
      <w:marRight w:val="0"/>
      <w:marTop w:val="0"/>
      <w:marBottom w:val="0"/>
      <w:divBdr>
        <w:top w:val="none" w:sz="0" w:space="0" w:color="auto"/>
        <w:left w:val="none" w:sz="0" w:space="0" w:color="auto"/>
        <w:bottom w:val="none" w:sz="0" w:space="0" w:color="auto"/>
        <w:right w:val="none" w:sz="0" w:space="0" w:color="auto"/>
      </w:divBdr>
    </w:div>
    <w:div w:id="655496395">
      <w:bodyDiv w:val="1"/>
      <w:marLeft w:val="0"/>
      <w:marRight w:val="0"/>
      <w:marTop w:val="0"/>
      <w:marBottom w:val="0"/>
      <w:divBdr>
        <w:top w:val="none" w:sz="0" w:space="0" w:color="auto"/>
        <w:left w:val="none" w:sz="0" w:space="0" w:color="auto"/>
        <w:bottom w:val="none" w:sz="0" w:space="0" w:color="auto"/>
        <w:right w:val="none" w:sz="0" w:space="0" w:color="auto"/>
      </w:divBdr>
    </w:div>
    <w:div w:id="681277169">
      <w:bodyDiv w:val="1"/>
      <w:marLeft w:val="0"/>
      <w:marRight w:val="0"/>
      <w:marTop w:val="0"/>
      <w:marBottom w:val="0"/>
      <w:divBdr>
        <w:top w:val="none" w:sz="0" w:space="0" w:color="auto"/>
        <w:left w:val="none" w:sz="0" w:space="0" w:color="auto"/>
        <w:bottom w:val="none" w:sz="0" w:space="0" w:color="auto"/>
        <w:right w:val="none" w:sz="0" w:space="0" w:color="auto"/>
      </w:divBdr>
    </w:div>
    <w:div w:id="1247692292">
      <w:bodyDiv w:val="1"/>
      <w:marLeft w:val="0"/>
      <w:marRight w:val="0"/>
      <w:marTop w:val="0"/>
      <w:marBottom w:val="0"/>
      <w:divBdr>
        <w:top w:val="none" w:sz="0" w:space="0" w:color="auto"/>
        <w:left w:val="none" w:sz="0" w:space="0" w:color="auto"/>
        <w:bottom w:val="none" w:sz="0" w:space="0" w:color="auto"/>
        <w:right w:val="none" w:sz="0" w:space="0" w:color="auto"/>
      </w:divBdr>
    </w:div>
    <w:div w:id="1414862211">
      <w:bodyDiv w:val="1"/>
      <w:marLeft w:val="0"/>
      <w:marRight w:val="0"/>
      <w:marTop w:val="0"/>
      <w:marBottom w:val="0"/>
      <w:divBdr>
        <w:top w:val="none" w:sz="0" w:space="0" w:color="auto"/>
        <w:left w:val="none" w:sz="0" w:space="0" w:color="auto"/>
        <w:bottom w:val="none" w:sz="0" w:space="0" w:color="auto"/>
        <w:right w:val="none" w:sz="0" w:space="0" w:color="auto"/>
      </w:divBdr>
    </w:div>
    <w:div w:id="194754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30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Fee-For-Service Rates Development</TermName>
          <TermId xmlns="http://schemas.microsoft.com/office/infopath/2007/PartnerControls">f4b3987f-d379-4ea2-9325-ab5a79e49e9a</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DHCSDOC-491057189-1174</_dlc_DocId>
    <_dlc_DocIdUrl xmlns="69bc34b3-1921-46c7-8c7a-d18363374b4b">
      <Url>https://dhcscagovauthoring/services/medi-cal/_layouts/15/DocIdRedir.aspx?ID=DHCSDOC-491057189-1174</Url>
      <Description>DHCSDOC-491057189-1174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EC1B0756F4142146B82915D6DE592518" ma:contentTypeVersion="36" ma:contentTypeDescription="This is the Custom Document Type for use by DHCS" ma:contentTypeScope="" ma:versionID="0306abd174536581353dce7fc5fcdc20">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B5841-9004-4816-B9CD-38FF6617E45D}">
  <ds:schemaRefs>
    <ds:schemaRef ds:uri="http://schemas.openxmlformats.org/officeDocument/2006/bibliography"/>
  </ds:schemaRefs>
</ds:datastoreItem>
</file>

<file path=customXml/itemProps2.xml><?xml version="1.0" encoding="utf-8"?>
<ds:datastoreItem xmlns:ds="http://schemas.openxmlformats.org/officeDocument/2006/customXml" ds:itemID="{C98C1988-A732-4F9E-82AE-7F6B0DB29A93}">
  <ds:schemaRefs>
    <ds:schemaRef ds:uri="c1c1dc04-eeda-4b6e-b2df-40979f5da1d3"/>
    <ds:schemaRef ds:uri="http://purl.org/dc/terms/"/>
    <ds:schemaRef ds:uri="http://purl.org/dc/dcmitype/"/>
    <ds:schemaRef ds:uri="69bc34b3-1921-46c7-8c7a-d18363374b4b"/>
    <ds:schemaRef ds:uri="http://purl.org/dc/elements/1.1/"/>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7DD592E-6CA9-493B-A32A-4674EC759C6D}">
  <ds:schemaRefs>
    <ds:schemaRef ds:uri="http://schemas.microsoft.com/sharepoint/v3/contenttype/forms"/>
  </ds:schemaRefs>
</ds:datastoreItem>
</file>

<file path=customXml/itemProps4.xml><?xml version="1.0" encoding="utf-8"?>
<ds:datastoreItem xmlns:ds="http://schemas.openxmlformats.org/officeDocument/2006/customXml" ds:itemID="{B0E4F911-77E5-4B29-844B-122F86E19A09}">
  <ds:schemaRefs>
    <ds:schemaRef ds:uri="http://schemas.microsoft.com/sharepoint/events"/>
  </ds:schemaRefs>
</ds:datastoreItem>
</file>

<file path=customXml/itemProps5.xml><?xml version="1.0" encoding="utf-8"?>
<ds:datastoreItem xmlns:ds="http://schemas.openxmlformats.org/officeDocument/2006/customXml" ds:itemID="{983EBBA8-989D-4270-8856-C6E10C60735E}"/>
</file>

<file path=docProps/app.xml><?xml version="1.0" encoding="utf-8"?>
<Properties xmlns="http://schemas.openxmlformats.org/officeDocument/2006/extended-properties" xmlns:vt="http://schemas.openxmlformats.org/officeDocument/2006/docPropsVTypes">
  <Template>Normal</Template>
  <TotalTime>12</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DHCS &amp; CDPH</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April QASP Award List Notice</dc:title>
  <dc:subject/>
  <dc:creator>Singh, Michael (FFSRD)@DHCS</dc:creator>
  <cp:keywords/>
  <dc:description/>
  <cp:lastModifiedBy>Seawright, Ken@DHCS</cp:lastModifiedBy>
  <cp:revision>8</cp:revision>
  <cp:lastPrinted>2018-04-20T16:59:00Z</cp:lastPrinted>
  <dcterms:created xsi:type="dcterms:W3CDTF">2020-04-27T20:09:00Z</dcterms:created>
  <dcterms:modified xsi:type="dcterms:W3CDTF">2022-07-07T16:15:00Z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0x010100EEE380F46F125946A8B4C4C90D9FFCDC00EC1B0756F4142146B82915D6DE592518</vt:lpwstr>
  </property>
  <property fmtid="{D5CDD505-2E9C-101B-9397-08002B2CF9AE}" pid="3" name="_dlc_DocIdItemGuid">
    <vt:lpwstr>fdd079fc-f56f-47af-a1c9-2727abf415ed</vt:lpwstr>
  </property>
  <property fmtid="{D5CDD505-2E9C-101B-9397-08002B2CF9AE}" pid="4" name="Division">
    <vt:lpwstr>30;#Fee-For-Service Rates Development|f4b3987f-d379-4ea2-9325-ab5a79e49e9a</vt:lpwstr>
  </property>
</Properties>
</file>