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CDE0A" w14:textId="77777777" w:rsidR="00230952" w:rsidRPr="008B648D" w:rsidRDefault="00230952" w:rsidP="00D07A41">
      <w:pPr>
        <w:tabs>
          <w:tab w:val="left" w:pos="10710"/>
          <w:tab w:val="left" w:pos="10800"/>
        </w:tabs>
        <w:spacing w:after="0" w:line="360" w:lineRule="auto"/>
        <w:ind w:left="187"/>
        <w:jc w:val="center"/>
        <w:rPr>
          <w:rFonts w:eastAsia="Times New Roman"/>
          <w:b/>
          <w:sz w:val="28"/>
          <w:szCs w:val="22"/>
        </w:rPr>
      </w:pPr>
      <w:r w:rsidRPr="008B648D">
        <w:rPr>
          <w:rFonts w:eastAsia="Times New Roman"/>
          <w:b/>
          <w:sz w:val="28"/>
          <w:szCs w:val="22"/>
        </w:rPr>
        <w:t>Instructions for Completing a CEDT Form</w:t>
      </w:r>
    </w:p>
    <w:p w14:paraId="411EF522" w14:textId="77777777" w:rsidR="00230952" w:rsidRPr="008B648D" w:rsidRDefault="00230952" w:rsidP="00321E9D">
      <w:pPr>
        <w:tabs>
          <w:tab w:val="left" w:pos="10710"/>
          <w:tab w:val="left" w:pos="10800"/>
        </w:tabs>
        <w:spacing w:after="120" w:line="312" w:lineRule="auto"/>
        <w:rPr>
          <w:rFonts w:eastAsia="Times New Roman"/>
          <w:sz w:val="18"/>
          <w:szCs w:val="18"/>
        </w:rPr>
      </w:pPr>
      <w:r w:rsidRPr="008B648D">
        <w:rPr>
          <w:rFonts w:eastAsia="Times New Roman"/>
          <w:sz w:val="18"/>
          <w:szCs w:val="18"/>
        </w:rPr>
        <w:t>The CEDT is divided into three (3) parts:</w:t>
      </w:r>
    </w:p>
    <w:p w14:paraId="5BAEE879" w14:textId="77777777" w:rsidR="00230952" w:rsidRPr="008B648D" w:rsidRDefault="00230952" w:rsidP="002711D5">
      <w:pPr>
        <w:tabs>
          <w:tab w:val="left" w:pos="10710"/>
          <w:tab w:val="left" w:pos="10800"/>
        </w:tabs>
        <w:spacing w:after="0" w:line="312" w:lineRule="auto"/>
        <w:ind w:left="810" w:hanging="630"/>
        <w:rPr>
          <w:rFonts w:eastAsia="Times New Roman"/>
          <w:sz w:val="18"/>
          <w:szCs w:val="18"/>
        </w:rPr>
      </w:pPr>
      <w:r w:rsidRPr="008B648D">
        <w:rPr>
          <w:rFonts w:eastAsia="Times New Roman"/>
          <w:b/>
          <w:sz w:val="18"/>
          <w:szCs w:val="18"/>
        </w:rPr>
        <w:t>Part 1 (Demographics and Sections A to G)</w:t>
      </w:r>
      <w:r w:rsidRPr="008B648D">
        <w:rPr>
          <w:rFonts w:eastAsia="Times New Roman"/>
          <w:sz w:val="18"/>
          <w:szCs w:val="18"/>
        </w:rPr>
        <w:t xml:space="preserve"> – The </w:t>
      </w:r>
      <w:r w:rsidRPr="008B648D">
        <w:rPr>
          <w:rFonts w:eastAsia="Times New Roman"/>
          <w:i/>
          <w:sz w:val="18"/>
          <w:szCs w:val="18"/>
        </w:rPr>
        <w:t>Assessment</w:t>
      </w:r>
      <w:r w:rsidR="004515F2" w:rsidRPr="008B648D">
        <w:rPr>
          <w:rFonts w:eastAsia="Times New Roman"/>
          <w:i/>
          <w:sz w:val="18"/>
          <w:szCs w:val="18"/>
        </w:rPr>
        <w:t>/Evaluation</w:t>
      </w:r>
      <w:r w:rsidRPr="008B648D">
        <w:rPr>
          <w:rFonts w:eastAsia="Times New Roman"/>
          <w:sz w:val="18"/>
          <w:szCs w:val="18"/>
        </w:rPr>
        <w:t xml:space="preserve"> part of the CEDT where the assess</w:t>
      </w:r>
      <w:r w:rsidR="007F6A92" w:rsidRPr="008B648D">
        <w:rPr>
          <w:rFonts w:eastAsia="Times New Roman"/>
          <w:sz w:val="18"/>
          <w:szCs w:val="18"/>
        </w:rPr>
        <w:t>or</w:t>
      </w:r>
      <w:r w:rsidRPr="008B648D">
        <w:rPr>
          <w:rFonts w:eastAsia="Times New Roman"/>
          <w:sz w:val="18"/>
          <w:szCs w:val="18"/>
        </w:rPr>
        <w:t xml:space="preserve"> captures relevant demographic</w:t>
      </w:r>
      <w:r w:rsidR="004F36D0" w:rsidRPr="008B648D">
        <w:rPr>
          <w:rFonts w:eastAsia="Times New Roman"/>
          <w:sz w:val="18"/>
          <w:szCs w:val="18"/>
        </w:rPr>
        <w:t xml:space="preserve"> information</w:t>
      </w:r>
      <w:r w:rsidRPr="008B648D">
        <w:rPr>
          <w:rFonts w:eastAsia="Times New Roman"/>
          <w:sz w:val="18"/>
          <w:szCs w:val="18"/>
        </w:rPr>
        <w:t>, systems review</w:t>
      </w:r>
      <w:r w:rsidR="004F36D0" w:rsidRPr="008B648D">
        <w:rPr>
          <w:rFonts w:eastAsia="Times New Roman"/>
          <w:sz w:val="18"/>
          <w:szCs w:val="18"/>
        </w:rPr>
        <w:t xml:space="preserve"> input</w:t>
      </w:r>
      <w:r w:rsidRPr="008B648D">
        <w:rPr>
          <w:rFonts w:eastAsia="Times New Roman"/>
          <w:sz w:val="18"/>
          <w:szCs w:val="18"/>
        </w:rPr>
        <w:t xml:space="preserve">, functional </w:t>
      </w:r>
      <w:r w:rsidR="004F36D0" w:rsidRPr="008B648D">
        <w:rPr>
          <w:rFonts w:eastAsia="Times New Roman"/>
          <w:sz w:val="18"/>
          <w:szCs w:val="18"/>
        </w:rPr>
        <w:t>review input, and additional support information.</w:t>
      </w:r>
    </w:p>
    <w:p w14:paraId="601962F7" w14:textId="77777777" w:rsidR="00230952" w:rsidRPr="008B648D" w:rsidRDefault="00230952" w:rsidP="002711D5">
      <w:pPr>
        <w:tabs>
          <w:tab w:val="left" w:pos="10710"/>
          <w:tab w:val="left" w:pos="10800"/>
        </w:tabs>
        <w:spacing w:after="0" w:line="312" w:lineRule="auto"/>
        <w:ind w:left="810" w:hanging="630"/>
        <w:rPr>
          <w:rFonts w:eastAsia="Times New Roman"/>
          <w:sz w:val="18"/>
          <w:szCs w:val="18"/>
        </w:rPr>
      </w:pPr>
      <w:r w:rsidRPr="008B648D">
        <w:rPr>
          <w:rFonts w:eastAsia="Times New Roman"/>
          <w:b/>
          <w:sz w:val="18"/>
          <w:szCs w:val="18"/>
        </w:rPr>
        <w:t>Part 2 (Section H)</w:t>
      </w:r>
      <w:r w:rsidR="004515F2" w:rsidRPr="008B648D">
        <w:rPr>
          <w:rFonts w:eastAsia="Times New Roman"/>
          <w:sz w:val="18"/>
          <w:szCs w:val="18"/>
        </w:rPr>
        <w:t xml:space="preserve"> – The </w:t>
      </w:r>
      <w:r w:rsidR="004515F2" w:rsidRPr="008B648D">
        <w:rPr>
          <w:rFonts w:eastAsia="Times New Roman"/>
          <w:i/>
          <w:sz w:val="18"/>
          <w:szCs w:val="18"/>
        </w:rPr>
        <w:t xml:space="preserve">AE&amp;MN </w:t>
      </w:r>
      <w:r w:rsidRPr="008B648D">
        <w:rPr>
          <w:rFonts w:eastAsia="Times New Roman"/>
          <w:i/>
          <w:sz w:val="18"/>
          <w:szCs w:val="18"/>
        </w:rPr>
        <w:t xml:space="preserve">Qualification Criteria </w:t>
      </w:r>
      <w:r w:rsidRPr="008B648D">
        <w:rPr>
          <w:rFonts w:eastAsia="Times New Roman"/>
          <w:sz w:val="18"/>
          <w:szCs w:val="18"/>
        </w:rPr>
        <w:t xml:space="preserve">section that </w:t>
      </w:r>
      <w:r w:rsidR="004515F2" w:rsidRPr="008B648D">
        <w:rPr>
          <w:rFonts w:eastAsia="Times New Roman"/>
          <w:sz w:val="18"/>
          <w:szCs w:val="18"/>
        </w:rPr>
        <w:t>uses</w:t>
      </w:r>
      <w:r w:rsidR="004F36D0" w:rsidRPr="008B648D">
        <w:rPr>
          <w:rFonts w:eastAsia="Times New Roman"/>
          <w:sz w:val="18"/>
          <w:szCs w:val="18"/>
        </w:rPr>
        <w:t xml:space="preserve"> information </w:t>
      </w:r>
      <w:proofErr w:type="gramStart"/>
      <w:r w:rsidR="004F36D0" w:rsidRPr="008B648D">
        <w:rPr>
          <w:rFonts w:eastAsia="Times New Roman"/>
          <w:sz w:val="18"/>
          <w:szCs w:val="18"/>
        </w:rPr>
        <w:t>from  Part</w:t>
      </w:r>
      <w:proofErr w:type="gramEnd"/>
      <w:r w:rsidR="004F36D0" w:rsidRPr="008B648D">
        <w:rPr>
          <w:rFonts w:eastAsia="Times New Roman"/>
          <w:sz w:val="18"/>
          <w:szCs w:val="18"/>
        </w:rPr>
        <w:t xml:space="preserve"> 1 to evaluate compliance with the “ADHC Eligibility and Medical Necessity” </w:t>
      </w:r>
      <w:r w:rsidR="004515F2" w:rsidRPr="008B648D">
        <w:rPr>
          <w:rFonts w:eastAsia="Times New Roman"/>
          <w:sz w:val="18"/>
          <w:szCs w:val="18"/>
        </w:rPr>
        <w:t xml:space="preserve">(AE&amp;MN) </w:t>
      </w:r>
      <w:r w:rsidR="004F36D0" w:rsidRPr="008B648D">
        <w:rPr>
          <w:rFonts w:eastAsia="Times New Roman"/>
          <w:sz w:val="18"/>
          <w:szCs w:val="18"/>
        </w:rPr>
        <w:t>criteria that must be met to qualify for any of the</w:t>
      </w:r>
      <w:r w:rsidR="004515F2" w:rsidRPr="008B648D">
        <w:rPr>
          <w:rFonts w:eastAsia="Times New Roman"/>
          <w:sz w:val="18"/>
          <w:szCs w:val="18"/>
        </w:rPr>
        <w:t xml:space="preserve"> five (</w:t>
      </w:r>
      <w:r w:rsidR="004F36D0" w:rsidRPr="008B648D">
        <w:rPr>
          <w:rFonts w:eastAsia="Times New Roman"/>
          <w:sz w:val="18"/>
          <w:szCs w:val="18"/>
        </w:rPr>
        <w:t>5</w:t>
      </w:r>
      <w:r w:rsidR="004515F2" w:rsidRPr="008B648D">
        <w:rPr>
          <w:rFonts w:eastAsia="Times New Roman"/>
          <w:sz w:val="18"/>
          <w:szCs w:val="18"/>
        </w:rPr>
        <w:t>)</w:t>
      </w:r>
      <w:r w:rsidR="004F36D0" w:rsidRPr="008B648D">
        <w:rPr>
          <w:rFonts w:eastAsia="Times New Roman"/>
          <w:sz w:val="18"/>
          <w:szCs w:val="18"/>
        </w:rPr>
        <w:t xml:space="preserve"> CBAS eligibility categories</w:t>
      </w:r>
      <w:r w:rsidR="004515F2" w:rsidRPr="008B648D">
        <w:rPr>
          <w:rFonts w:eastAsia="Times New Roman"/>
          <w:sz w:val="18"/>
          <w:szCs w:val="18"/>
        </w:rPr>
        <w:t xml:space="preserve"> in Part 3</w:t>
      </w:r>
      <w:r w:rsidR="004F36D0" w:rsidRPr="008B648D">
        <w:rPr>
          <w:rFonts w:eastAsia="Times New Roman"/>
          <w:sz w:val="18"/>
          <w:szCs w:val="18"/>
        </w:rPr>
        <w:t>.</w:t>
      </w:r>
      <w:r w:rsidRPr="008B648D">
        <w:rPr>
          <w:rFonts w:eastAsia="Times New Roman"/>
          <w:sz w:val="18"/>
          <w:szCs w:val="18"/>
        </w:rPr>
        <w:t xml:space="preserve">  </w:t>
      </w:r>
    </w:p>
    <w:p w14:paraId="48F684FB" w14:textId="77777777" w:rsidR="004F36D0" w:rsidRPr="008B648D" w:rsidRDefault="004F36D0" w:rsidP="002711D5">
      <w:pPr>
        <w:tabs>
          <w:tab w:val="left" w:pos="10710"/>
          <w:tab w:val="left" w:pos="10800"/>
        </w:tabs>
        <w:spacing w:after="0" w:line="312" w:lineRule="auto"/>
        <w:ind w:left="810" w:hanging="630"/>
        <w:rPr>
          <w:rFonts w:eastAsia="Times New Roman"/>
          <w:sz w:val="18"/>
          <w:szCs w:val="18"/>
        </w:rPr>
      </w:pPr>
      <w:r w:rsidRPr="008B648D">
        <w:rPr>
          <w:rFonts w:eastAsia="Times New Roman"/>
          <w:b/>
          <w:sz w:val="18"/>
          <w:szCs w:val="18"/>
        </w:rPr>
        <w:t xml:space="preserve">Part 3 (Sections I &amp; J) </w:t>
      </w:r>
      <w:r w:rsidR="004515F2" w:rsidRPr="008B648D">
        <w:rPr>
          <w:rFonts w:eastAsia="Times New Roman"/>
          <w:sz w:val="18"/>
          <w:szCs w:val="18"/>
        </w:rPr>
        <w:t xml:space="preserve">– The </w:t>
      </w:r>
      <w:r w:rsidR="004515F2" w:rsidRPr="008B648D">
        <w:rPr>
          <w:rFonts w:eastAsia="Times New Roman"/>
          <w:i/>
          <w:sz w:val="18"/>
          <w:szCs w:val="18"/>
        </w:rPr>
        <w:t>Eligibility</w:t>
      </w:r>
      <w:r w:rsidR="004515F2" w:rsidRPr="008B648D">
        <w:rPr>
          <w:rFonts w:eastAsia="Times New Roman"/>
          <w:sz w:val="18"/>
          <w:szCs w:val="18"/>
        </w:rPr>
        <w:t xml:space="preserve"> </w:t>
      </w:r>
      <w:r w:rsidRPr="008B648D">
        <w:rPr>
          <w:rFonts w:eastAsia="Times New Roman"/>
          <w:i/>
          <w:sz w:val="18"/>
          <w:szCs w:val="18"/>
        </w:rPr>
        <w:t>Outcomes</w:t>
      </w:r>
      <w:r w:rsidRPr="008B648D">
        <w:rPr>
          <w:rFonts w:eastAsia="Times New Roman"/>
          <w:sz w:val="18"/>
          <w:szCs w:val="18"/>
        </w:rPr>
        <w:t xml:space="preserve"> part of the CEDT where the assess</w:t>
      </w:r>
      <w:r w:rsidR="007F6A92" w:rsidRPr="008B648D">
        <w:rPr>
          <w:rFonts w:eastAsia="Times New Roman"/>
          <w:sz w:val="18"/>
          <w:szCs w:val="18"/>
        </w:rPr>
        <w:t>or</w:t>
      </w:r>
      <w:r w:rsidRPr="008B648D">
        <w:rPr>
          <w:rFonts w:eastAsia="Times New Roman"/>
          <w:sz w:val="18"/>
          <w:szCs w:val="18"/>
        </w:rPr>
        <w:t xml:space="preserve"> uses information </w:t>
      </w:r>
      <w:proofErr w:type="gramStart"/>
      <w:r w:rsidRPr="008B648D">
        <w:rPr>
          <w:rFonts w:eastAsia="Times New Roman"/>
          <w:sz w:val="18"/>
          <w:szCs w:val="18"/>
        </w:rPr>
        <w:t xml:space="preserve">from  </w:t>
      </w:r>
      <w:r w:rsidR="00F92299" w:rsidRPr="008B648D">
        <w:rPr>
          <w:rFonts w:eastAsia="Times New Roman"/>
          <w:sz w:val="18"/>
          <w:szCs w:val="18"/>
        </w:rPr>
        <w:t>P</w:t>
      </w:r>
      <w:r w:rsidRPr="008B648D">
        <w:rPr>
          <w:rFonts w:eastAsia="Times New Roman"/>
          <w:sz w:val="18"/>
          <w:szCs w:val="18"/>
        </w:rPr>
        <w:t>arts</w:t>
      </w:r>
      <w:proofErr w:type="gramEnd"/>
      <w:r w:rsidRPr="008B648D">
        <w:rPr>
          <w:rFonts w:eastAsia="Times New Roman"/>
          <w:sz w:val="18"/>
          <w:szCs w:val="18"/>
        </w:rPr>
        <w:t xml:space="preserve"> 1 and 2 to evaluate compliance with the component eligibility criteria for each of the </w:t>
      </w:r>
      <w:r w:rsidR="004515F2" w:rsidRPr="008B648D">
        <w:rPr>
          <w:rFonts w:eastAsia="Times New Roman"/>
          <w:sz w:val="18"/>
          <w:szCs w:val="18"/>
        </w:rPr>
        <w:t>five (</w:t>
      </w:r>
      <w:r w:rsidRPr="008B648D">
        <w:rPr>
          <w:rFonts w:eastAsia="Times New Roman"/>
          <w:sz w:val="18"/>
          <w:szCs w:val="18"/>
        </w:rPr>
        <w:t>5</w:t>
      </w:r>
      <w:r w:rsidR="004515F2" w:rsidRPr="008B648D">
        <w:rPr>
          <w:rFonts w:eastAsia="Times New Roman"/>
          <w:sz w:val="18"/>
          <w:szCs w:val="18"/>
        </w:rPr>
        <w:t>)</w:t>
      </w:r>
      <w:r w:rsidRPr="008B648D">
        <w:rPr>
          <w:rFonts w:eastAsia="Times New Roman"/>
          <w:sz w:val="18"/>
          <w:szCs w:val="18"/>
        </w:rPr>
        <w:t xml:space="preserve"> CBAS eligibility categories.  This part also includes a signature section (</w:t>
      </w:r>
      <w:r w:rsidR="007F6A92" w:rsidRPr="008B648D">
        <w:rPr>
          <w:rFonts w:eastAsia="Times New Roman"/>
          <w:sz w:val="18"/>
          <w:szCs w:val="18"/>
        </w:rPr>
        <w:t>S</w:t>
      </w:r>
      <w:r w:rsidRPr="008B648D">
        <w:rPr>
          <w:rFonts w:eastAsia="Times New Roman"/>
          <w:sz w:val="18"/>
          <w:szCs w:val="18"/>
        </w:rPr>
        <w:t>ection J) to record various review steps and roles in</w:t>
      </w:r>
      <w:r w:rsidR="007F6A92" w:rsidRPr="008B648D">
        <w:rPr>
          <w:rFonts w:eastAsia="Times New Roman"/>
          <w:sz w:val="18"/>
          <w:szCs w:val="18"/>
        </w:rPr>
        <w:t xml:space="preserve"> </w:t>
      </w:r>
      <w:r w:rsidR="004515F2" w:rsidRPr="008B648D">
        <w:rPr>
          <w:rFonts w:eastAsia="Times New Roman"/>
          <w:sz w:val="18"/>
          <w:szCs w:val="18"/>
        </w:rPr>
        <w:t xml:space="preserve">the </w:t>
      </w:r>
      <w:r w:rsidR="007F6A92" w:rsidRPr="008B648D">
        <w:rPr>
          <w:rFonts w:eastAsia="Times New Roman"/>
          <w:sz w:val="18"/>
          <w:szCs w:val="18"/>
        </w:rPr>
        <w:t>determination process.</w:t>
      </w:r>
    </w:p>
    <w:p w14:paraId="34587690" w14:textId="77777777" w:rsidR="004F36D0" w:rsidRPr="008B648D" w:rsidRDefault="004F36D0" w:rsidP="002711D5">
      <w:pPr>
        <w:tabs>
          <w:tab w:val="left" w:pos="10710"/>
          <w:tab w:val="left" w:pos="10800"/>
        </w:tabs>
        <w:spacing w:after="0" w:line="312" w:lineRule="auto"/>
        <w:rPr>
          <w:rFonts w:eastAsia="Times New Roman"/>
          <w:sz w:val="18"/>
          <w:szCs w:val="18"/>
        </w:rPr>
      </w:pPr>
    </w:p>
    <w:p w14:paraId="40C942F0" w14:textId="77777777" w:rsidR="00230952" w:rsidRPr="008B648D" w:rsidRDefault="00230952" w:rsidP="002711D5">
      <w:pPr>
        <w:tabs>
          <w:tab w:val="left" w:pos="10710"/>
          <w:tab w:val="left" w:pos="10800"/>
        </w:tabs>
        <w:spacing w:after="0" w:line="312" w:lineRule="auto"/>
        <w:rPr>
          <w:rFonts w:eastAsia="Times New Roman"/>
          <w:sz w:val="18"/>
          <w:szCs w:val="18"/>
        </w:rPr>
      </w:pPr>
      <w:r w:rsidRPr="008B648D">
        <w:rPr>
          <w:rFonts w:eastAsia="Times New Roman"/>
          <w:sz w:val="18"/>
          <w:szCs w:val="18"/>
        </w:rPr>
        <w:t>The purpose of the CBAS Eligibility Determination Tool is to incrementally document and support the final outcome of the eligibility determination process</w:t>
      </w:r>
      <w:r w:rsidR="007F6A92" w:rsidRPr="008B648D">
        <w:rPr>
          <w:rFonts w:eastAsia="Times New Roman"/>
          <w:sz w:val="18"/>
          <w:szCs w:val="18"/>
        </w:rPr>
        <w:t xml:space="preserve"> as</w:t>
      </w:r>
      <w:r w:rsidRPr="008B648D">
        <w:rPr>
          <w:rFonts w:eastAsia="Times New Roman"/>
          <w:sz w:val="18"/>
          <w:szCs w:val="18"/>
        </w:rPr>
        <w:t xml:space="preserve"> captured on Part 3 of the CEDT Form.  With this purpose in mind, please do the following:</w:t>
      </w:r>
    </w:p>
    <w:p w14:paraId="0419B5C0" w14:textId="77777777" w:rsidR="00C2518C" w:rsidRPr="008B648D" w:rsidRDefault="00C2518C" w:rsidP="002711D5">
      <w:pPr>
        <w:tabs>
          <w:tab w:val="left" w:pos="10710"/>
          <w:tab w:val="left" w:pos="10800"/>
        </w:tabs>
        <w:spacing w:after="0" w:line="312" w:lineRule="auto"/>
        <w:rPr>
          <w:rFonts w:eastAsia="Times New Roman"/>
          <w:sz w:val="18"/>
          <w:szCs w:val="18"/>
        </w:rPr>
      </w:pPr>
    </w:p>
    <w:tbl>
      <w:tblPr>
        <w:tblStyle w:val="TableGrid"/>
        <w:tblW w:w="0" w:type="auto"/>
        <w:shd w:val="clear" w:color="auto" w:fill="808080" w:themeFill="background1" w:themeFillShade="80"/>
        <w:tblLook w:val="04A0" w:firstRow="1" w:lastRow="0" w:firstColumn="1" w:lastColumn="0" w:noHBand="0" w:noVBand="1"/>
      </w:tblPr>
      <w:tblGrid>
        <w:gridCol w:w="11016"/>
      </w:tblGrid>
      <w:tr w:rsidR="008B648D" w:rsidRPr="008B648D" w14:paraId="6014A76C" w14:textId="77777777" w:rsidTr="004259A3">
        <w:tc>
          <w:tcPr>
            <w:tcW w:w="11016" w:type="dxa"/>
            <w:shd w:val="clear" w:color="auto" w:fill="808080" w:themeFill="background1" w:themeFillShade="80"/>
            <w:vAlign w:val="center"/>
          </w:tcPr>
          <w:p w14:paraId="695E41F1" w14:textId="77777777" w:rsidR="004259A3" w:rsidRPr="008B648D" w:rsidRDefault="004259A3" w:rsidP="002711D5">
            <w:pPr>
              <w:tabs>
                <w:tab w:val="left" w:pos="10710"/>
                <w:tab w:val="left" w:pos="10800"/>
              </w:tabs>
              <w:spacing w:before="120" w:after="120" w:line="312" w:lineRule="auto"/>
              <w:jc w:val="center"/>
              <w:rPr>
                <w:rFonts w:eastAsia="Times New Roman"/>
                <w:b/>
                <w:sz w:val="22"/>
                <w:szCs w:val="18"/>
              </w:rPr>
            </w:pPr>
            <w:r w:rsidRPr="008B648D">
              <w:rPr>
                <w:rFonts w:eastAsia="Times New Roman"/>
                <w:b/>
                <w:sz w:val="22"/>
                <w:szCs w:val="18"/>
              </w:rPr>
              <w:t>General Instructions</w:t>
            </w:r>
          </w:p>
        </w:tc>
      </w:tr>
    </w:tbl>
    <w:p w14:paraId="1367B127" w14:textId="77777777" w:rsidR="00321E9D" w:rsidRPr="008B648D" w:rsidRDefault="002711D5"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Plan each assessment with the end in mind</w:t>
      </w:r>
      <w:r w:rsidR="00321E9D" w:rsidRPr="008B648D">
        <w:rPr>
          <w:rFonts w:eastAsia="Times New Roman"/>
          <w:sz w:val="18"/>
          <w:szCs w:val="18"/>
        </w:rPr>
        <w:t xml:space="preserve">: </w:t>
      </w:r>
    </w:p>
    <w:p w14:paraId="0C03F39F" w14:textId="77777777" w:rsidR="002711D5" w:rsidRPr="008B648D" w:rsidRDefault="002711D5" w:rsidP="00321E9D">
      <w:pPr>
        <w:numPr>
          <w:ilvl w:val="1"/>
          <w:numId w:val="1"/>
        </w:numPr>
        <w:tabs>
          <w:tab w:val="left" w:pos="10710"/>
          <w:tab w:val="left" w:pos="10800"/>
        </w:tabs>
        <w:spacing w:before="120" w:after="120" w:line="312" w:lineRule="auto"/>
        <w:ind w:left="720"/>
        <w:rPr>
          <w:rFonts w:eastAsia="Times New Roman"/>
          <w:sz w:val="18"/>
          <w:szCs w:val="18"/>
        </w:rPr>
      </w:pPr>
      <w:r w:rsidRPr="008B648D">
        <w:rPr>
          <w:rFonts w:eastAsia="Times New Roman"/>
          <w:sz w:val="18"/>
          <w:szCs w:val="18"/>
        </w:rPr>
        <w:t>Look at the 5 categories of eligibility in Part 3 and their 2 or 3 component eligibility elements.  This serves to imprint the qualifying diagnoses or conditions and ADL/IADLs so you are looking for them in Part 1 (during the candidate interview).</w:t>
      </w:r>
    </w:p>
    <w:p w14:paraId="0EA5D50F" w14:textId="77777777" w:rsidR="002711D5" w:rsidRPr="008B648D" w:rsidRDefault="002711D5" w:rsidP="00321E9D">
      <w:pPr>
        <w:numPr>
          <w:ilvl w:val="1"/>
          <w:numId w:val="1"/>
        </w:numPr>
        <w:tabs>
          <w:tab w:val="left" w:pos="10710"/>
          <w:tab w:val="left" w:pos="10800"/>
        </w:tabs>
        <w:spacing w:before="120" w:after="120" w:line="312" w:lineRule="auto"/>
        <w:ind w:left="720"/>
        <w:rPr>
          <w:rFonts w:eastAsia="Times New Roman"/>
          <w:sz w:val="18"/>
          <w:szCs w:val="18"/>
        </w:rPr>
      </w:pPr>
      <w:r w:rsidRPr="008B648D">
        <w:rPr>
          <w:rFonts w:eastAsia="Times New Roman"/>
          <w:sz w:val="18"/>
          <w:szCs w:val="18"/>
        </w:rPr>
        <w:t xml:space="preserve">Look at Part 2 to see the characteristics of the participants that need to be catalogued to illustrate compliance with the core ADHC Eligibility &amp; Medical Necessity criteria.  Nurses experienced in these assessments can have these in mind and catalog these elements in Part 1 of the CEDT during the candidate interview. </w:t>
      </w:r>
    </w:p>
    <w:p w14:paraId="0AEB6011" w14:textId="77777777" w:rsidR="00230952" w:rsidRPr="008B648D" w:rsidRDefault="00F92299"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It is important to complete the entire form.  </w:t>
      </w:r>
      <w:r w:rsidR="00230952" w:rsidRPr="008B648D">
        <w:rPr>
          <w:rFonts w:eastAsia="Times New Roman"/>
          <w:sz w:val="18"/>
          <w:szCs w:val="18"/>
        </w:rPr>
        <w:t xml:space="preserve">Document the identified information in </w:t>
      </w:r>
      <w:r w:rsidR="00230952" w:rsidRPr="008B648D">
        <w:rPr>
          <w:rFonts w:eastAsia="Times New Roman"/>
          <w:sz w:val="18"/>
          <w:szCs w:val="18"/>
          <w:u w:val="single"/>
        </w:rPr>
        <w:t>each</w:t>
      </w:r>
      <w:r w:rsidR="00230952" w:rsidRPr="008B648D">
        <w:rPr>
          <w:rFonts w:eastAsia="Times New Roman"/>
          <w:sz w:val="18"/>
          <w:szCs w:val="18"/>
        </w:rPr>
        <w:t xml:space="preserve"> section of the form, including areas labeled “Explain”.  Use the “Explain” areas to capture information relevant to the respective subsection of the form</w:t>
      </w:r>
      <w:r w:rsidR="00D07A41" w:rsidRPr="008B648D">
        <w:rPr>
          <w:rFonts w:eastAsia="Times New Roman"/>
          <w:sz w:val="18"/>
          <w:szCs w:val="18"/>
        </w:rPr>
        <w:t xml:space="preserve"> including information that may be unknown or unavailable.</w:t>
      </w:r>
    </w:p>
    <w:p w14:paraId="02D127D3" w14:textId="77777777" w:rsidR="00F92299" w:rsidRPr="008B648D" w:rsidRDefault="008D75AB"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If insufficiencies exist that may contribute to a denial of eligibility, please describe the insufficiency and the relevant source(s).</w:t>
      </w:r>
    </w:p>
    <w:p w14:paraId="2CF16D3F" w14:textId="77777777" w:rsidR="004D7C66" w:rsidRPr="008B648D" w:rsidRDefault="004D7C66"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For the purposes of </w:t>
      </w:r>
      <w:r w:rsidR="00BE5ECE" w:rsidRPr="008B648D">
        <w:rPr>
          <w:rFonts w:eastAsia="Times New Roman"/>
          <w:sz w:val="18"/>
          <w:szCs w:val="18"/>
        </w:rPr>
        <w:t xml:space="preserve">an independent determination of </w:t>
      </w:r>
      <w:r w:rsidRPr="008B648D">
        <w:rPr>
          <w:rFonts w:eastAsia="Times New Roman"/>
          <w:sz w:val="18"/>
          <w:szCs w:val="18"/>
        </w:rPr>
        <w:t xml:space="preserve">CBAS eligibility, Assessors are allowed to </w:t>
      </w:r>
      <w:r w:rsidR="00BE5ECE" w:rsidRPr="008B648D">
        <w:rPr>
          <w:rFonts w:eastAsia="Times New Roman"/>
          <w:sz w:val="18"/>
          <w:szCs w:val="18"/>
        </w:rPr>
        <w:t xml:space="preserve">accept documentation from CBAS Providers that is </w:t>
      </w:r>
      <w:r w:rsidRPr="008B648D">
        <w:rPr>
          <w:rFonts w:eastAsia="Times New Roman"/>
          <w:sz w:val="18"/>
          <w:szCs w:val="18"/>
        </w:rPr>
        <w:t xml:space="preserve">not developed by CBAS Providers or staff affiliated with the CBAS Center (e.g., H&amp;P documentation provided by an external primary care provider is acceptable).  </w:t>
      </w:r>
    </w:p>
    <w:tbl>
      <w:tblPr>
        <w:tblStyle w:val="TableGrid"/>
        <w:tblW w:w="0" w:type="auto"/>
        <w:shd w:val="clear" w:color="auto" w:fill="808080" w:themeFill="background1" w:themeFillShade="80"/>
        <w:tblLook w:val="04A0" w:firstRow="1" w:lastRow="0" w:firstColumn="1" w:lastColumn="0" w:noHBand="0" w:noVBand="1"/>
      </w:tblPr>
      <w:tblGrid>
        <w:gridCol w:w="11016"/>
      </w:tblGrid>
      <w:tr w:rsidR="008B648D" w:rsidRPr="008B648D" w14:paraId="17208EF8" w14:textId="77777777" w:rsidTr="007C0FA7">
        <w:tc>
          <w:tcPr>
            <w:tcW w:w="11016" w:type="dxa"/>
            <w:shd w:val="clear" w:color="auto" w:fill="808080" w:themeFill="background1" w:themeFillShade="80"/>
            <w:vAlign w:val="center"/>
          </w:tcPr>
          <w:p w14:paraId="44F8C814" w14:textId="77777777" w:rsidR="004259A3" w:rsidRPr="008B648D" w:rsidRDefault="004259A3" w:rsidP="002711D5">
            <w:pPr>
              <w:tabs>
                <w:tab w:val="left" w:pos="10710"/>
                <w:tab w:val="left" w:pos="10800"/>
              </w:tabs>
              <w:spacing w:before="120" w:after="120" w:line="312" w:lineRule="auto"/>
              <w:jc w:val="center"/>
              <w:rPr>
                <w:rFonts w:eastAsia="Times New Roman"/>
                <w:b/>
                <w:sz w:val="22"/>
                <w:szCs w:val="18"/>
              </w:rPr>
            </w:pPr>
            <w:r w:rsidRPr="008B648D">
              <w:rPr>
                <w:rFonts w:eastAsia="Times New Roman"/>
                <w:b/>
                <w:sz w:val="22"/>
                <w:szCs w:val="18"/>
              </w:rPr>
              <w:t>Part 1 Instructions</w:t>
            </w:r>
            <w:r w:rsidR="004515F2" w:rsidRPr="008B648D">
              <w:rPr>
                <w:rFonts w:eastAsia="Times New Roman"/>
                <w:b/>
                <w:sz w:val="22"/>
                <w:szCs w:val="18"/>
              </w:rPr>
              <w:t xml:space="preserve"> – Assessment / Evaluation</w:t>
            </w:r>
          </w:p>
        </w:tc>
      </w:tr>
    </w:tbl>
    <w:p w14:paraId="5719828E" w14:textId="77777777" w:rsidR="00230952" w:rsidRPr="008B648D" w:rsidRDefault="00230952"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Fill in the demographic information at the top of Page 1 following the labels provided</w:t>
      </w:r>
      <w:r w:rsidR="008D75AB" w:rsidRPr="008B648D">
        <w:rPr>
          <w:rFonts w:eastAsia="Times New Roman"/>
          <w:sz w:val="18"/>
          <w:szCs w:val="18"/>
        </w:rPr>
        <w:t>.</w:t>
      </w:r>
      <w:r w:rsidR="007F6A92" w:rsidRPr="008B648D">
        <w:rPr>
          <w:rFonts w:eastAsia="Times New Roman"/>
          <w:sz w:val="18"/>
          <w:szCs w:val="18"/>
        </w:rPr>
        <w:t xml:space="preserve">  Include the name of the health care provider that requested CBAS for the candidate and the date of the request.  This is important for compliance with AEMNC in Part 2.</w:t>
      </w:r>
    </w:p>
    <w:p w14:paraId="08B25FD9" w14:textId="77777777" w:rsidR="00230952" w:rsidRPr="008B648D" w:rsidRDefault="00230952"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Complete Sections A through </w:t>
      </w:r>
      <w:r w:rsidR="008D75AB" w:rsidRPr="008B648D">
        <w:rPr>
          <w:rFonts w:eastAsia="Times New Roman"/>
          <w:sz w:val="18"/>
          <w:szCs w:val="18"/>
        </w:rPr>
        <w:t>C</w:t>
      </w:r>
      <w:r w:rsidRPr="008B648D">
        <w:rPr>
          <w:rFonts w:eastAsia="Times New Roman"/>
          <w:sz w:val="18"/>
          <w:szCs w:val="18"/>
        </w:rPr>
        <w:t xml:space="preserve"> by entering </w:t>
      </w:r>
      <w:r w:rsidR="007F6A92" w:rsidRPr="008B648D">
        <w:rPr>
          <w:rFonts w:eastAsia="Times New Roman"/>
          <w:sz w:val="18"/>
          <w:szCs w:val="18"/>
        </w:rPr>
        <w:t xml:space="preserve">identified </w:t>
      </w:r>
      <w:r w:rsidRPr="008B648D">
        <w:rPr>
          <w:rFonts w:eastAsia="Times New Roman"/>
          <w:sz w:val="18"/>
          <w:szCs w:val="18"/>
        </w:rPr>
        <w:t>Diagnoses</w:t>
      </w:r>
      <w:r w:rsidR="002173A6" w:rsidRPr="008B648D">
        <w:rPr>
          <w:rFonts w:eastAsia="Times New Roman"/>
          <w:sz w:val="18"/>
          <w:szCs w:val="18"/>
        </w:rPr>
        <w:t xml:space="preserve"> / Conditions</w:t>
      </w:r>
      <w:r w:rsidRPr="008B648D">
        <w:rPr>
          <w:rFonts w:eastAsia="Times New Roman"/>
          <w:sz w:val="18"/>
          <w:szCs w:val="18"/>
        </w:rPr>
        <w:t>, Medications, and Assistive /Sensory Devices, providing brief explanations as the form allows.</w:t>
      </w:r>
    </w:p>
    <w:p w14:paraId="3E13CEA4" w14:textId="77777777" w:rsidR="00230952" w:rsidRPr="008B648D" w:rsidRDefault="00230952"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Complete the “Systems Review” section (Section </w:t>
      </w:r>
      <w:r w:rsidR="007F6A92" w:rsidRPr="008B648D">
        <w:rPr>
          <w:rFonts w:eastAsia="Times New Roman"/>
          <w:sz w:val="18"/>
          <w:szCs w:val="18"/>
        </w:rPr>
        <w:t>D</w:t>
      </w:r>
      <w:r w:rsidRPr="008B648D">
        <w:rPr>
          <w:rFonts w:eastAsia="Times New Roman"/>
          <w:sz w:val="18"/>
          <w:szCs w:val="18"/>
        </w:rPr>
        <w:t>)</w:t>
      </w:r>
      <w:r w:rsidR="007F6A92" w:rsidRPr="008B648D">
        <w:rPr>
          <w:rFonts w:eastAsia="Times New Roman"/>
          <w:sz w:val="18"/>
          <w:szCs w:val="18"/>
        </w:rPr>
        <w:t xml:space="preserve">, </w:t>
      </w:r>
      <w:r w:rsidR="004259A3" w:rsidRPr="008B648D">
        <w:rPr>
          <w:rFonts w:eastAsia="Times New Roman"/>
          <w:sz w:val="18"/>
          <w:szCs w:val="18"/>
        </w:rPr>
        <w:t>being sure to acknowledge each subsection (1-7) as within normal limits or by completing other status indicators that are provided.</w:t>
      </w:r>
    </w:p>
    <w:p w14:paraId="18EB3602" w14:textId="77777777" w:rsidR="004259A3" w:rsidRPr="008B648D" w:rsidRDefault="004259A3"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Complete the “Medication Management” section (Section E), being sure to acknowledge that the candidate is either independent or is not independent as supported by other status indicators that are provided.  </w:t>
      </w:r>
    </w:p>
    <w:p w14:paraId="1283A8B2" w14:textId="77777777" w:rsidR="00230952" w:rsidRPr="008B648D" w:rsidRDefault="004259A3"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C</w:t>
      </w:r>
      <w:r w:rsidR="00230952" w:rsidRPr="008B648D">
        <w:rPr>
          <w:rFonts w:eastAsia="Times New Roman"/>
          <w:sz w:val="18"/>
          <w:szCs w:val="18"/>
        </w:rPr>
        <w:t>omplete the status assessment for the ADL</w:t>
      </w:r>
      <w:r w:rsidRPr="008B648D">
        <w:rPr>
          <w:rFonts w:eastAsia="Times New Roman"/>
          <w:sz w:val="18"/>
          <w:szCs w:val="18"/>
        </w:rPr>
        <w:t xml:space="preserve">s and IADLs listed in Section F and capture the source of information for each in the “Explain </w:t>
      </w:r>
      <w:r w:rsidR="004515F2" w:rsidRPr="008B648D">
        <w:rPr>
          <w:rFonts w:eastAsia="Times New Roman"/>
          <w:sz w:val="18"/>
          <w:szCs w:val="18"/>
        </w:rPr>
        <w:t>Responses &amp; Identify Source</w:t>
      </w:r>
      <w:r w:rsidRPr="008B648D">
        <w:rPr>
          <w:rFonts w:eastAsia="Times New Roman"/>
          <w:sz w:val="18"/>
          <w:szCs w:val="18"/>
        </w:rPr>
        <w:t>” fields.</w:t>
      </w:r>
    </w:p>
    <w:p w14:paraId="5FEB7075" w14:textId="77777777" w:rsidR="00C2518C" w:rsidRPr="008B648D" w:rsidRDefault="00120600"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Complete Section G to characterize other non-CBAS services that are currently provided to the participant as well as recent health care encounters.  This information can be helpful to completing Part 2 of the CEDT (Section H).</w:t>
      </w:r>
    </w:p>
    <w:tbl>
      <w:tblPr>
        <w:tblStyle w:val="TableGrid"/>
        <w:tblW w:w="0" w:type="auto"/>
        <w:shd w:val="clear" w:color="auto" w:fill="808080" w:themeFill="background1" w:themeFillShade="80"/>
        <w:tblLook w:val="04A0" w:firstRow="1" w:lastRow="0" w:firstColumn="1" w:lastColumn="0" w:noHBand="0" w:noVBand="1"/>
      </w:tblPr>
      <w:tblGrid>
        <w:gridCol w:w="11016"/>
      </w:tblGrid>
      <w:tr w:rsidR="008B648D" w:rsidRPr="008B648D" w14:paraId="28EFCF01" w14:textId="77777777" w:rsidTr="007C0FA7">
        <w:tc>
          <w:tcPr>
            <w:tcW w:w="11016" w:type="dxa"/>
            <w:shd w:val="clear" w:color="auto" w:fill="808080" w:themeFill="background1" w:themeFillShade="80"/>
            <w:vAlign w:val="center"/>
          </w:tcPr>
          <w:p w14:paraId="66461065" w14:textId="77777777" w:rsidR="00120600" w:rsidRPr="008B648D" w:rsidRDefault="00120600" w:rsidP="002711D5">
            <w:pPr>
              <w:tabs>
                <w:tab w:val="left" w:pos="10710"/>
                <w:tab w:val="left" w:pos="10800"/>
              </w:tabs>
              <w:spacing w:before="120" w:after="120" w:line="312" w:lineRule="auto"/>
              <w:jc w:val="center"/>
              <w:rPr>
                <w:rFonts w:eastAsia="Times New Roman"/>
                <w:b/>
                <w:sz w:val="22"/>
                <w:szCs w:val="18"/>
              </w:rPr>
            </w:pPr>
            <w:r w:rsidRPr="008B648D">
              <w:rPr>
                <w:rFonts w:eastAsia="Times New Roman"/>
                <w:b/>
                <w:sz w:val="22"/>
                <w:szCs w:val="18"/>
              </w:rPr>
              <w:lastRenderedPageBreak/>
              <w:t>Part 2 Instructions</w:t>
            </w:r>
            <w:r w:rsidR="004515F2" w:rsidRPr="008B648D">
              <w:rPr>
                <w:rFonts w:eastAsia="Times New Roman"/>
                <w:b/>
                <w:sz w:val="22"/>
                <w:szCs w:val="18"/>
              </w:rPr>
              <w:t xml:space="preserve"> – AE&amp;MN Qualification Criteria</w:t>
            </w:r>
          </w:p>
        </w:tc>
      </w:tr>
    </w:tbl>
    <w:p w14:paraId="12E52AD0" w14:textId="77777777" w:rsidR="001006A7" w:rsidRPr="008B648D" w:rsidRDefault="00120600"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Using information documented in Part 1 of the CEDT, </w:t>
      </w:r>
      <w:r w:rsidR="00230952" w:rsidRPr="008B648D">
        <w:rPr>
          <w:rFonts w:eastAsia="Times New Roman"/>
          <w:sz w:val="18"/>
          <w:szCs w:val="18"/>
        </w:rPr>
        <w:t xml:space="preserve">complete Section </w:t>
      </w:r>
      <w:r w:rsidR="004437F1" w:rsidRPr="008B648D">
        <w:rPr>
          <w:rFonts w:eastAsia="Times New Roman"/>
          <w:sz w:val="18"/>
          <w:szCs w:val="18"/>
        </w:rPr>
        <w:t xml:space="preserve">H.  Complete appropriate check boxes under the “Criteria” column </w:t>
      </w:r>
      <w:r w:rsidR="004C3539" w:rsidRPr="008B648D">
        <w:rPr>
          <w:rFonts w:eastAsia="Times New Roman"/>
          <w:sz w:val="18"/>
          <w:szCs w:val="18"/>
        </w:rPr>
        <w:t xml:space="preserve">for each Category listed.  </w:t>
      </w:r>
    </w:p>
    <w:p w14:paraId="7CA8320B" w14:textId="77777777" w:rsidR="001006A7" w:rsidRPr="008B648D" w:rsidRDefault="001006A7"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Check the </w:t>
      </w:r>
      <w:r w:rsidR="007E633B" w:rsidRPr="008B648D">
        <w:rPr>
          <w:rFonts w:eastAsia="Times New Roman"/>
          <w:sz w:val="18"/>
          <w:szCs w:val="18"/>
        </w:rPr>
        <w:t xml:space="preserve">Yes/No check box for </w:t>
      </w:r>
      <w:r w:rsidR="004C3539" w:rsidRPr="008B648D">
        <w:rPr>
          <w:rFonts w:eastAsia="Times New Roman"/>
          <w:sz w:val="18"/>
          <w:szCs w:val="18"/>
        </w:rPr>
        <w:t>“Qualifies</w:t>
      </w:r>
      <w:r w:rsidR="007F69C2" w:rsidRPr="008B648D">
        <w:rPr>
          <w:rFonts w:eastAsia="Times New Roman"/>
          <w:sz w:val="18"/>
          <w:szCs w:val="18"/>
        </w:rPr>
        <w:t>?</w:t>
      </w:r>
      <w:r w:rsidR="004C3539" w:rsidRPr="008B648D">
        <w:rPr>
          <w:rFonts w:eastAsia="Times New Roman"/>
          <w:sz w:val="18"/>
          <w:szCs w:val="18"/>
        </w:rPr>
        <w:t xml:space="preserve">” </w:t>
      </w:r>
      <w:r w:rsidRPr="008B648D">
        <w:rPr>
          <w:rFonts w:eastAsia="Times New Roman"/>
          <w:sz w:val="18"/>
          <w:szCs w:val="18"/>
        </w:rPr>
        <w:t>in each Category if the appropriate Criteria have been satisfied.</w:t>
      </w:r>
    </w:p>
    <w:p w14:paraId="5B94D0F2" w14:textId="77777777" w:rsidR="008F08BD" w:rsidRPr="008B648D" w:rsidRDefault="001006A7"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If each of the “Qualifies” check boxes are </w:t>
      </w:r>
      <w:r w:rsidR="00E62440" w:rsidRPr="008B648D">
        <w:rPr>
          <w:rFonts w:eastAsia="Times New Roman"/>
          <w:sz w:val="18"/>
          <w:szCs w:val="18"/>
        </w:rPr>
        <w:t xml:space="preserve">marked </w:t>
      </w:r>
      <w:r w:rsidR="007E633B" w:rsidRPr="008B648D">
        <w:rPr>
          <w:rFonts w:eastAsia="Times New Roman"/>
          <w:sz w:val="18"/>
          <w:szCs w:val="18"/>
        </w:rPr>
        <w:t>“Y”</w:t>
      </w:r>
      <w:r w:rsidRPr="008B648D">
        <w:rPr>
          <w:rFonts w:eastAsia="Times New Roman"/>
          <w:sz w:val="18"/>
          <w:szCs w:val="18"/>
        </w:rPr>
        <w:t xml:space="preserve"> in Section H then all of the AEMNC have been satisfied.  This is important to completing Part 3 of the CEDT (Section I).</w:t>
      </w:r>
      <w:r w:rsidR="008F08BD" w:rsidRPr="008B648D">
        <w:rPr>
          <w:rFonts w:eastAsia="Times New Roman"/>
          <w:sz w:val="18"/>
          <w:szCs w:val="18"/>
        </w:rPr>
        <w:t xml:space="preserve">  </w:t>
      </w:r>
    </w:p>
    <w:p w14:paraId="7720C4FA" w14:textId="77777777" w:rsidR="00230952" w:rsidRPr="008B648D" w:rsidRDefault="008F08BD"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For any Category that has not been checked as “Qualified”, review the underlying Criteria and supportive information in Part 1 to be sure insufficiencies have been properly documented.</w:t>
      </w:r>
    </w:p>
    <w:tbl>
      <w:tblPr>
        <w:tblStyle w:val="TableGrid"/>
        <w:tblW w:w="0" w:type="auto"/>
        <w:shd w:val="clear" w:color="auto" w:fill="808080" w:themeFill="background1" w:themeFillShade="80"/>
        <w:tblLook w:val="04A0" w:firstRow="1" w:lastRow="0" w:firstColumn="1" w:lastColumn="0" w:noHBand="0" w:noVBand="1"/>
      </w:tblPr>
      <w:tblGrid>
        <w:gridCol w:w="11016"/>
      </w:tblGrid>
      <w:tr w:rsidR="008B648D" w:rsidRPr="008B648D" w14:paraId="7007B083" w14:textId="77777777" w:rsidTr="00FB0F12">
        <w:tc>
          <w:tcPr>
            <w:tcW w:w="11016" w:type="dxa"/>
            <w:shd w:val="clear" w:color="auto" w:fill="808080" w:themeFill="background1" w:themeFillShade="80"/>
            <w:vAlign w:val="center"/>
          </w:tcPr>
          <w:p w14:paraId="3F31AEB2" w14:textId="77777777" w:rsidR="008F08BD" w:rsidRPr="008B648D" w:rsidRDefault="008F08BD" w:rsidP="002711D5">
            <w:pPr>
              <w:tabs>
                <w:tab w:val="left" w:pos="10710"/>
                <w:tab w:val="left" w:pos="10800"/>
              </w:tabs>
              <w:spacing w:before="120" w:after="120" w:line="312" w:lineRule="auto"/>
              <w:jc w:val="center"/>
              <w:rPr>
                <w:rFonts w:eastAsia="Times New Roman"/>
                <w:b/>
                <w:sz w:val="22"/>
                <w:szCs w:val="18"/>
              </w:rPr>
            </w:pPr>
            <w:r w:rsidRPr="008B648D">
              <w:rPr>
                <w:rFonts w:eastAsia="Times New Roman"/>
                <w:b/>
                <w:sz w:val="22"/>
                <w:szCs w:val="18"/>
              </w:rPr>
              <w:t>Part 3 Instructions</w:t>
            </w:r>
            <w:r w:rsidR="00290276" w:rsidRPr="008B648D">
              <w:rPr>
                <w:rFonts w:eastAsia="Times New Roman"/>
                <w:b/>
                <w:sz w:val="22"/>
                <w:szCs w:val="18"/>
              </w:rPr>
              <w:t xml:space="preserve"> - Eligibility Outcomes</w:t>
            </w:r>
          </w:p>
        </w:tc>
      </w:tr>
    </w:tbl>
    <w:p w14:paraId="720B8739" w14:textId="77777777" w:rsidR="008F08BD" w:rsidRPr="008B648D" w:rsidRDefault="008F08BD"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Using information documented in Part 1 and Part 2 of the CEDT, complete Section I.  The check boxes under each “Category” (e.g., Category 1) reflect the 2 or 3 elements of eligibility that must be satisfied to meet the requirements for CBAS eligibility for the respective Category.  Complete appropriate check boxes </w:t>
      </w:r>
      <w:r w:rsidR="005A2A88" w:rsidRPr="008B648D">
        <w:rPr>
          <w:rFonts w:eastAsia="Times New Roman"/>
          <w:sz w:val="18"/>
          <w:szCs w:val="18"/>
        </w:rPr>
        <w:t xml:space="preserve">for the 2 or 3 elements of eligibility </w:t>
      </w:r>
      <w:r w:rsidRPr="008B648D">
        <w:rPr>
          <w:rFonts w:eastAsia="Times New Roman"/>
          <w:sz w:val="18"/>
          <w:szCs w:val="18"/>
        </w:rPr>
        <w:t>under each category as appropriate.</w:t>
      </w:r>
    </w:p>
    <w:p w14:paraId="3F4F9CCE" w14:textId="77777777" w:rsidR="008F08BD" w:rsidRPr="008B648D" w:rsidRDefault="008F08BD"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Check each eligibility Category whose </w:t>
      </w:r>
      <w:r w:rsidR="005A2A88" w:rsidRPr="008B648D">
        <w:rPr>
          <w:rFonts w:eastAsia="Times New Roman"/>
          <w:sz w:val="18"/>
          <w:szCs w:val="18"/>
        </w:rPr>
        <w:t xml:space="preserve">2 or 3 elements of eligibility </w:t>
      </w:r>
      <w:r w:rsidRPr="008B648D">
        <w:rPr>
          <w:rFonts w:eastAsia="Times New Roman"/>
          <w:sz w:val="18"/>
          <w:szCs w:val="18"/>
        </w:rPr>
        <w:t>are complete</w:t>
      </w:r>
      <w:r w:rsidR="005A2A88" w:rsidRPr="008B648D">
        <w:rPr>
          <w:rFonts w:eastAsia="Times New Roman"/>
          <w:sz w:val="18"/>
          <w:szCs w:val="18"/>
        </w:rPr>
        <w:t>ly checked</w:t>
      </w:r>
      <w:r w:rsidRPr="008B648D">
        <w:rPr>
          <w:rFonts w:eastAsia="Times New Roman"/>
          <w:sz w:val="18"/>
          <w:szCs w:val="18"/>
        </w:rPr>
        <w:t>.</w:t>
      </w:r>
    </w:p>
    <w:p w14:paraId="6C3F517E" w14:textId="77777777" w:rsidR="005A2A88" w:rsidRPr="008B648D" w:rsidRDefault="008F08BD"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If the candidate does not qualify under any category</w:t>
      </w:r>
      <w:r w:rsidR="005A2A88" w:rsidRPr="008B648D">
        <w:rPr>
          <w:rFonts w:eastAsia="Times New Roman"/>
          <w:sz w:val="18"/>
          <w:szCs w:val="18"/>
        </w:rPr>
        <w:t>, review the underlying information in Parts 1 and 2 and properly document insufficiencies that support the lack of eligibility of CBAS.</w:t>
      </w:r>
    </w:p>
    <w:p w14:paraId="542633A0" w14:textId="77777777" w:rsidR="005A2A88" w:rsidRPr="008B648D" w:rsidRDefault="005A2A88"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If the candidate does not qualify under any category, check </w:t>
      </w:r>
      <w:r w:rsidR="00DD6AEB" w:rsidRPr="008B648D">
        <w:rPr>
          <w:rFonts w:eastAsia="Times New Roman"/>
          <w:sz w:val="18"/>
          <w:szCs w:val="18"/>
        </w:rPr>
        <w:t xml:space="preserve">the box for </w:t>
      </w:r>
      <w:r w:rsidRPr="008B648D">
        <w:rPr>
          <w:rFonts w:eastAsia="Times New Roman"/>
          <w:sz w:val="18"/>
          <w:szCs w:val="18"/>
        </w:rPr>
        <w:t>“DOES NOT MEET eligibility criteria for CBAS”</w:t>
      </w:r>
      <w:r w:rsidR="007E633B" w:rsidRPr="008B648D">
        <w:rPr>
          <w:rFonts w:eastAsia="Times New Roman"/>
          <w:sz w:val="18"/>
          <w:szCs w:val="18"/>
        </w:rPr>
        <w:t>.</w:t>
      </w:r>
    </w:p>
    <w:p w14:paraId="58976DD8" w14:textId="77777777" w:rsidR="00F029AD" w:rsidRPr="008B648D" w:rsidRDefault="005A2A88"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Upon completion of Section I, move to Section J and complete the box labeled </w:t>
      </w:r>
      <w:r w:rsidR="00B5370C" w:rsidRPr="008B648D">
        <w:rPr>
          <w:rFonts w:eastAsia="Times New Roman"/>
          <w:sz w:val="18"/>
          <w:szCs w:val="18"/>
        </w:rPr>
        <w:t>“</w:t>
      </w:r>
      <w:r w:rsidRPr="008B648D">
        <w:rPr>
          <w:rFonts w:eastAsia="Times New Roman"/>
          <w:sz w:val="18"/>
          <w:szCs w:val="18"/>
        </w:rPr>
        <w:t>Face-to-Face Assessor Recommendation</w:t>
      </w:r>
      <w:r w:rsidR="00B5370C" w:rsidRPr="008B648D">
        <w:rPr>
          <w:rFonts w:eastAsia="Times New Roman"/>
          <w:sz w:val="18"/>
          <w:szCs w:val="18"/>
        </w:rPr>
        <w:t>”</w:t>
      </w:r>
      <w:r w:rsidR="00DD6AEB" w:rsidRPr="008B648D">
        <w:rPr>
          <w:rFonts w:eastAsia="Times New Roman"/>
          <w:sz w:val="18"/>
          <w:szCs w:val="18"/>
        </w:rPr>
        <w:t>.</w:t>
      </w:r>
    </w:p>
    <w:p w14:paraId="445DE6D0" w14:textId="77777777" w:rsidR="00F029AD" w:rsidRPr="008B648D" w:rsidRDefault="00B5370C" w:rsidP="002711D5">
      <w:pPr>
        <w:numPr>
          <w:ilvl w:val="1"/>
          <w:numId w:val="1"/>
        </w:numPr>
        <w:tabs>
          <w:tab w:val="left" w:pos="10710"/>
          <w:tab w:val="left" w:pos="10800"/>
        </w:tabs>
        <w:spacing w:before="120" w:after="120" w:line="312" w:lineRule="auto"/>
        <w:ind w:left="720"/>
        <w:rPr>
          <w:rFonts w:eastAsia="Times New Roman"/>
          <w:sz w:val="18"/>
          <w:szCs w:val="18"/>
        </w:rPr>
      </w:pPr>
      <w:r w:rsidRPr="008B648D">
        <w:rPr>
          <w:rFonts w:eastAsia="Times New Roman"/>
          <w:sz w:val="18"/>
          <w:szCs w:val="18"/>
        </w:rPr>
        <w:t xml:space="preserve">If the </w:t>
      </w:r>
      <w:r w:rsidRPr="008B648D">
        <w:rPr>
          <w:rFonts w:eastAsia="Times New Roman"/>
          <w:i/>
          <w:sz w:val="18"/>
          <w:szCs w:val="18"/>
        </w:rPr>
        <w:t>Optional Quality Review</w:t>
      </w:r>
      <w:r w:rsidRPr="008B648D">
        <w:rPr>
          <w:rFonts w:eastAsia="Times New Roman"/>
          <w:sz w:val="18"/>
          <w:szCs w:val="18"/>
        </w:rPr>
        <w:t xml:space="preserve"> is “</w:t>
      </w:r>
      <w:r w:rsidR="00335F2F" w:rsidRPr="008B648D">
        <w:rPr>
          <w:rFonts w:eastAsia="Times New Roman"/>
          <w:sz w:val="18"/>
          <w:szCs w:val="18"/>
        </w:rPr>
        <w:t>Not Applicable</w:t>
      </w:r>
      <w:r w:rsidRPr="008B648D">
        <w:rPr>
          <w:rFonts w:eastAsia="Times New Roman"/>
          <w:sz w:val="18"/>
          <w:szCs w:val="18"/>
        </w:rPr>
        <w:t xml:space="preserve">” </w:t>
      </w:r>
      <w:r w:rsidRPr="008B648D">
        <w:rPr>
          <w:rFonts w:eastAsia="Times New Roman"/>
          <w:sz w:val="18"/>
          <w:szCs w:val="18"/>
          <w:u w:val="single"/>
        </w:rPr>
        <w:t>and</w:t>
      </w:r>
      <w:r w:rsidRPr="008B648D">
        <w:rPr>
          <w:rFonts w:eastAsia="Times New Roman"/>
          <w:sz w:val="18"/>
          <w:szCs w:val="18"/>
        </w:rPr>
        <w:t xml:space="preserve"> the </w:t>
      </w:r>
      <w:r w:rsidRPr="008B648D">
        <w:rPr>
          <w:rFonts w:eastAsia="Times New Roman"/>
          <w:i/>
          <w:sz w:val="18"/>
          <w:szCs w:val="18"/>
        </w:rPr>
        <w:t>2</w:t>
      </w:r>
      <w:r w:rsidRPr="008B648D">
        <w:rPr>
          <w:rFonts w:eastAsia="Times New Roman"/>
          <w:i/>
          <w:sz w:val="18"/>
          <w:szCs w:val="18"/>
          <w:vertAlign w:val="superscript"/>
        </w:rPr>
        <w:t>nd</w:t>
      </w:r>
      <w:r w:rsidRPr="008B648D">
        <w:rPr>
          <w:rFonts w:eastAsia="Times New Roman"/>
          <w:i/>
          <w:sz w:val="18"/>
          <w:szCs w:val="18"/>
        </w:rPr>
        <w:t xml:space="preserve"> Level Review</w:t>
      </w:r>
      <w:r w:rsidRPr="008B648D">
        <w:rPr>
          <w:rFonts w:eastAsia="Times New Roman"/>
          <w:sz w:val="18"/>
          <w:szCs w:val="18"/>
        </w:rPr>
        <w:t xml:space="preserve"> is “</w:t>
      </w:r>
      <w:r w:rsidR="00335F2F" w:rsidRPr="008B648D">
        <w:rPr>
          <w:rFonts w:eastAsia="Times New Roman"/>
          <w:sz w:val="18"/>
          <w:szCs w:val="18"/>
        </w:rPr>
        <w:t>Not Applicable</w:t>
      </w:r>
      <w:r w:rsidRPr="008B648D">
        <w:rPr>
          <w:rFonts w:eastAsia="Times New Roman"/>
          <w:sz w:val="18"/>
          <w:szCs w:val="18"/>
        </w:rPr>
        <w:t xml:space="preserve">” then check the respective </w:t>
      </w:r>
      <w:r w:rsidR="00335F2F" w:rsidRPr="008B648D">
        <w:rPr>
          <w:rFonts w:eastAsia="Times New Roman"/>
          <w:sz w:val="18"/>
          <w:szCs w:val="18"/>
        </w:rPr>
        <w:t xml:space="preserve">“Not Applicable” </w:t>
      </w:r>
      <w:r w:rsidRPr="008B648D">
        <w:rPr>
          <w:rFonts w:eastAsia="Times New Roman"/>
          <w:sz w:val="18"/>
          <w:szCs w:val="18"/>
        </w:rPr>
        <w:t xml:space="preserve">boxes in those </w:t>
      </w:r>
      <w:r w:rsidR="00F029AD" w:rsidRPr="008B648D">
        <w:rPr>
          <w:rFonts w:eastAsia="Times New Roman"/>
          <w:sz w:val="18"/>
          <w:szCs w:val="18"/>
        </w:rPr>
        <w:t>signature areas</w:t>
      </w:r>
      <w:r w:rsidR="00335F2F" w:rsidRPr="008B648D">
        <w:rPr>
          <w:rFonts w:eastAsia="Times New Roman"/>
          <w:sz w:val="18"/>
          <w:szCs w:val="18"/>
        </w:rPr>
        <w:t>.  T</w:t>
      </w:r>
      <w:r w:rsidR="00F029AD" w:rsidRPr="008B648D">
        <w:rPr>
          <w:rFonts w:eastAsia="Times New Roman"/>
          <w:sz w:val="18"/>
          <w:szCs w:val="18"/>
        </w:rPr>
        <w:t xml:space="preserve">he Face to Face Assessor Recommendation is </w:t>
      </w:r>
      <w:r w:rsidR="00335F2F" w:rsidRPr="008B648D">
        <w:rPr>
          <w:rFonts w:eastAsia="Times New Roman"/>
          <w:sz w:val="18"/>
          <w:szCs w:val="18"/>
        </w:rPr>
        <w:t xml:space="preserve">then </w:t>
      </w:r>
      <w:r w:rsidR="00F029AD" w:rsidRPr="008B648D">
        <w:rPr>
          <w:rFonts w:eastAsia="Times New Roman"/>
          <w:sz w:val="18"/>
          <w:szCs w:val="18"/>
        </w:rPr>
        <w:t xml:space="preserve">considered the final outcome.  </w:t>
      </w:r>
      <w:r w:rsidR="00335F2F" w:rsidRPr="008B648D">
        <w:rPr>
          <w:rFonts w:eastAsia="Times New Roman"/>
          <w:sz w:val="18"/>
          <w:szCs w:val="18"/>
        </w:rPr>
        <w:br/>
      </w:r>
      <w:r w:rsidR="007F69C2" w:rsidRPr="008B648D">
        <w:rPr>
          <w:rFonts w:eastAsia="Times New Roman"/>
          <w:sz w:val="18"/>
          <w:szCs w:val="18"/>
        </w:rPr>
        <w:t>NOTE: Optional Quality Review and 2</w:t>
      </w:r>
      <w:r w:rsidR="007F69C2" w:rsidRPr="008B648D">
        <w:rPr>
          <w:rFonts w:eastAsia="Times New Roman"/>
          <w:sz w:val="18"/>
          <w:szCs w:val="18"/>
          <w:vertAlign w:val="superscript"/>
        </w:rPr>
        <w:t>nd</w:t>
      </w:r>
      <w:r w:rsidR="007F69C2" w:rsidRPr="008B648D">
        <w:rPr>
          <w:rFonts w:eastAsia="Times New Roman"/>
          <w:sz w:val="18"/>
          <w:szCs w:val="18"/>
        </w:rPr>
        <w:t xml:space="preserve"> Level Review sections are the responsibility of appropriate Health Plan or Field Office staff.</w:t>
      </w:r>
    </w:p>
    <w:p w14:paraId="616C9041" w14:textId="77777777" w:rsidR="00B5370C" w:rsidRPr="008B648D" w:rsidRDefault="00DD6AEB"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 xml:space="preserve">Implementation of Quality Reviews during </w:t>
      </w:r>
      <w:r w:rsidR="00F029AD" w:rsidRPr="008B648D">
        <w:rPr>
          <w:rFonts w:eastAsia="Times New Roman"/>
          <w:sz w:val="18"/>
          <w:szCs w:val="18"/>
        </w:rPr>
        <w:t>a CBAS Eligibility</w:t>
      </w:r>
      <w:r w:rsidRPr="008B648D">
        <w:rPr>
          <w:rFonts w:eastAsia="Times New Roman"/>
          <w:sz w:val="18"/>
          <w:szCs w:val="18"/>
        </w:rPr>
        <w:t xml:space="preserve"> assessment can vary across assessing organizations.  </w:t>
      </w:r>
    </w:p>
    <w:p w14:paraId="1CE6ED86" w14:textId="77777777" w:rsidR="00B5370C" w:rsidRPr="008B648D" w:rsidRDefault="00DD6AEB" w:rsidP="00335F2F">
      <w:pPr>
        <w:numPr>
          <w:ilvl w:val="1"/>
          <w:numId w:val="1"/>
        </w:numPr>
        <w:tabs>
          <w:tab w:val="left" w:pos="10710"/>
          <w:tab w:val="left" w:pos="10800"/>
        </w:tabs>
        <w:spacing w:before="120" w:after="120" w:line="288" w:lineRule="auto"/>
        <w:ind w:left="720"/>
        <w:rPr>
          <w:rFonts w:eastAsia="Times New Roman"/>
          <w:sz w:val="18"/>
          <w:szCs w:val="18"/>
        </w:rPr>
      </w:pPr>
      <w:r w:rsidRPr="008B648D">
        <w:rPr>
          <w:rFonts w:eastAsia="Times New Roman"/>
          <w:sz w:val="18"/>
          <w:szCs w:val="18"/>
        </w:rPr>
        <w:t>If your organization prefers to track a Quality Review of a</w:t>
      </w:r>
      <w:r w:rsidR="00F029AD" w:rsidRPr="008B648D">
        <w:rPr>
          <w:rFonts w:eastAsia="Times New Roman"/>
          <w:sz w:val="18"/>
          <w:szCs w:val="18"/>
        </w:rPr>
        <w:t>n individual</w:t>
      </w:r>
      <w:r w:rsidRPr="008B648D">
        <w:rPr>
          <w:rFonts w:eastAsia="Times New Roman"/>
          <w:sz w:val="18"/>
          <w:szCs w:val="18"/>
        </w:rPr>
        <w:t xml:space="preserve"> CEDT then use the Optional Quality Review box to capture relevant review information.  If this review is not tracked in this manner, please check the “</w:t>
      </w:r>
      <w:r w:rsidR="00335F2F" w:rsidRPr="008B648D">
        <w:rPr>
          <w:rFonts w:eastAsia="Times New Roman"/>
          <w:sz w:val="18"/>
          <w:szCs w:val="18"/>
        </w:rPr>
        <w:t>Not Applicable</w:t>
      </w:r>
      <w:r w:rsidRPr="008B648D">
        <w:rPr>
          <w:rFonts w:eastAsia="Times New Roman"/>
          <w:sz w:val="18"/>
          <w:szCs w:val="18"/>
        </w:rPr>
        <w:t>” option in the Optional Quality Review box.</w:t>
      </w:r>
      <w:r w:rsidR="00B5370C" w:rsidRPr="008B648D">
        <w:rPr>
          <w:rFonts w:eastAsia="Times New Roman"/>
          <w:sz w:val="18"/>
          <w:szCs w:val="18"/>
        </w:rPr>
        <w:t xml:space="preserve">  </w:t>
      </w:r>
    </w:p>
    <w:p w14:paraId="6232F456" w14:textId="77777777" w:rsidR="005A2A88" w:rsidRPr="008B648D" w:rsidRDefault="00B5370C" w:rsidP="00335F2F">
      <w:pPr>
        <w:numPr>
          <w:ilvl w:val="1"/>
          <w:numId w:val="1"/>
        </w:numPr>
        <w:tabs>
          <w:tab w:val="left" w:pos="10710"/>
          <w:tab w:val="left" w:pos="10800"/>
        </w:tabs>
        <w:spacing w:before="120" w:after="120" w:line="288" w:lineRule="auto"/>
        <w:ind w:left="720"/>
        <w:rPr>
          <w:rFonts w:eastAsia="Times New Roman"/>
          <w:sz w:val="18"/>
          <w:szCs w:val="18"/>
        </w:rPr>
      </w:pPr>
      <w:r w:rsidRPr="008B648D">
        <w:rPr>
          <w:rFonts w:eastAsia="Times New Roman"/>
          <w:sz w:val="18"/>
          <w:szCs w:val="18"/>
        </w:rPr>
        <w:t xml:space="preserve">A </w:t>
      </w:r>
      <w:r w:rsidR="000A4A6B" w:rsidRPr="008B648D">
        <w:rPr>
          <w:rFonts w:eastAsia="Times New Roman"/>
          <w:sz w:val="18"/>
          <w:szCs w:val="18"/>
        </w:rPr>
        <w:t>Quality</w:t>
      </w:r>
      <w:r w:rsidRPr="008B648D">
        <w:rPr>
          <w:rFonts w:eastAsia="Times New Roman"/>
          <w:sz w:val="18"/>
          <w:szCs w:val="18"/>
        </w:rPr>
        <w:t xml:space="preserve"> Review must be completed by a person other than the Face-to-Face Assessor.  </w:t>
      </w:r>
    </w:p>
    <w:p w14:paraId="57D46C18" w14:textId="77777777" w:rsidR="00F029AD" w:rsidRPr="008B648D" w:rsidRDefault="00F029AD" w:rsidP="00335F2F">
      <w:pPr>
        <w:numPr>
          <w:ilvl w:val="1"/>
          <w:numId w:val="1"/>
        </w:numPr>
        <w:tabs>
          <w:tab w:val="left" w:pos="10710"/>
          <w:tab w:val="left" w:pos="10800"/>
        </w:tabs>
        <w:spacing w:before="120" w:after="120" w:line="288" w:lineRule="auto"/>
        <w:ind w:left="720"/>
        <w:rPr>
          <w:rFonts w:eastAsia="Times New Roman"/>
          <w:sz w:val="18"/>
          <w:szCs w:val="18"/>
        </w:rPr>
      </w:pPr>
      <w:r w:rsidRPr="008B648D">
        <w:rPr>
          <w:rFonts w:eastAsia="Times New Roman"/>
          <w:sz w:val="18"/>
          <w:szCs w:val="18"/>
        </w:rPr>
        <w:t>If the Optional Quality Review outcome is “Agree with Assessor” and a “2nd Level Review is “</w:t>
      </w:r>
      <w:r w:rsidR="00335F2F" w:rsidRPr="008B648D">
        <w:rPr>
          <w:rFonts w:eastAsia="Times New Roman"/>
          <w:sz w:val="18"/>
          <w:szCs w:val="18"/>
        </w:rPr>
        <w:t>Not Applicable</w:t>
      </w:r>
      <w:r w:rsidRPr="008B648D">
        <w:rPr>
          <w:rFonts w:eastAsia="Times New Roman"/>
          <w:sz w:val="18"/>
          <w:szCs w:val="18"/>
        </w:rPr>
        <w:t>”, then check the respective</w:t>
      </w:r>
      <w:r w:rsidR="00335F2F" w:rsidRPr="008B648D">
        <w:rPr>
          <w:rFonts w:eastAsia="Times New Roman"/>
          <w:sz w:val="18"/>
          <w:szCs w:val="18"/>
        </w:rPr>
        <w:t xml:space="preserve"> “Not </w:t>
      </w:r>
      <w:proofErr w:type="gramStart"/>
      <w:r w:rsidR="00335F2F" w:rsidRPr="008B648D">
        <w:rPr>
          <w:rFonts w:eastAsia="Times New Roman"/>
          <w:sz w:val="18"/>
          <w:szCs w:val="18"/>
        </w:rPr>
        <w:t xml:space="preserve">Applicable” </w:t>
      </w:r>
      <w:r w:rsidRPr="008B648D">
        <w:rPr>
          <w:rFonts w:eastAsia="Times New Roman"/>
          <w:sz w:val="18"/>
          <w:szCs w:val="18"/>
        </w:rPr>
        <w:t xml:space="preserve"> boxes</w:t>
      </w:r>
      <w:proofErr w:type="gramEnd"/>
      <w:r w:rsidRPr="008B648D">
        <w:rPr>
          <w:rFonts w:eastAsia="Times New Roman"/>
          <w:sz w:val="18"/>
          <w:szCs w:val="18"/>
        </w:rPr>
        <w:t xml:space="preserve"> in those signature areas and the Face to Face Assessor Recommendation is considered the final outcome.  </w:t>
      </w:r>
    </w:p>
    <w:p w14:paraId="0B43C14B" w14:textId="77777777" w:rsidR="00F029AD" w:rsidRPr="008B648D" w:rsidRDefault="00F029AD" w:rsidP="00335F2F">
      <w:pPr>
        <w:numPr>
          <w:ilvl w:val="1"/>
          <w:numId w:val="1"/>
        </w:numPr>
        <w:tabs>
          <w:tab w:val="left" w:pos="10710"/>
          <w:tab w:val="left" w:pos="10800"/>
        </w:tabs>
        <w:spacing w:before="120" w:after="120" w:line="288" w:lineRule="auto"/>
        <w:ind w:left="720"/>
        <w:rPr>
          <w:rFonts w:eastAsia="Times New Roman"/>
          <w:sz w:val="18"/>
          <w:szCs w:val="18"/>
        </w:rPr>
      </w:pPr>
      <w:r w:rsidRPr="008B648D">
        <w:rPr>
          <w:rFonts w:eastAsia="Times New Roman"/>
          <w:sz w:val="18"/>
          <w:szCs w:val="18"/>
        </w:rPr>
        <w:t>If the Optional Quality Review outcome is “Disagree with Assessor”</w:t>
      </w:r>
      <w:r w:rsidR="00290276" w:rsidRPr="008B648D">
        <w:rPr>
          <w:rFonts w:eastAsia="Times New Roman"/>
          <w:sz w:val="18"/>
          <w:szCs w:val="18"/>
        </w:rPr>
        <w:t xml:space="preserve"> </w:t>
      </w:r>
      <w:r w:rsidR="00290276" w:rsidRPr="008B648D">
        <w:rPr>
          <w:rFonts w:eastAsia="Times New Roman"/>
          <w:sz w:val="18"/>
          <w:szCs w:val="18"/>
          <w:u w:val="single"/>
        </w:rPr>
        <w:t>AND</w:t>
      </w:r>
      <w:r w:rsidR="00290276" w:rsidRPr="008B648D">
        <w:rPr>
          <w:rFonts w:eastAsia="Times New Roman"/>
          <w:sz w:val="18"/>
          <w:szCs w:val="18"/>
        </w:rPr>
        <w:t xml:space="preserve"> the</w:t>
      </w:r>
      <w:r w:rsidR="00290276" w:rsidRPr="008B648D">
        <w:t xml:space="preserve"> </w:t>
      </w:r>
      <w:r w:rsidR="00290276" w:rsidRPr="008B648D">
        <w:rPr>
          <w:rFonts w:eastAsia="Times New Roman"/>
          <w:sz w:val="18"/>
          <w:szCs w:val="18"/>
        </w:rPr>
        <w:t>Face-to-Face Assessor Recommendation is “The individual APPEARS TO MEET the criteria for Community Based Adult Services (CBAS)”</w:t>
      </w:r>
      <w:r w:rsidRPr="008B648D">
        <w:rPr>
          <w:rFonts w:eastAsia="Times New Roman"/>
          <w:sz w:val="18"/>
          <w:szCs w:val="18"/>
        </w:rPr>
        <w:t xml:space="preserve"> then check the respective box in that signature area and proceed to a “2nd Level Review”</w:t>
      </w:r>
      <w:r w:rsidR="007F69C2" w:rsidRPr="008B648D">
        <w:rPr>
          <w:rFonts w:eastAsia="Times New Roman"/>
          <w:sz w:val="18"/>
          <w:szCs w:val="18"/>
        </w:rPr>
        <w:t>.</w:t>
      </w:r>
    </w:p>
    <w:p w14:paraId="415B154A" w14:textId="77777777" w:rsidR="00DD6AEB" w:rsidRPr="008B648D" w:rsidRDefault="00DD6AEB"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If a Second Level Review is required, complete the “2</w:t>
      </w:r>
      <w:r w:rsidRPr="008B648D">
        <w:rPr>
          <w:rFonts w:eastAsia="Times New Roman"/>
          <w:sz w:val="18"/>
          <w:szCs w:val="18"/>
          <w:vertAlign w:val="superscript"/>
        </w:rPr>
        <w:t>nd</w:t>
      </w:r>
      <w:r w:rsidRPr="008B648D">
        <w:rPr>
          <w:rFonts w:eastAsia="Times New Roman"/>
          <w:sz w:val="18"/>
          <w:szCs w:val="18"/>
        </w:rPr>
        <w:t xml:space="preserve"> Level Review” information box in Section J.</w:t>
      </w:r>
    </w:p>
    <w:p w14:paraId="5E4C96D1" w14:textId="77777777" w:rsidR="00DD6AEB" w:rsidRPr="008B648D" w:rsidRDefault="00DD6AEB" w:rsidP="00335F2F">
      <w:pPr>
        <w:numPr>
          <w:ilvl w:val="1"/>
          <w:numId w:val="1"/>
        </w:numPr>
        <w:tabs>
          <w:tab w:val="left" w:pos="10710"/>
          <w:tab w:val="left" w:pos="10800"/>
        </w:tabs>
        <w:spacing w:before="120" w:after="120" w:line="288" w:lineRule="auto"/>
        <w:ind w:left="720"/>
        <w:rPr>
          <w:rFonts w:eastAsia="Times New Roman"/>
          <w:sz w:val="18"/>
          <w:szCs w:val="18"/>
        </w:rPr>
      </w:pPr>
      <w:r w:rsidRPr="008B648D">
        <w:rPr>
          <w:rFonts w:eastAsia="Times New Roman"/>
          <w:sz w:val="18"/>
          <w:szCs w:val="18"/>
        </w:rPr>
        <w:t>Second Level Reviews are minimally required for any “DOES NOT</w:t>
      </w:r>
      <w:r w:rsidR="00290276" w:rsidRPr="008B648D">
        <w:rPr>
          <w:rFonts w:eastAsia="Times New Roman"/>
          <w:sz w:val="18"/>
          <w:szCs w:val="18"/>
        </w:rPr>
        <w:t xml:space="preserve"> APPEAR TO</w:t>
      </w:r>
      <w:r w:rsidRPr="008B648D">
        <w:rPr>
          <w:rFonts w:eastAsia="Times New Roman"/>
          <w:sz w:val="18"/>
          <w:szCs w:val="18"/>
        </w:rPr>
        <w:t xml:space="preserve"> MEET eligibility criteria for CBAS” outcome in Section I.</w:t>
      </w:r>
    </w:p>
    <w:p w14:paraId="3B42AF16" w14:textId="77777777" w:rsidR="00B5370C" w:rsidRPr="008B648D" w:rsidRDefault="00B5370C" w:rsidP="00335F2F">
      <w:pPr>
        <w:numPr>
          <w:ilvl w:val="1"/>
          <w:numId w:val="1"/>
        </w:numPr>
        <w:tabs>
          <w:tab w:val="left" w:pos="10710"/>
          <w:tab w:val="left" w:pos="10800"/>
        </w:tabs>
        <w:spacing w:before="120" w:after="120" w:line="288" w:lineRule="auto"/>
        <w:ind w:left="720"/>
        <w:rPr>
          <w:rFonts w:eastAsia="Times New Roman"/>
          <w:sz w:val="18"/>
          <w:szCs w:val="18"/>
        </w:rPr>
      </w:pPr>
      <w:r w:rsidRPr="008B648D">
        <w:rPr>
          <w:rFonts w:eastAsia="Times New Roman"/>
          <w:sz w:val="18"/>
          <w:szCs w:val="18"/>
        </w:rPr>
        <w:t xml:space="preserve">Second Level Reviews are </w:t>
      </w:r>
      <w:r w:rsidR="00F029AD" w:rsidRPr="008B648D">
        <w:rPr>
          <w:rFonts w:eastAsia="Times New Roman"/>
          <w:sz w:val="18"/>
          <w:szCs w:val="18"/>
        </w:rPr>
        <w:t xml:space="preserve">also </w:t>
      </w:r>
      <w:r w:rsidRPr="008B648D">
        <w:rPr>
          <w:rFonts w:eastAsia="Times New Roman"/>
          <w:sz w:val="18"/>
          <w:szCs w:val="18"/>
        </w:rPr>
        <w:t>required for any “Optional Quality Review” outcomes where the “Disagree with Assessor” check box is checked</w:t>
      </w:r>
      <w:r w:rsidR="00290276" w:rsidRPr="008B648D">
        <w:rPr>
          <w:rFonts w:eastAsia="Times New Roman"/>
          <w:sz w:val="18"/>
          <w:szCs w:val="18"/>
        </w:rPr>
        <w:t xml:space="preserve"> and the Face-to-Face Assessor Recommendation is “The individual APPEARS TO MEET the criteria for Community Based Adult Services (CBAS)”</w:t>
      </w:r>
      <w:r w:rsidRPr="008B648D">
        <w:rPr>
          <w:rFonts w:eastAsia="Times New Roman"/>
          <w:sz w:val="18"/>
          <w:szCs w:val="18"/>
        </w:rPr>
        <w:t>.</w:t>
      </w:r>
    </w:p>
    <w:p w14:paraId="0843ACB2" w14:textId="77777777" w:rsidR="00F029AD" w:rsidRPr="008B648D" w:rsidRDefault="00F029AD" w:rsidP="00335F2F">
      <w:pPr>
        <w:numPr>
          <w:ilvl w:val="1"/>
          <w:numId w:val="1"/>
        </w:numPr>
        <w:tabs>
          <w:tab w:val="left" w:pos="10710"/>
          <w:tab w:val="left" w:pos="10800"/>
        </w:tabs>
        <w:spacing w:before="120" w:after="120" w:line="288" w:lineRule="auto"/>
        <w:ind w:left="720"/>
        <w:rPr>
          <w:rFonts w:eastAsia="Times New Roman"/>
          <w:sz w:val="18"/>
          <w:szCs w:val="18"/>
        </w:rPr>
      </w:pPr>
      <w:r w:rsidRPr="008B648D">
        <w:rPr>
          <w:rFonts w:eastAsia="Times New Roman"/>
          <w:sz w:val="18"/>
          <w:szCs w:val="18"/>
        </w:rPr>
        <w:t>The outcome of a Second Level Review, when completed, is considered the final outcome.</w:t>
      </w:r>
      <w:r w:rsidR="007F69C2" w:rsidRPr="008B648D">
        <w:rPr>
          <w:rFonts w:eastAsia="Times New Roman"/>
          <w:sz w:val="18"/>
          <w:szCs w:val="18"/>
        </w:rPr>
        <w:t xml:space="preserve">  </w:t>
      </w:r>
    </w:p>
    <w:p w14:paraId="2744EA01" w14:textId="77777777" w:rsidR="00835B87" w:rsidRPr="008B648D" w:rsidRDefault="007F69C2" w:rsidP="002711D5">
      <w:pPr>
        <w:numPr>
          <w:ilvl w:val="0"/>
          <w:numId w:val="1"/>
        </w:numPr>
        <w:tabs>
          <w:tab w:val="left" w:pos="10710"/>
          <w:tab w:val="left" w:pos="10800"/>
        </w:tabs>
        <w:spacing w:before="120" w:after="120" w:line="312" w:lineRule="auto"/>
        <w:ind w:left="360"/>
        <w:rPr>
          <w:rFonts w:eastAsia="Times New Roman"/>
          <w:sz w:val="18"/>
          <w:szCs w:val="18"/>
        </w:rPr>
      </w:pPr>
      <w:r w:rsidRPr="008B648D">
        <w:rPr>
          <w:rFonts w:eastAsia="Times New Roman"/>
          <w:sz w:val="18"/>
          <w:szCs w:val="18"/>
        </w:rPr>
        <w:t>Use the “Comment Page” for any additional information required to support Section J.</w:t>
      </w:r>
    </w:p>
    <w:sectPr w:rsidR="00835B87" w:rsidRPr="008B648D" w:rsidSect="007E633B">
      <w:headerReference w:type="default" r:id="rId12"/>
      <w:footerReference w:type="default" r:id="rId13"/>
      <w:pgSz w:w="12240" w:h="15840" w:code="1"/>
      <w:pgMar w:top="288" w:right="576" w:bottom="288"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87D1" w14:textId="77777777" w:rsidR="009C2D98" w:rsidRDefault="009C2D98">
      <w:pPr>
        <w:spacing w:after="0" w:line="240" w:lineRule="auto"/>
      </w:pPr>
      <w:r>
        <w:separator/>
      </w:r>
    </w:p>
  </w:endnote>
  <w:endnote w:type="continuationSeparator" w:id="0">
    <w:p w14:paraId="1CF0A88A" w14:textId="77777777" w:rsidR="009C2D98" w:rsidRDefault="009C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7D3F" w14:textId="77777777" w:rsidR="00316964" w:rsidRPr="009466AB" w:rsidRDefault="009C2D98" w:rsidP="007E633B">
    <w:pPr>
      <w:pBdr>
        <w:bottom w:val="thinThickSmallGap" w:sz="24" w:space="7" w:color="000099"/>
      </w:pBdr>
      <w:tabs>
        <w:tab w:val="center" w:pos="4680"/>
        <w:tab w:val="right" w:pos="9360"/>
      </w:tabs>
      <w:spacing w:after="0" w:line="240" w:lineRule="auto"/>
      <w:jc w:val="right"/>
      <w:rPr>
        <w:rFonts w:ascii="Calibri" w:eastAsia="Calibri" w:hAnsi="Calibri" w:cs="Calibri"/>
        <w:noProof/>
        <w:sz w:val="8"/>
        <w:szCs w:val="8"/>
      </w:rPr>
    </w:pPr>
  </w:p>
  <w:p w14:paraId="6D20C22F" w14:textId="77777777" w:rsidR="00316964" w:rsidRPr="0068679E" w:rsidRDefault="001B0734" w:rsidP="00345E27">
    <w:pPr>
      <w:pStyle w:val="Footer"/>
      <w:tabs>
        <w:tab w:val="clear" w:pos="9360"/>
        <w:tab w:val="right" w:pos="10800"/>
      </w:tabs>
      <w:rPr>
        <w:rFonts w:ascii="Calibri" w:eastAsia="Calibri" w:hAnsi="Calibri" w:cs="Calibri"/>
        <w:noProof/>
        <w:color w:val="000099"/>
        <w:sz w:val="18"/>
        <w:szCs w:val="16"/>
        <w:lang w:val="en-US" w:eastAsia="en-US"/>
      </w:rPr>
    </w:pPr>
    <w:r>
      <w:rPr>
        <w:rFonts w:ascii="Calibri" w:eastAsia="Calibri" w:hAnsi="Calibri" w:cs="Calibri"/>
        <w:noProof/>
        <w:color w:val="000099"/>
        <w:sz w:val="18"/>
        <w:szCs w:val="16"/>
        <w:lang w:val="en-US" w:eastAsia="en-US"/>
      </w:rPr>
      <w:t>DHC</w:t>
    </w:r>
    <w:r w:rsidR="00EC73B6">
      <w:rPr>
        <w:rFonts w:ascii="Calibri" w:eastAsia="Calibri" w:hAnsi="Calibri" w:cs="Calibri"/>
        <w:noProof/>
        <w:color w:val="000099"/>
        <w:sz w:val="18"/>
        <w:szCs w:val="16"/>
        <w:lang w:val="en-US" w:eastAsia="en-US"/>
      </w:rPr>
      <w:t>S</w:t>
    </w:r>
    <w:r w:rsidR="00F8157E" w:rsidRPr="0068679E">
      <w:rPr>
        <w:rFonts w:ascii="Calibri" w:eastAsia="Calibri" w:hAnsi="Calibri" w:cs="Calibri"/>
        <w:noProof/>
        <w:color w:val="000099"/>
        <w:sz w:val="18"/>
        <w:szCs w:val="16"/>
        <w:lang w:val="en-US" w:eastAsia="en-US"/>
      </w:rPr>
      <w:tab/>
    </w:r>
    <w:r w:rsidR="00F8157E" w:rsidRPr="0068679E">
      <w:rPr>
        <w:rFonts w:ascii="Calibri" w:eastAsia="Calibri" w:hAnsi="Calibri" w:cs="Calibri"/>
        <w:noProof/>
        <w:color w:val="000099"/>
        <w:sz w:val="18"/>
        <w:szCs w:val="16"/>
        <w:lang w:val="en-US" w:eastAsia="en-US"/>
      </w:rPr>
      <w:tab/>
    </w:r>
    <w:r w:rsidR="005E1B73" w:rsidRPr="005E1B73">
      <w:rPr>
        <w:rFonts w:ascii="Calibri" w:eastAsia="Calibri" w:hAnsi="Calibri" w:cs="Calibri"/>
        <w:noProof/>
        <w:color w:val="000099"/>
        <w:sz w:val="18"/>
        <w:szCs w:val="16"/>
        <w:lang w:val="en-US" w:eastAsia="en-US"/>
      </w:rPr>
      <w:t xml:space="preserve">Page </w:t>
    </w:r>
    <w:r w:rsidR="005E1B73" w:rsidRPr="005E1B73">
      <w:rPr>
        <w:rFonts w:ascii="Calibri" w:eastAsia="Calibri" w:hAnsi="Calibri" w:cs="Calibri"/>
        <w:b/>
        <w:noProof/>
        <w:color w:val="000099"/>
        <w:sz w:val="18"/>
        <w:szCs w:val="16"/>
        <w:lang w:val="en-US" w:eastAsia="en-US"/>
      </w:rPr>
      <w:fldChar w:fldCharType="begin"/>
    </w:r>
    <w:r w:rsidR="005E1B73" w:rsidRPr="005E1B73">
      <w:rPr>
        <w:rFonts w:ascii="Calibri" w:eastAsia="Calibri" w:hAnsi="Calibri" w:cs="Calibri"/>
        <w:b/>
        <w:noProof/>
        <w:color w:val="000099"/>
        <w:sz w:val="18"/>
        <w:szCs w:val="16"/>
        <w:lang w:val="en-US" w:eastAsia="en-US"/>
      </w:rPr>
      <w:instrText xml:space="preserve"> PAGE  \* Arabic  \* MERGEFORMAT </w:instrText>
    </w:r>
    <w:r w:rsidR="005E1B73" w:rsidRPr="005E1B73">
      <w:rPr>
        <w:rFonts w:ascii="Calibri" w:eastAsia="Calibri" w:hAnsi="Calibri" w:cs="Calibri"/>
        <w:b/>
        <w:noProof/>
        <w:color w:val="000099"/>
        <w:sz w:val="18"/>
        <w:szCs w:val="16"/>
        <w:lang w:val="en-US" w:eastAsia="en-US"/>
      </w:rPr>
      <w:fldChar w:fldCharType="separate"/>
    </w:r>
    <w:r w:rsidR="00F41C9B">
      <w:rPr>
        <w:rFonts w:ascii="Calibri" w:eastAsia="Calibri" w:hAnsi="Calibri" w:cs="Calibri"/>
        <w:b/>
        <w:noProof/>
        <w:color w:val="000099"/>
        <w:sz w:val="18"/>
        <w:szCs w:val="16"/>
        <w:lang w:val="en-US" w:eastAsia="en-US"/>
      </w:rPr>
      <w:t>1</w:t>
    </w:r>
    <w:r w:rsidR="005E1B73" w:rsidRPr="005E1B73">
      <w:rPr>
        <w:rFonts w:ascii="Calibri" w:eastAsia="Calibri" w:hAnsi="Calibri" w:cs="Calibri"/>
        <w:b/>
        <w:noProof/>
        <w:color w:val="000099"/>
        <w:sz w:val="18"/>
        <w:szCs w:val="16"/>
        <w:lang w:val="en-US" w:eastAsia="en-US"/>
      </w:rPr>
      <w:fldChar w:fldCharType="end"/>
    </w:r>
    <w:r w:rsidR="005E1B73" w:rsidRPr="005E1B73">
      <w:rPr>
        <w:rFonts w:ascii="Calibri" w:eastAsia="Calibri" w:hAnsi="Calibri" w:cs="Calibri"/>
        <w:noProof/>
        <w:color w:val="000099"/>
        <w:sz w:val="18"/>
        <w:szCs w:val="16"/>
        <w:lang w:val="en-US" w:eastAsia="en-US"/>
      </w:rPr>
      <w:t xml:space="preserve"> of </w:t>
    </w:r>
    <w:r w:rsidR="005E1B73" w:rsidRPr="005E1B73">
      <w:rPr>
        <w:rFonts w:ascii="Calibri" w:eastAsia="Calibri" w:hAnsi="Calibri" w:cs="Calibri"/>
        <w:b/>
        <w:noProof/>
        <w:color w:val="000099"/>
        <w:sz w:val="18"/>
        <w:szCs w:val="16"/>
        <w:lang w:val="en-US" w:eastAsia="en-US"/>
      </w:rPr>
      <w:fldChar w:fldCharType="begin"/>
    </w:r>
    <w:r w:rsidR="005E1B73" w:rsidRPr="005E1B73">
      <w:rPr>
        <w:rFonts w:ascii="Calibri" w:eastAsia="Calibri" w:hAnsi="Calibri" w:cs="Calibri"/>
        <w:b/>
        <w:noProof/>
        <w:color w:val="000099"/>
        <w:sz w:val="18"/>
        <w:szCs w:val="16"/>
        <w:lang w:val="en-US" w:eastAsia="en-US"/>
      </w:rPr>
      <w:instrText xml:space="preserve"> NUMPAGES  \* Arabic  \* MERGEFORMAT </w:instrText>
    </w:r>
    <w:r w:rsidR="005E1B73" w:rsidRPr="005E1B73">
      <w:rPr>
        <w:rFonts w:ascii="Calibri" w:eastAsia="Calibri" w:hAnsi="Calibri" w:cs="Calibri"/>
        <w:b/>
        <w:noProof/>
        <w:color w:val="000099"/>
        <w:sz w:val="18"/>
        <w:szCs w:val="16"/>
        <w:lang w:val="en-US" w:eastAsia="en-US"/>
      </w:rPr>
      <w:fldChar w:fldCharType="separate"/>
    </w:r>
    <w:r w:rsidR="00F41C9B">
      <w:rPr>
        <w:rFonts w:ascii="Calibri" w:eastAsia="Calibri" w:hAnsi="Calibri" w:cs="Calibri"/>
        <w:b/>
        <w:noProof/>
        <w:color w:val="000099"/>
        <w:sz w:val="18"/>
        <w:szCs w:val="16"/>
        <w:lang w:val="en-US" w:eastAsia="en-US"/>
      </w:rPr>
      <w:t>1</w:t>
    </w:r>
    <w:r w:rsidR="005E1B73" w:rsidRPr="005E1B73">
      <w:rPr>
        <w:rFonts w:ascii="Calibri" w:eastAsia="Calibri" w:hAnsi="Calibri" w:cs="Calibri"/>
        <w:b/>
        <w:noProof/>
        <w:color w:val="000099"/>
        <w:sz w:val="18"/>
        <w:szCs w:val="16"/>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8F0D9" w14:textId="77777777" w:rsidR="009C2D98" w:rsidRDefault="009C2D98">
      <w:pPr>
        <w:spacing w:after="0" w:line="240" w:lineRule="auto"/>
      </w:pPr>
      <w:r>
        <w:separator/>
      </w:r>
    </w:p>
  </w:footnote>
  <w:footnote w:type="continuationSeparator" w:id="0">
    <w:p w14:paraId="5CF58221" w14:textId="77777777" w:rsidR="009C2D98" w:rsidRDefault="009C2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8D613" w14:textId="77777777" w:rsidR="00316964" w:rsidRPr="00A55755" w:rsidRDefault="00F8157E" w:rsidP="007E633B">
    <w:pPr>
      <w:tabs>
        <w:tab w:val="center" w:pos="4680"/>
        <w:tab w:val="right" w:pos="9360"/>
      </w:tabs>
      <w:spacing w:after="0" w:line="240" w:lineRule="auto"/>
      <w:jc w:val="right"/>
      <w:rPr>
        <w:rFonts w:ascii="Calibri" w:eastAsia="Calibri" w:hAnsi="Calibri" w:cs="Calibri"/>
        <w:noProof/>
        <w:color w:val="000099"/>
        <w:sz w:val="16"/>
        <w:szCs w:val="16"/>
      </w:rPr>
    </w:pPr>
    <w:r>
      <w:rPr>
        <w:noProof/>
      </w:rPr>
      <w:drawing>
        <wp:anchor distT="0" distB="0" distL="114300" distR="114300" simplePos="0" relativeHeight="251659264" behindDoc="0" locked="0" layoutInCell="1" allowOverlap="1" wp14:anchorId="5B13653C" wp14:editId="4FD0D6D6">
          <wp:simplePos x="0" y="0"/>
          <wp:positionH relativeFrom="column">
            <wp:posOffset>-23495</wp:posOffset>
          </wp:positionH>
          <wp:positionV relativeFrom="paragraph">
            <wp:posOffset>-94615</wp:posOffset>
          </wp:positionV>
          <wp:extent cx="1402080" cy="313690"/>
          <wp:effectExtent l="0" t="0" r="762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99"/>
        <w:sz w:val="16"/>
        <w:szCs w:val="16"/>
      </w:rPr>
      <w:t>Community Based Adult Services (CBAS)</w:t>
    </w:r>
  </w:p>
  <w:p w14:paraId="08997DA2" w14:textId="77777777" w:rsidR="00335F2F" w:rsidRPr="00335F2F" w:rsidRDefault="00F8157E" w:rsidP="00335F2F">
    <w:pPr>
      <w:pBdr>
        <w:bottom w:val="thinThickSmallGap" w:sz="24" w:space="1" w:color="000099"/>
      </w:pBdr>
      <w:tabs>
        <w:tab w:val="center" w:pos="4680"/>
        <w:tab w:val="right" w:pos="9360"/>
      </w:tabs>
      <w:jc w:val="right"/>
      <w:rPr>
        <w:rFonts w:ascii="Calibri" w:eastAsia="Calibri" w:hAnsi="Calibri" w:cs="Calibri"/>
        <w:noProof/>
        <w:color w:val="000099"/>
        <w:sz w:val="16"/>
        <w:szCs w:val="16"/>
      </w:rPr>
    </w:pPr>
    <w:r>
      <w:rPr>
        <w:rFonts w:ascii="Calibri" w:eastAsia="Calibri" w:hAnsi="Calibri" w:cs="Calibri"/>
        <w:noProof/>
        <w:color w:val="000099"/>
        <w:sz w:val="16"/>
        <w:szCs w:val="16"/>
      </w:rPr>
      <w:t xml:space="preserve">CBAS Eligibility Determination Tool – CEDT </w:t>
    </w:r>
    <w:r w:rsidR="00C2518C">
      <w:rPr>
        <w:rFonts w:ascii="Calibri" w:eastAsia="Calibri" w:hAnsi="Calibri" w:cs="Calibri"/>
        <w:noProof/>
        <w:color w:val="000099"/>
        <w:sz w:val="16"/>
        <w:szCs w:val="16"/>
      </w:rPr>
      <w:t xml:space="preserve">Instructions </w:t>
    </w:r>
    <w:r>
      <w:rPr>
        <w:rFonts w:ascii="Calibri" w:eastAsia="Calibri" w:hAnsi="Calibri" w:cs="Calibri"/>
        <w:noProof/>
        <w:color w:val="000099"/>
        <w:sz w:val="16"/>
        <w:szCs w:val="16"/>
      </w:rPr>
      <w:t xml:space="preserve">Version </w:t>
    </w:r>
    <w:r w:rsidR="001B0734">
      <w:rPr>
        <w:rFonts w:ascii="Calibri" w:eastAsia="Calibri" w:hAnsi="Calibri" w:cs="Calibri"/>
        <w:noProof/>
        <w:color w:val="000099"/>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F3AC4"/>
    <w:multiLevelType w:val="hybridMultilevel"/>
    <w:tmpl w:val="25F454B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05">
      <w:start w:val="1"/>
      <w:numFmt w:val="bullet"/>
      <w:lvlText w:val=""/>
      <w:lvlJc w:val="left"/>
      <w:pPr>
        <w:ind w:left="2340" w:hanging="180"/>
      </w:pPr>
      <w:rPr>
        <w:rFonts w:ascii="Wingdings" w:hAnsi="Wingding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952"/>
    <w:rsid w:val="000A1E73"/>
    <w:rsid w:val="000A292E"/>
    <w:rsid w:val="000A4A6B"/>
    <w:rsid w:val="001006A7"/>
    <w:rsid w:val="00120600"/>
    <w:rsid w:val="00152E3F"/>
    <w:rsid w:val="001B0734"/>
    <w:rsid w:val="001E74DB"/>
    <w:rsid w:val="002173A6"/>
    <w:rsid w:val="00230952"/>
    <w:rsid w:val="0025012F"/>
    <w:rsid w:val="002711D5"/>
    <w:rsid w:val="00290276"/>
    <w:rsid w:val="00321E9D"/>
    <w:rsid w:val="00335F2F"/>
    <w:rsid w:val="003646BD"/>
    <w:rsid w:val="003D6E66"/>
    <w:rsid w:val="00406176"/>
    <w:rsid w:val="004067B5"/>
    <w:rsid w:val="004259A3"/>
    <w:rsid w:val="004437F1"/>
    <w:rsid w:val="004515F2"/>
    <w:rsid w:val="00493295"/>
    <w:rsid w:val="004C3539"/>
    <w:rsid w:val="004D7C66"/>
    <w:rsid w:val="004F36D0"/>
    <w:rsid w:val="004F7555"/>
    <w:rsid w:val="00561B29"/>
    <w:rsid w:val="005A2A88"/>
    <w:rsid w:val="005D5C2D"/>
    <w:rsid w:val="005E1B73"/>
    <w:rsid w:val="00626489"/>
    <w:rsid w:val="006D3AA6"/>
    <w:rsid w:val="006D57C8"/>
    <w:rsid w:val="007C5E22"/>
    <w:rsid w:val="007E633B"/>
    <w:rsid w:val="007F69C2"/>
    <w:rsid w:val="007F6A92"/>
    <w:rsid w:val="00835B87"/>
    <w:rsid w:val="00890B8E"/>
    <w:rsid w:val="008B648D"/>
    <w:rsid w:val="008D75AB"/>
    <w:rsid w:val="008F08BD"/>
    <w:rsid w:val="009C2D98"/>
    <w:rsid w:val="00B5370C"/>
    <w:rsid w:val="00B8145B"/>
    <w:rsid w:val="00BE5ECE"/>
    <w:rsid w:val="00C2518C"/>
    <w:rsid w:val="00CA7DF4"/>
    <w:rsid w:val="00CF2767"/>
    <w:rsid w:val="00D05A32"/>
    <w:rsid w:val="00D07A41"/>
    <w:rsid w:val="00DD6AEB"/>
    <w:rsid w:val="00E62440"/>
    <w:rsid w:val="00E72E19"/>
    <w:rsid w:val="00E81A0C"/>
    <w:rsid w:val="00EC73B6"/>
    <w:rsid w:val="00F029AD"/>
    <w:rsid w:val="00F330D4"/>
    <w:rsid w:val="00F41C9B"/>
    <w:rsid w:val="00F5709B"/>
    <w:rsid w:val="00F8157E"/>
    <w:rsid w:val="00F92299"/>
    <w:rsid w:val="00FA45E7"/>
    <w:rsid w:val="00FE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952"/>
    <w:pPr>
      <w:tabs>
        <w:tab w:val="center" w:pos="4680"/>
        <w:tab w:val="right" w:pos="9360"/>
      </w:tabs>
      <w:spacing w:after="0" w:line="240" w:lineRule="auto"/>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230952"/>
    <w:rPr>
      <w:rFonts w:ascii="Times New Roman" w:eastAsia="Times New Roman" w:hAnsi="Times New Roman" w:cs="Times New Roman"/>
      <w:lang w:val="x-none" w:eastAsia="x-none"/>
    </w:rPr>
  </w:style>
  <w:style w:type="table" w:styleId="TableGrid">
    <w:name w:val="Table Grid"/>
    <w:basedOn w:val="TableNormal"/>
    <w:uiPriority w:val="59"/>
    <w:rsid w:val="0042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9AD"/>
    <w:pPr>
      <w:ind w:left="720"/>
      <w:contextualSpacing/>
    </w:pPr>
  </w:style>
  <w:style w:type="paragraph" w:styleId="Header">
    <w:name w:val="header"/>
    <w:basedOn w:val="Normal"/>
    <w:link w:val="HeaderChar"/>
    <w:uiPriority w:val="99"/>
    <w:unhideWhenUsed/>
    <w:rsid w:val="005E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36" ma:contentTypeDescription="This is the Custom Document Type for use by DHCS" ma:contentTypeScope="" ma:versionID="dd9e60763d672dfd6005b7d42a358f16">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State Managed Care Plan CBAS Eligibility Determination Tool (CEDT) Instructions</Abstract>
    <PublishingContactName xmlns="http://schemas.microsoft.com/sharepoint/v3">LTCD/CBAS</PublishingContactName>
    <TAGAge xmlns="69bc34b3-1921-46c7-8c7a-d18363374b4b" xsi:nil="true"/>
    <_dlc_DocId xmlns="69bc34b3-1921-46c7-8c7a-d18363374b4b">DHCSDOC-1832079576-1611</_dlc_DocId>
    <_dlc_DocIdUrl xmlns="69bc34b3-1921-46c7-8c7a-d18363374b4b">
      <Url>http://dhcs2016prod:88/services/_layouts/15/DocIdRedir.aspx?ID=DHCSDOC-1832079576-1611</Url>
      <Description>DHCSDOC-1832079576-1611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0E9E94-4D43-4AA0-9853-E173245448CE}">
  <ds:schemaRefs>
    <ds:schemaRef ds:uri="http://schemas.microsoft.com/sharepoint/v3/contenttype/forms"/>
  </ds:schemaRefs>
</ds:datastoreItem>
</file>

<file path=customXml/itemProps2.xml><?xml version="1.0" encoding="utf-8"?>
<ds:datastoreItem xmlns:ds="http://schemas.openxmlformats.org/officeDocument/2006/customXml" ds:itemID="{C37A48DA-D385-47D3-8040-9392C69173CD}"/>
</file>

<file path=customXml/itemProps3.xml><?xml version="1.0" encoding="utf-8"?>
<ds:datastoreItem xmlns:ds="http://schemas.openxmlformats.org/officeDocument/2006/customXml" ds:itemID="{1B05AFE4-7F3F-4C85-B7B4-4656462933FA}">
  <ds:schemaRefs>
    <ds:schemaRef ds:uri="http://schemas.openxmlformats.org/officeDocument/2006/bibliography"/>
  </ds:schemaRefs>
</ds:datastoreItem>
</file>

<file path=customXml/itemProps4.xml><?xml version="1.0" encoding="utf-8"?>
<ds:datastoreItem xmlns:ds="http://schemas.openxmlformats.org/officeDocument/2006/customXml" ds:itemID="{4F6E946E-BFC5-423C-A4C1-756A79FEBA4E}">
  <ds:schemaRefs>
    <ds:schemaRef ds:uri="http://schemas.microsoft.com/sharepoint/events"/>
  </ds:schemaRefs>
</ds:datastoreItem>
</file>

<file path=customXml/itemProps5.xml><?xml version="1.0" encoding="utf-8"?>
<ds:datastoreItem xmlns:ds="http://schemas.openxmlformats.org/officeDocument/2006/customXml" ds:itemID="{CEE11E2E-3514-48D7-886A-BCE70610E55C}">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6.xml><?xml version="1.0" encoding="utf-8"?>
<ds:datastoreItem xmlns:ds="http://schemas.openxmlformats.org/officeDocument/2006/customXml" ds:itemID="{501A7767-ADBC-4AEB-A970-CB789F0E38D4}"/>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 CEDT Form</dc:title>
  <dc:creator/>
  <cp:keywords>Instructions For Completing a CEDT Form</cp:keywords>
  <cp:lastModifiedBy/>
  <cp:revision>1</cp:revision>
  <dcterms:created xsi:type="dcterms:W3CDTF">2013-11-21T17:31:00Z</dcterms:created>
  <dcterms:modified xsi:type="dcterms:W3CDTF">2020-10-26T22:52:00Z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0x010100EEE380F46F125946A8B4C4C90D9FFCDC00EF7B5F1A49D6C44F9EF3E441EAB6FA91</vt:lpwstr>
  </property>
  <property fmtid="{D5CDD505-2E9C-101B-9397-08002B2CF9AE}" pid="3" name="_dlc_DocIdItemGuid">
    <vt:lpwstr>d721a43e-e640-4eb9-a0f4-0d8d32a35193</vt:lpwstr>
  </property>
  <property fmtid="{D5CDD505-2E9C-101B-9397-08002B2CF9AE}" pid="4" name="Remediated">
    <vt:bool>false</vt:bool>
  </property>
  <property fmtid="{D5CDD505-2E9C-101B-9397-08002B2CF9AE}" pid="5" name="Organization">
    <vt:lpwstr>7</vt:lpwstr>
  </property>
  <property fmtid="{D5CDD505-2E9C-101B-9397-08002B2CF9AE}" pid="6" name="Division">
    <vt:lpwstr>22;#Integrated Systems of Care|6fd1b75e-be80-4bfc-8514-f354fda71f41</vt:lpwstr>
  </property>
</Properties>
</file>