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DB26A" w14:textId="65CE84BA" w:rsidR="009C1BB2" w:rsidRPr="009C1BB2" w:rsidRDefault="00E15F51" w:rsidP="009C1BB2">
      <w:pPr>
        <w:spacing w:after="0" w:line="240" w:lineRule="auto"/>
        <w:jc w:val="center"/>
        <w:rPr>
          <w:rFonts w:ascii="Arial" w:eastAsia="Calibri" w:hAnsi="Arial" w:cs="Arial"/>
          <w:b/>
          <w:iCs/>
          <w:sz w:val="32"/>
          <w:szCs w:val="32"/>
        </w:rPr>
      </w:pPr>
      <w:bookmarkStart w:id="0" w:name="_GoBack"/>
      <w:bookmarkEnd w:id="0"/>
      <w:r>
        <w:rPr>
          <w:rFonts w:ascii="Arial" w:eastAsia="Calibri" w:hAnsi="Arial" w:cs="Arial"/>
          <w:b/>
          <w:iCs/>
          <w:sz w:val="32"/>
          <w:szCs w:val="32"/>
        </w:rPr>
        <w:t>20</w:t>
      </w:r>
      <w:r w:rsidR="00100A83">
        <w:rPr>
          <w:rFonts w:ascii="Arial" w:eastAsia="Calibri" w:hAnsi="Arial" w:cs="Arial"/>
          <w:b/>
          <w:iCs/>
          <w:sz w:val="32"/>
          <w:szCs w:val="32"/>
        </w:rPr>
        <w:t>19-20</w:t>
      </w:r>
      <w:r w:rsidR="009C1BB2">
        <w:rPr>
          <w:rFonts w:ascii="Arial" w:eastAsia="Calibri" w:hAnsi="Arial" w:cs="Arial"/>
          <w:b/>
          <w:iCs/>
          <w:sz w:val="32"/>
          <w:szCs w:val="32"/>
        </w:rPr>
        <w:t xml:space="preserve"> QASP Payment Award</w:t>
      </w:r>
      <w:r w:rsidR="002E5464">
        <w:rPr>
          <w:rFonts w:ascii="Arial" w:eastAsia="Calibri" w:hAnsi="Arial" w:cs="Arial"/>
          <w:b/>
          <w:iCs/>
          <w:sz w:val="32"/>
          <w:szCs w:val="32"/>
        </w:rPr>
        <w:t xml:space="preserve"> Revision</w:t>
      </w:r>
    </w:p>
    <w:p w14:paraId="7C82C5FC" w14:textId="77777777" w:rsidR="009C1BB2" w:rsidRDefault="009C1BB2" w:rsidP="00C03FA7">
      <w:pPr>
        <w:spacing w:after="0" w:line="240" w:lineRule="auto"/>
        <w:rPr>
          <w:rFonts w:ascii="Arial" w:eastAsia="Calibri" w:hAnsi="Arial" w:cs="Arial"/>
          <w:iCs/>
          <w:sz w:val="24"/>
          <w:szCs w:val="24"/>
        </w:rPr>
      </w:pPr>
    </w:p>
    <w:p w14:paraId="1D9E3FF7" w14:textId="2016EEDD" w:rsidR="00C03FA7" w:rsidRPr="00234537" w:rsidRDefault="00B57DB6" w:rsidP="00C03FA7">
      <w:pPr>
        <w:spacing w:after="0" w:line="240" w:lineRule="auto"/>
        <w:rPr>
          <w:rFonts w:ascii="Arial" w:eastAsia="Calibri" w:hAnsi="Arial" w:cs="Arial"/>
          <w:iCs/>
          <w:sz w:val="24"/>
          <w:szCs w:val="24"/>
        </w:rPr>
      </w:pPr>
      <w:r>
        <w:rPr>
          <w:rFonts w:ascii="Arial" w:eastAsia="Calibri" w:hAnsi="Arial" w:cs="Arial"/>
          <w:iCs/>
          <w:sz w:val="24"/>
          <w:szCs w:val="24"/>
        </w:rPr>
        <w:t>T</w:t>
      </w:r>
      <w:r w:rsidR="004E0A08">
        <w:rPr>
          <w:rFonts w:ascii="Arial" w:eastAsia="Calibri" w:hAnsi="Arial" w:cs="Arial"/>
          <w:iCs/>
          <w:sz w:val="24"/>
          <w:szCs w:val="24"/>
        </w:rPr>
        <w:t xml:space="preserve">he </w:t>
      </w:r>
      <w:r w:rsidR="005A293B">
        <w:rPr>
          <w:rFonts w:ascii="Arial" w:eastAsia="Calibri" w:hAnsi="Arial" w:cs="Arial"/>
          <w:iCs/>
          <w:sz w:val="24"/>
          <w:szCs w:val="24"/>
        </w:rPr>
        <w:t xml:space="preserve">California </w:t>
      </w:r>
      <w:r w:rsidR="004E0A08">
        <w:rPr>
          <w:rFonts w:ascii="Arial" w:eastAsia="Calibri" w:hAnsi="Arial" w:cs="Arial"/>
          <w:iCs/>
          <w:sz w:val="24"/>
          <w:szCs w:val="24"/>
        </w:rPr>
        <w:t>Department of Health</w:t>
      </w:r>
      <w:r w:rsidR="00E44759">
        <w:rPr>
          <w:rFonts w:ascii="Arial" w:eastAsia="Calibri" w:hAnsi="Arial" w:cs="Arial"/>
          <w:iCs/>
          <w:sz w:val="24"/>
          <w:szCs w:val="24"/>
        </w:rPr>
        <w:t xml:space="preserve"> C</w:t>
      </w:r>
      <w:r w:rsidR="004E0A08">
        <w:rPr>
          <w:rFonts w:ascii="Arial" w:eastAsia="Calibri" w:hAnsi="Arial" w:cs="Arial"/>
          <w:iCs/>
          <w:sz w:val="24"/>
          <w:szCs w:val="24"/>
        </w:rPr>
        <w:t>are Services</w:t>
      </w:r>
      <w:r w:rsidR="00E44759">
        <w:rPr>
          <w:rFonts w:ascii="Arial" w:eastAsia="Calibri" w:hAnsi="Arial" w:cs="Arial"/>
          <w:iCs/>
          <w:sz w:val="24"/>
          <w:szCs w:val="24"/>
        </w:rPr>
        <w:t xml:space="preserve"> (DHCS)</w:t>
      </w:r>
      <w:r w:rsidR="00C03FA7" w:rsidRPr="00234537">
        <w:rPr>
          <w:rFonts w:ascii="Arial" w:eastAsia="Calibri" w:hAnsi="Arial" w:cs="Arial"/>
          <w:iCs/>
          <w:sz w:val="24"/>
          <w:szCs w:val="24"/>
        </w:rPr>
        <w:t xml:space="preserve"> </w:t>
      </w:r>
      <w:r>
        <w:rPr>
          <w:rFonts w:ascii="Arial" w:eastAsia="Calibri" w:hAnsi="Arial" w:cs="Arial"/>
          <w:iCs/>
          <w:sz w:val="24"/>
          <w:szCs w:val="24"/>
        </w:rPr>
        <w:t xml:space="preserve">has </w:t>
      </w:r>
      <w:r w:rsidR="002E5464">
        <w:rPr>
          <w:rFonts w:ascii="Arial" w:eastAsia="Calibri" w:hAnsi="Arial" w:cs="Arial"/>
          <w:iCs/>
          <w:sz w:val="24"/>
          <w:szCs w:val="24"/>
        </w:rPr>
        <w:t>revised</w:t>
      </w:r>
      <w:r>
        <w:rPr>
          <w:rFonts w:ascii="Arial" w:eastAsia="Calibri" w:hAnsi="Arial" w:cs="Arial"/>
          <w:iCs/>
          <w:sz w:val="24"/>
          <w:szCs w:val="24"/>
        </w:rPr>
        <w:t xml:space="preserve"> the annual payment for the </w:t>
      </w:r>
      <w:r w:rsidR="00EE13B8" w:rsidRPr="00234537">
        <w:rPr>
          <w:rFonts w:ascii="Arial" w:eastAsia="Calibri" w:hAnsi="Arial" w:cs="Arial"/>
          <w:iCs/>
          <w:sz w:val="24"/>
          <w:szCs w:val="24"/>
        </w:rPr>
        <w:t xml:space="preserve">Annual </w:t>
      </w:r>
      <w:r w:rsidR="00596D7C" w:rsidRPr="00596D7C">
        <w:rPr>
          <w:rFonts w:ascii="Arial" w:eastAsia="Calibri" w:hAnsi="Arial" w:cs="Arial"/>
          <w:iCs/>
          <w:sz w:val="24"/>
          <w:szCs w:val="24"/>
        </w:rPr>
        <w:t xml:space="preserve">Quality and Accountability Supplemental Payment (QASP) </w:t>
      </w:r>
      <w:r w:rsidR="00EE13B8" w:rsidRPr="00234537">
        <w:rPr>
          <w:rFonts w:ascii="Arial" w:eastAsia="Calibri" w:hAnsi="Arial" w:cs="Arial"/>
          <w:iCs/>
          <w:sz w:val="24"/>
          <w:szCs w:val="24"/>
        </w:rPr>
        <w:t>Report</w:t>
      </w:r>
      <w:r w:rsidR="008D5B02">
        <w:rPr>
          <w:rFonts w:ascii="Arial" w:eastAsia="Calibri" w:hAnsi="Arial" w:cs="Arial"/>
          <w:iCs/>
          <w:sz w:val="24"/>
          <w:szCs w:val="24"/>
        </w:rPr>
        <w:t xml:space="preserve"> </w:t>
      </w:r>
      <w:r w:rsidR="005C06B6">
        <w:rPr>
          <w:rFonts w:ascii="Arial" w:eastAsia="Calibri" w:hAnsi="Arial" w:cs="Arial"/>
          <w:iCs/>
          <w:sz w:val="24"/>
          <w:szCs w:val="24"/>
        </w:rPr>
        <w:t>based on</w:t>
      </w:r>
      <w:r w:rsidR="008465EB">
        <w:rPr>
          <w:rFonts w:ascii="Arial" w:eastAsia="Calibri" w:hAnsi="Arial" w:cs="Arial"/>
          <w:iCs/>
          <w:sz w:val="24"/>
          <w:szCs w:val="24"/>
        </w:rPr>
        <w:t xml:space="preserve"> </w:t>
      </w:r>
      <w:r w:rsidR="00596D7C">
        <w:rPr>
          <w:rFonts w:ascii="Arial" w:eastAsia="Calibri" w:hAnsi="Arial" w:cs="Arial"/>
          <w:iCs/>
          <w:sz w:val="24"/>
          <w:szCs w:val="24"/>
        </w:rPr>
        <w:t>201</w:t>
      </w:r>
      <w:r w:rsidR="00100A83">
        <w:rPr>
          <w:rFonts w:ascii="Arial" w:eastAsia="Calibri" w:hAnsi="Arial" w:cs="Arial"/>
          <w:iCs/>
          <w:sz w:val="24"/>
          <w:szCs w:val="24"/>
        </w:rPr>
        <w:t>8</w:t>
      </w:r>
      <w:r w:rsidR="00596D7C">
        <w:rPr>
          <w:rFonts w:ascii="Arial" w:eastAsia="Calibri" w:hAnsi="Arial" w:cs="Arial"/>
          <w:iCs/>
          <w:sz w:val="24"/>
          <w:szCs w:val="24"/>
        </w:rPr>
        <w:t>-1</w:t>
      </w:r>
      <w:r w:rsidR="00100A83">
        <w:rPr>
          <w:rFonts w:ascii="Arial" w:eastAsia="Calibri" w:hAnsi="Arial" w:cs="Arial"/>
          <w:iCs/>
          <w:sz w:val="24"/>
          <w:szCs w:val="24"/>
        </w:rPr>
        <w:t>9</w:t>
      </w:r>
      <w:r w:rsidR="00596D7C">
        <w:rPr>
          <w:rFonts w:ascii="Arial" w:eastAsia="Calibri" w:hAnsi="Arial" w:cs="Arial"/>
          <w:iCs/>
          <w:sz w:val="24"/>
          <w:szCs w:val="24"/>
        </w:rPr>
        <w:t xml:space="preserve"> </w:t>
      </w:r>
      <w:r w:rsidR="008465EB">
        <w:rPr>
          <w:rFonts w:ascii="Arial" w:eastAsia="Calibri" w:hAnsi="Arial" w:cs="Arial"/>
          <w:iCs/>
          <w:sz w:val="24"/>
          <w:szCs w:val="24"/>
        </w:rPr>
        <w:t>performance period data</w:t>
      </w:r>
      <w:r>
        <w:rPr>
          <w:rFonts w:ascii="Arial" w:eastAsia="Calibri" w:hAnsi="Arial" w:cs="Arial"/>
          <w:iCs/>
          <w:sz w:val="24"/>
          <w:szCs w:val="24"/>
        </w:rPr>
        <w:t>.</w:t>
      </w:r>
      <w:r w:rsidR="002E5464">
        <w:rPr>
          <w:rFonts w:ascii="Arial" w:eastAsia="Calibri" w:hAnsi="Arial" w:cs="Arial"/>
          <w:iCs/>
          <w:sz w:val="24"/>
          <w:szCs w:val="24"/>
        </w:rPr>
        <w:t xml:space="preserve"> Due to a data collection error, the payment which was issued on April 13, 2020 </w:t>
      </w:r>
      <w:r w:rsidR="0042037C">
        <w:rPr>
          <w:rFonts w:ascii="Arial" w:eastAsia="Calibri" w:hAnsi="Arial" w:cs="Arial"/>
          <w:iCs/>
          <w:sz w:val="24"/>
          <w:szCs w:val="24"/>
        </w:rPr>
        <w:t>contained some</w:t>
      </w:r>
      <w:r w:rsidR="002E5464">
        <w:rPr>
          <w:rFonts w:ascii="Arial" w:eastAsia="Calibri" w:hAnsi="Arial" w:cs="Arial"/>
          <w:iCs/>
          <w:sz w:val="24"/>
          <w:szCs w:val="24"/>
        </w:rPr>
        <w:t xml:space="preserve"> erroneous</w:t>
      </w:r>
      <w:r w:rsidR="0042037C">
        <w:rPr>
          <w:rFonts w:ascii="Arial" w:eastAsia="Calibri" w:hAnsi="Arial" w:cs="Arial"/>
          <w:iCs/>
          <w:sz w:val="24"/>
          <w:szCs w:val="24"/>
        </w:rPr>
        <w:t xml:space="preserve"> payments</w:t>
      </w:r>
      <w:r w:rsidR="002E5464">
        <w:rPr>
          <w:rFonts w:ascii="Arial" w:eastAsia="Calibri" w:hAnsi="Arial" w:cs="Arial"/>
          <w:iCs/>
          <w:sz w:val="24"/>
          <w:szCs w:val="24"/>
        </w:rPr>
        <w:t xml:space="preserve">, and has been revised. The new payment list has been published and is available for viewing on the DHCS QASP website at </w:t>
      </w:r>
      <w:hyperlink r:id="rId6" w:history="1">
        <w:r w:rsidR="002E5464" w:rsidRPr="001B18BE">
          <w:rPr>
            <w:rStyle w:val="Hyperlink"/>
            <w:rFonts w:ascii="Arial" w:eastAsia="Calibri" w:hAnsi="Arial" w:cs="Arial"/>
            <w:iCs/>
            <w:sz w:val="24"/>
            <w:szCs w:val="24"/>
          </w:rPr>
          <w:t>https://www.dhcs.ca.gov/services/medi-cal/Pages/LTCAB1629QAP.aspx</w:t>
        </w:r>
      </w:hyperlink>
      <w:r w:rsidR="002E5464">
        <w:rPr>
          <w:rFonts w:ascii="Arial" w:eastAsia="Calibri" w:hAnsi="Arial" w:cs="Arial"/>
          <w:iCs/>
          <w:sz w:val="24"/>
          <w:szCs w:val="24"/>
        </w:rPr>
        <w:t xml:space="preserve">. Facilities may have their payment amounts increased or reduced. </w:t>
      </w:r>
    </w:p>
    <w:p w14:paraId="5B08B794" w14:textId="77777777" w:rsidR="00C03FA7" w:rsidRPr="00234537" w:rsidRDefault="00C03FA7" w:rsidP="00C03FA7">
      <w:pPr>
        <w:spacing w:after="0" w:line="240" w:lineRule="auto"/>
        <w:rPr>
          <w:rFonts w:ascii="Arial" w:eastAsia="Calibri" w:hAnsi="Arial" w:cs="Arial"/>
          <w:iCs/>
          <w:sz w:val="24"/>
          <w:szCs w:val="24"/>
        </w:rPr>
      </w:pPr>
    </w:p>
    <w:p w14:paraId="50060943" w14:textId="03F6A8CD" w:rsidR="00FE2C26" w:rsidRDefault="00E44759" w:rsidP="00C03FA7">
      <w:pPr>
        <w:spacing w:after="0" w:line="240" w:lineRule="auto"/>
        <w:rPr>
          <w:rFonts w:ascii="Arial" w:eastAsia="Calibri" w:hAnsi="Arial" w:cs="Arial"/>
          <w:iCs/>
          <w:sz w:val="24"/>
          <w:szCs w:val="24"/>
        </w:rPr>
      </w:pPr>
      <w:r>
        <w:rPr>
          <w:rFonts w:ascii="Arial" w:eastAsia="Calibri" w:hAnsi="Arial" w:cs="Arial"/>
          <w:iCs/>
          <w:sz w:val="24"/>
          <w:szCs w:val="24"/>
        </w:rPr>
        <w:t>DHCS</w:t>
      </w:r>
      <w:r w:rsidR="0017274E">
        <w:rPr>
          <w:rFonts w:ascii="Arial" w:eastAsia="Calibri" w:hAnsi="Arial" w:cs="Arial"/>
          <w:iCs/>
          <w:sz w:val="24"/>
          <w:szCs w:val="24"/>
        </w:rPr>
        <w:t xml:space="preserve"> </w:t>
      </w:r>
      <w:r w:rsidR="00EF50D7">
        <w:rPr>
          <w:rFonts w:ascii="Arial" w:eastAsia="Calibri" w:hAnsi="Arial" w:cs="Arial"/>
          <w:iCs/>
          <w:sz w:val="24"/>
          <w:szCs w:val="24"/>
        </w:rPr>
        <w:t>in partnership with t</w:t>
      </w:r>
      <w:r w:rsidR="00693ABD">
        <w:rPr>
          <w:rFonts w:ascii="Arial" w:eastAsia="Calibri" w:hAnsi="Arial" w:cs="Arial"/>
          <w:iCs/>
          <w:sz w:val="24"/>
          <w:szCs w:val="24"/>
        </w:rPr>
        <w:t>he California Department of Public Health (</w:t>
      </w:r>
      <w:r w:rsidR="00F10488">
        <w:rPr>
          <w:rFonts w:ascii="Arial" w:eastAsia="Calibri" w:hAnsi="Arial" w:cs="Arial"/>
          <w:iCs/>
          <w:sz w:val="24"/>
          <w:szCs w:val="24"/>
        </w:rPr>
        <w:t>CDPH</w:t>
      </w:r>
      <w:r w:rsidR="00693ABD">
        <w:rPr>
          <w:rFonts w:ascii="Arial" w:eastAsia="Calibri" w:hAnsi="Arial" w:cs="Arial"/>
          <w:iCs/>
          <w:sz w:val="24"/>
          <w:szCs w:val="24"/>
        </w:rPr>
        <w:t>)</w:t>
      </w:r>
      <w:r w:rsidR="00F10488">
        <w:rPr>
          <w:rFonts w:ascii="Arial" w:eastAsia="Calibri" w:hAnsi="Arial" w:cs="Arial"/>
          <w:iCs/>
          <w:sz w:val="24"/>
          <w:szCs w:val="24"/>
        </w:rPr>
        <w:t xml:space="preserve"> </w:t>
      </w:r>
      <w:r w:rsidR="004E0A08">
        <w:rPr>
          <w:rFonts w:ascii="Arial" w:eastAsia="Calibri" w:hAnsi="Arial" w:cs="Arial"/>
          <w:iCs/>
          <w:sz w:val="24"/>
          <w:szCs w:val="24"/>
        </w:rPr>
        <w:t>utilizes</w:t>
      </w:r>
      <w:r w:rsidR="00E22FED">
        <w:rPr>
          <w:rFonts w:ascii="Arial" w:eastAsia="Calibri" w:hAnsi="Arial" w:cs="Arial"/>
          <w:iCs/>
          <w:sz w:val="24"/>
          <w:szCs w:val="24"/>
        </w:rPr>
        <w:t xml:space="preserve"> a</w:t>
      </w:r>
      <w:r w:rsidR="004E0A08">
        <w:rPr>
          <w:rFonts w:ascii="Arial" w:eastAsia="Calibri" w:hAnsi="Arial" w:cs="Arial"/>
          <w:iCs/>
          <w:sz w:val="24"/>
          <w:szCs w:val="24"/>
        </w:rPr>
        <w:t xml:space="preserve"> </w:t>
      </w:r>
      <w:r>
        <w:rPr>
          <w:rFonts w:ascii="Arial" w:eastAsia="Calibri" w:hAnsi="Arial" w:cs="Arial"/>
          <w:iCs/>
          <w:sz w:val="24"/>
          <w:szCs w:val="24"/>
        </w:rPr>
        <w:t>third</w:t>
      </w:r>
      <w:r w:rsidR="00E22FED">
        <w:rPr>
          <w:rFonts w:ascii="Arial" w:eastAsia="Calibri" w:hAnsi="Arial" w:cs="Arial"/>
          <w:iCs/>
          <w:sz w:val="24"/>
          <w:szCs w:val="24"/>
        </w:rPr>
        <w:t>-</w:t>
      </w:r>
      <w:r w:rsidR="004E0A08">
        <w:rPr>
          <w:rFonts w:ascii="Arial" w:eastAsia="Calibri" w:hAnsi="Arial" w:cs="Arial"/>
          <w:iCs/>
          <w:sz w:val="24"/>
          <w:szCs w:val="24"/>
        </w:rPr>
        <w:t xml:space="preserve">party </w:t>
      </w:r>
      <w:r w:rsidR="00E22FED">
        <w:rPr>
          <w:rFonts w:ascii="Arial" w:eastAsia="Calibri" w:hAnsi="Arial" w:cs="Arial"/>
          <w:iCs/>
          <w:sz w:val="24"/>
          <w:szCs w:val="24"/>
        </w:rPr>
        <w:t>contractor,</w:t>
      </w:r>
      <w:r w:rsidR="004E0A08">
        <w:rPr>
          <w:rFonts w:ascii="Arial" w:eastAsia="Calibri" w:hAnsi="Arial" w:cs="Arial"/>
          <w:iCs/>
          <w:sz w:val="24"/>
          <w:szCs w:val="24"/>
        </w:rPr>
        <w:t xml:space="preserve"> Health Services Advisory Group</w:t>
      </w:r>
      <w:r w:rsidR="006B50BC">
        <w:rPr>
          <w:rFonts w:ascii="Arial" w:eastAsia="Calibri" w:hAnsi="Arial" w:cs="Arial"/>
          <w:iCs/>
          <w:sz w:val="24"/>
          <w:szCs w:val="24"/>
        </w:rPr>
        <w:t xml:space="preserve"> (HSAG)</w:t>
      </w:r>
      <w:r w:rsidR="00596D7C">
        <w:rPr>
          <w:rFonts w:ascii="Arial" w:eastAsia="Calibri" w:hAnsi="Arial" w:cs="Arial"/>
          <w:iCs/>
          <w:sz w:val="24"/>
          <w:szCs w:val="24"/>
        </w:rPr>
        <w:t>,</w:t>
      </w:r>
      <w:r w:rsidR="004E0A08">
        <w:rPr>
          <w:rFonts w:ascii="Arial" w:eastAsia="Calibri" w:hAnsi="Arial" w:cs="Arial"/>
          <w:iCs/>
          <w:sz w:val="24"/>
          <w:szCs w:val="24"/>
        </w:rPr>
        <w:t xml:space="preserve"> </w:t>
      </w:r>
      <w:r w:rsidR="00E22FED">
        <w:rPr>
          <w:rFonts w:ascii="Arial" w:eastAsia="Calibri" w:hAnsi="Arial" w:cs="Arial"/>
          <w:iCs/>
          <w:sz w:val="24"/>
          <w:szCs w:val="24"/>
        </w:rPr>
        <w:t xml:space="preserve">to calculate the </w:t>
      </w:r>
      <w:r w:rsidR="004E0A08">
        <w:rPr>
          <w:rFonts w:ascii="Arial" w:eastAsia="Calibri" w:hAnsi="Arial" w:cs="Arial"/>
          <w:iCs/>
          <w:sz w:val="24"/>
          <w:szCs w:val="24"/>
        </w:rPr>
        <w:t xml:space="preserve">performance scores </w:t>
      </w:r>
      <w:r w:rsidR="00E22FED">
        <w:rPr>
          <w:rFonts w:ascii="Arial" w:eastAsia="Calibri" w:hAnsi="Arial" w:cs="Arial"/>
          <w:iCs/>
          <w:sz w:val="24"/>
          <w:szCs w:val="24"/>
        </w:rPr>
        <w:t>for</w:t>
      </w:r>
      <w:r w:rsidR="004E0A08">
        <w:rPr>
          <w:rFonts w:ascii="Arial" w:eastAsia="Calibri" w:hAnsi="Arial" w:cs="Arial"/>
          <w:iCs/>
          <w:sz w:val="24"/>
          <w:szCs w:val="24"/>
        </w:rPr>
        <w:t xml:space="preserve"> the QASP</w:t>
      </w:r>
      <w:r w:rsidR="00E22FED">
        <w:rPr>
          <w:rFonts w:ascii="Arial" w:eastAsia="Calibri" w:hAnsi="Arial" w:cs="Arial"/>
          <w:iCs/>
          <w:sz w:val="24"/>
          <w:szCs w:val="24"/>
        </w:rPr>
        <w:t xml:space="preserve"> program</w:t>
      </w:r>
      <w:r w:rsidR="00B57DB6">
        <w:rPr>
          <w:rFonts w:ascii="Arial" w:eastAsia="Calibri" w:hAnsi="Arial" w:cs="Arial"/>
          <w:iCs/>
          <w:sz w:val="24"/>
          <w:szCs w:val="24"/>
        </w:rPr>
        <w:t xml:space="preserve">. </w:t>
      </w:r>
      <w:r w:rsidR="00C03FA7" w:rsidRPr="00234537">
        <w:rPr>
          <w:rFonts w:ascii="Arial" w:eastAsia="Calibri" w:hAnsi="Arial" w:cs="Arial"/>
          <w:iCs/>
          <w:sz w:val="24"/>
          <w:szCs w:val="24"/>
        </w:rPr>
        <w:t>The</w:t>
      </w:r>
      <w:r w:rsidR="00E22FED">
        <w:rPr>
          <w:rFonts w:ascii="Arial" w:eastAsia="Calibri" w:hAnsi="Arial" w:cs="Arial"/>
          <w:iCs/>
          <w:sz w:val="24"/>
          <w:szCs w:val="24"/>
        </w:rPr>
        <w:t xml:space="preserve"> </w:t>
      </w:r>
      <w:r w:rsidR="00C03FA7" w:rsidRPr="00234537">
        <w:rPr>
          <w:rFonts w:ascii="Arial" w:eastAsia="Calibri" w:hAnsi="Arial" w:cs="Arial"/>
          <w:iCs/>
          <w:sz w:val="24"/>
          <w:szCs w:val="24"/>
        </w:rPr>
        <w:t>measure</w:t>
      </w:r>
      <w:r w:rsidR="00B57DB6">
        <w:rPr>
          <w:rFonts w:ascii="Arial" w:eastAsia="Calibri" w:hAnsi="Arial" w:cs="Arial"/>
          <w:iCs/>
          <w:sz w:val="24"/>
          <w:szCs w:val="24"/>
        </w:rPr>
        <w:t>s for the April 20</w:t>
      </w:r>
      <w:r w:rsidR="00100A83">
        <w:rPr>
          <w:rFonts w:ascii="Arial" w:eastAsia="Calibri" w:hAnsi="Arial" w:cs="Arial"/>
          <w:iCs/>
          <w:sz w:val="24"/>
          <w:szCs w:val="24"/>
        </w:rPr>
        <w:t>20</w:t>
      </w:r>
      <w:r w:rsidR="00FE2C26">
        <w:rPr>
          <w:rFonts w:ascii="Arial" w:eastAsia="Calibri" w:hAnsi="Arial" w:cs="Arial"/>
          <w:iCs/>
          <w:sz w:val="24"/>
          <w:szCs w:val="24"/>
        </w:rPr>
        <w:t xml:space="preserve"> QASP payments </w:t>
      </w:r>
      <w:r w:rsidR="006B50BC">
        <w:rPr>
          <w:rFonts w:ascii="Arial" w:eastAsia="Calibri" w:hAnsi="Arial" w:cs="Arial"/>
          <w:iCs/>
          <w:sz w:val="24"/>
          <w:szCs w:val="24"/>
        </w:rPr>
        <w:t xml:space="preserve">are </w:t>
      </w:r>
      <w:r w:rsidR="00FE2C26">
        <w:rPr>
          <w:rFonts w:ascii="Arial" w:eastAsia="Calibri" w:hAnsi="Arial" w:cs="Arial"/>
          <w:iCs/>
          <w:sz w:val="24"/>
          <w:szCs w:val="24"/>
        </w:rPr>
        <w:t xml:space="preserve">the following:  </w:t>
      </w:r>
    </w:p>
    <w:p w14:paraId="5790678A" w14:textId="59E0F644" w:rsidR="00FE2C26" w:rsidRDefault="00FE2C26" w:rsidP="00C03FA7">
      <w:pPr>
        <w:spacing w:after="0" w:line="240" w:lineRule="auto"/>
        <w:rPr>
          <w:rFonts w:ascii="Arial" w:eastAsia="Calibri" w:hAnsi="Arial" w:cs="Arial"/>
          <w:iCs/>
          <w:sz w:val="24"/>
          <w:szCs w:val="24"/>
        </w:rPr>
      </w:pPr>
    </w:p>
    <w:tbl>
      <w:tblPr>
        <w:tblW w:w="7820" w:type="dxa"/>
        <w:jc w:val="center"/>
        <w:tblCellMar>
          <w:left w:w="0" w:type="dxa"/>
          <w:right w:w="0" w:type="dxa"/>
        </w:tblCellMar>
        <w:tblLook w:val="04A0" w:firstRow="1" w:lastRow="0" w:firstColumn="1" w:lastColumn="0" w:noHBand="0" w:noVBand="1"/>
      </w:tblPr>
      <w:tblGrid>
        <w:gridCol w:w="5310"/>
        <w:gridCol w:w="2510"/>
      </w:tblGrid>
      <w:tr w:rsidR="00B41E2D" w:rsidRPr="00A07289" w14:paraId="6A316261" w14:textId="77777777" w:rsidTr="00B41E2D">
        <w:trPr>
          <w:trHeight w:hRule="exact" w:val="432"/>
          <w:jc w:val="center"/>
        </w:trPr>
        <w:tc>
          <w:tcPr>
            <w:tcW w:w="5310"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7F5A116A" w14:textId="77777777" w:rsidR="00B41E2D" w:rsidRPr="001B57B8" w:rsidRDefault="00B41E2D" w:rsidP="00B76E85">
            <w:pPr>
              <w:jc w:val="center"/>
              <w:rPr>
                <w:rFonts w:ascii="Times New Roman" w:hAnsi="Times New Roman"/>
                <w:bCs/>
                <w:sz w:val="20"/>
                <w:szCs w:val="20"/>
              </w:rPr>
            </w:pPr>
            <w:r w:rsidRPr="001B57B8">
              <w:rPr>
                <w:rFonts w:ascii="Times New Roman" w:hAnsi="Times New Roman"/>
              </w:rPr>
              <w:t>Quality Measure</w:t>
            </w:r>
          </w:p>
        </w:tc>
        <w:tc>
          <w:tcPr>
            <w:tcW w:w="2510"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3D5B1495" w14:textId="77777777" w:rsidR="00B41E2D" w:rsidRPr="001B57B8" w:rsidRDefault="00B41E2D" w:rsidP="00B76E85">
            <w:pPr>
              <w:jc w:val="center"/>
              <w:rPr>
                <w:rFonts w:ascii="Times New Roman" w:hAnsi="Times New Roman"/>
                <w:bCs/>
                <w:sz w:val="20"/>
                <w:szCs w:val="20"/>
              </w:rPr>
            </w:pPr>
            <w:r w:rsidRPr="001B57B8">
              <w:rPr>
                <w:rFonts w:ascii="Times New Roman" w:hAnsi="Times New Roman"/>
              </w:rPr>
              <w:t>Possible Points</w:t>
            </w:r>
          </w:p>
        </w:tc>
      </w:tr>
      <w:tr w:rsidR="00B41E2D" w:rsidRPr="00A07289" w14:paraId="6B950B44" w14:textId="77777777" w:rsidTr="00B41E2D">
        <w:trPr>
          <w:trHeight w:hRule="exact" w:val="432"/>
          <w:jc w:val="center"/>
        </w:trPr>
        <w:tc>
          <w:tcPr>
            <w:tcW w:w="531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tcPr>
          <w:p w14:paraId="039823AB" w14:textId="77777777" w:rsidR="00B41E2D" w:rsidRPr="001B57B8" w:rsidRDefault="00B41E2D" w:rsidP="00B76E85">
            <w:pPr>
              <w:rPr>
                <w:rFonts w:ascii="Times New Roman" w:hAnsi="Times New Roman"/>
              </w:rPr>
            </w:pPr>
            <w:r>
              <w:rPr>
                <w:rFonts w:ascii="Times New Roman" w:hAnsi="Times New Roman"/>
              </w:rPr>
              <w:t>Minimum Data Set Clinical</w:t>
            </w:r>
          </w:p>
        </w:tc>
        <w:tc>
          <w:tcPr>
            <w:tcW w:w="251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tcPr>
          <w:p w14:paraId="7E9D1755" w14:textId="77777777" w:rsidR="00B41E2D" w:rsidRPr="001B57B8" w:rsidRDefault="00B41E2D" w:rsidP="00B76E85">
            <w:pPr>
              <w:jc w:val="center"/>
              <w:rPr>
                <w:rFonts w:ascii="Times New Roman" w:hAnsi="Times New Roman"/>
              </w:rPr>
            </w:pPr>
            <w:r>
              <w:rPr>
                <w:rFonts w:ascii="Times New Roman" w:hAnsi="Times New Roman"/>
              </w:rPr>
              <w:t>100.00</w:t>
            </w:r>
          </w:p>
        </w:tc>
      </w:tr>
      <w:tr w:rsidR="00B41E2D" w:rsidRPr="00A07289" w14:paraId="0C3F6936" w14:textId="77777777" w:rsidTr="00B41E2D">
        <w:trPr>
          <w:trHeight w:hRule="exact" w:val="432"/>
          <w:jc w:val="center"/>
        </w:trPr>
        <w:tc>
          <w:tcPr>
            <w:tcW w:w="53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4FDE256A" w14:textId="77777777" w:rsidR="00B41E2D" w:rsidRPr="001B57B8" w:rsidRDefault="00B41E2D" w:rsidP="00B76E85">
            <w:pPr>
              <w:rPr>
                <w:rFonts w:ascii="Times New Roman" w:hAnsi="Times New Roman"/>
              </w:rPr>
            </w:pPr>
            <w:r w:rsidRPr="001B57B8">
              <w:rPr>
                <w:rFonts w:ascii="Times New Roman" w:hAnsi="Times New Roman"/>
              </w:rPr>
              <w:t>Physical Restraints: Long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184E3B23" w14:textId="5572ECF2" w:rsidR="00B41E2D" w:rsidRPr="001B57B8" w:rsidRDefault="00B41E2D" w:rsidP="00B41E2D">
            <w:pPr>
              <w:jc w:val="center"/>
              <w:rPr>
                <w:rFonts w:ascii="Times New Roman" w:hAnsi="Times New Roman"/>
              </w:rPr>
            </w:pPr>
            <w:r w:rsidRPr="001B57B8">
              <w:rPr>
                <w:rFonts w:ascii="Times New Roman" w:hAnsi="Times New Roman"/>
              </w:rPr>
              <w:t>Monitor-only</w:t>
            </w:r>
          </w:p>
        </w:tc>
      </w:tr>
      <w:tr w:rsidR="00B41E2D" w:rsidRPr="00A07289" w14:paraId="5FA0EF40" w14:textId="77777777" w:rsidTr="00B41E2D">
        <w:trPr>
          <w:trHeight w:hRule="exact" w:val="432"/>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B3F8A2" w14:textId="77777777" w:rsidR="00B41E2D" w:rsidRPr="001B57B8" w:rsidRDefault="00B41E2D" w:rsidP="00B76E85">
            <w:pPr>
              <w:rPr>
                <w:rFonts w:ascii="Times New Roman" w:hAnsi="Times New Roman"/>
                <w:b/>
                <w:color w:val="C00000"/>
                <w:sz w:val="20"/>
                <w:szCs w:val="20"/>
                <w:u w:val="single"/>
              </w:rPr>
            </w:pPr>
            <w:r w:rsidRPr="001B57B8">
              <w:rPr>
                <w:rFonts w:ascii="Times New Roman" w:hAnsi="Times New Roman"/>
              </w:rPr>
              <w:t>Influenza Vaccination: Short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4E564BA6" w14:textId="77777777" w:rsidR="00B41E2D" w:rsidRPr="001B57B8" w:rsidRDefault="00B41E2D" w:rsidP="00B76E85">
            <w:pPr>
              <w:jc w:val="center"/>
              <w:rPr>
                <w:rFonts w:ascii="Times New Roman" w:hAnsi="Times New Roman"/>
                <w:b/>
                <w:color w:val="C00000"/>
                <w:sz w:val="20"/>
                <w:szCs w:val="20"/>
                <w:u w:val="single"/>
              </w:rPr>
            </w:pPr>
            <w:r w:rsidRPr="001B57B8">
              <w:rPr>
                <w:rFonts w:ascii="Times New Roman" w:hAnsi="Times New Roman"/>
              </w:rPr>
              <w:t>6.25</w:t>
            </w:r>
          </w:p>
        </w:tc>
      </w:tr>
      <w:tr w:rsidR="00B41E2D" w:rsidRPr="00A07289" w14:paraId="591CA68E" w14:textId="77777777" w:rsidTr="00B41E2D">
        <w:trPr>
          <w:trHeight w:hRule="exact" w:val="432"/>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07632F" w14:textId="77777777" w:rsidR="00B41E2D" w:rsidRPr="001B57B8" w:rsidRDefault="00B41E2D" w:rsidP="00B76E85">
            <w:pPr>
              <w:rPr>
                <w:rFonts w:ascii="Times New Roman" w:hAnsi="Times New Roman"/>
                <w:b/>
                <w:color w:val="C00000"/>
                <w:sz w:val="20"/>
                <w:szCs w:val="20"/>
                <w:u w:val="single"/>
              </w:rPr>
            </w:pPr>
            <w:r w:rsidRPr="001B57B8">
              <w:rPr>
                <w:rFonts w:ascii="Times New Roman" w:hAnsi="Times New Roman"/>
              </w:rPr>
              <w:t>Pneumococcal Vaccination: Short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0274E25C" w14:textId="77777777" w:rsidR="00B41E2D" w:rsidRPr="001B57B8" w:rsidRDefault="00B41E2D" w:rsidP="00B76E85">
            <w:pPr>
              <w:jc w:val="center"/>
              <w:rPr>
                <w:rFonts w:ascii="Times New Roman" w:hAnsi="Times New Roman"/>
                <w:b/>
                <w:color w:val="C00000"/>
                <w:sz w:val="20"/>
                <w:szCs w:val="20"/>
                <w:u w:val="single"/>
              </w:rPr>
            </w:pPr>
            <w:r w:rsidRPr="001B57B8">
              <w:rPr>
                <w:rFonts w:ascii="Times New Roman" w:hAnsi="Times New Roman"/>
              </w:rPr>
              <w:t>6.25</w:t>
            </w:r>
          </w:p>
        </w:tc>
      </w:tr>
      <w:tr w:rsidR="00B41E2D" w:rsidRPr="00A07289" w14:paraId="45F1D0C4" w14:textId="77777777" w:rsidTr="00B41E2D">
        <w:trPr>
          <w:trHeight w:hRule="exact" w:val="432"/>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B2E8C33" w14:textId="77777777" w:rsidR="00B41E2D" w:rsidRPr="001B57B8" w:rsidRDefault="00B41E2D" w:rsidP="00B76E85">
            <w:pPr>
              <w:rPr>
                <w:rFonts w:ascii="Times New Roman" w:hAnsi="Times New Roman"/>
                <w:strike/>
                <w:sz w:val="20"/>
                <w:szCs w:val="20"/>
              </w:rPr>
            </w:pPr>
            <w:r w:rsidRPr="001B57B8">
              <w:rPr>
                <w:rFonts w:ascii="Times New Roman" w:hAnsi="Times New Roman"/>
              </w:rPr>
              <w:t>Urinary Tract Infection: Long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03C55F9E" w14:textId="77777777" w:rsidR="00B41E2D" w:rsidRPr="001B57B8" w:rsidRDefault="00B41E2D" w:rsidP="00B76E85">
            <w:pPr>
              <w:jc w:val="center"/>
              <w:rPr>
                <w:rFonts w:ascii="Times New Roman" w:hAnsi="Times New Roman"/>
                <w:strike/>
                <w:sz w:val="20"/>
                <w:szCs w:val="20"/>
              </w:rPr>
            </w:pPr>
            <w:r w:rsidRPr="001B57B8">
              <w:rPr>
                <w:rFonts w:ascii="Times New Roman" w:hAnsi="Times New Roman"/>
              </w:rPr>
              <w:t>12.5</w:t>
            </w:r>
          </w:p>
        </w:tc>
      </w:tr>
      <w:tr w:rsidR="00B41E2D" w:rsidRPr="00A07289" w14:paraId="3689CB45" w14:textId="77777777" w:rsidTr="00B41E2D">
        <w:trPr>
          <w:trHeight w:hRule="exact" w:val="432"/>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E2DB06" w14:textId="77777777" w:rsidR="00B41E2D" w:rsidRPr="001B57B8" w:rsidRDefault="00B41E2D" w:rsidP="00B76E85">
            <w:pPr>
              <w:rPr>
                <w:rFonts w:ascii="Times New Roman" w:hAnsi="Times New Roman"/>
                <w:strike/>
                <w:sz w:val="20"/>
                <w:szCs w:val="20"/>
              </w:rPr>
            </w:pPr>
            <w:r w:rsidRPr="001B57B8">
              <w:rPr>
                <w:rFonts w:ascii="Times New Roman" w:hAnsi="Times New Roman"/>
              </w:rPr>
              <w:t>Control of Bowel/Bladder: Long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61F95DA1" w14:textId="77777777" w:rsidR="00B41E2D" w:rsidRPr="001B57B8" w:rsidRDefault="00B41E2D" w:rsidP="00B76E85">
            <w:pPr>
              <w:jc w:val="center"/>
              <w:rPr>
                <w:rFonts w:ascii="Times New Roman" w:hAnsi="Times New Roman"/>
                <w:strike/>
                <w:sz w:val="20"/>
                <w:szCs w:val="20"/>
              </w:rPr>
            </w:pPr>
            <w:r w:rsidRPr="001B57B8">
              <w:rPr>
                <w:rFonts w:ascii="Times New Roman" w:hAnsi="Times New Roman"/>
              </w:rPr>
              <w:t>12.5</w:t>
            </w:r>
          </w:p>
        </w:tc>
      </w:tr>
      <w:tr w:rsidR="00B41E2D" w:rsidRPr="00A07289" w14:paraId="534CE1BC" w14:textId="77777777" w:rsidTr="00B41E2D">
        <w:trPr>
          <w:trHeight w:hRule="exact" w:val="432"/>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47F17A" w14:textId="77777777" w:rsidR="00B41E2D" w:rsidRPr="001B57B8" w:rsidRDefault="00B41E2D" w:rsidP="00B76E85">
            <w:pPr>
              <w:rPr>
                <w:rFonts w:ascii="Times New Roman" w:hAnsi="Times New Roman"/>
                <w:strike/>
                <w:sz w:val="20"/>
                <w:szCs w:val="20"/>
              </w:rPr>
            </w:pPr>
            <w:r w:rsidRPr="001B57B8">
              <w:rPr>
                <w:rFonts w:ascii="Times New Roman" w:hAnsi="Times New Roman"/>
              </w:rPr>
              <w:t>Self-Report Pain: Short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6607C63C" w14:textId="77777777" w:rsidR="00B41E2D" w:rsidRPr="001B57B8" w:rsidRDefault="00B41E2D" w:rsidP="00B76E85">
            <w:pPr>
              <w:jc w:val="center"/>
              <w:rPr>
                <w:rFonts w:ascii="Times New Roman" w:hAnsi="Times New Roman"/>
                <w:strike/>
                <w:sz w:val="20"/>
                <w:szCs w:val="20"/>
              </w:rPr>
            </w:pPr>
            <w:r w:rsidRPr="001B57B8">
              <w:rPr>
                <w:rFonts w:ascii="Times New Roman" w:hAnsi="Times New Roman"/>
              </w:rPr>
              <w:t>6.25</w:t>
            </w:r>
          </w:p>
        </w:tc>
      </w:tr>
      <w:tr w:rsidR="00B41E2D" w:rsidRPr="00A07289" w14:paraId="4F36EBD2" w14:textId="77777777" w:rsidTr="00B41E2D">
        <w:trPr>
          <w:trHeight w:hRule="exact" w:val="432"/>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7CBF64" w14:textId="77777777" w:rsidR="00B41E2D" w:rsidRPr="001B57B8" w:rsidRDefault="00B41E2D" w:rsidP="00B76E85">
            <w:pPr>
              <w:rPr>
                <w:rFonts w:ascii="Times New Roman" w:hAnsi="Times New Roman"/>
                <w:strike/>
                <w:sz w:val="20"/>
                <w:szCs w:val="20"/>
              </w:rPr>
            </w:pPr>
            <w:r w:rsidRPr="001B57B8">
              <w:rPr>
                <w:rFonts w:ascii="Times New Roman" w:hAnsi="Times New Roman"/>
              </w:rPr>
              <w:t>Self-Report Pain: Long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17C72DDB" w14:textId="77777777" w:rsidR="00B41E2D" w:rsidRPr="001B57B8" w:rsidRDefault="00B41E2D" w:rsidP="00B76E85">
            <w:pPr>
              <w:jc w:val="center"/>
              <w:rPr>
                <w:rFonts w:ascii="Times New Roman" w:hAnsi="Times New Roman"/>
                <w:strike/>
                <w:sz w:val="20"/>
                <w:szCs w:val="20"/>
              </w:rPr>
            </w:pPr>
            <w:r w:rsidRPr="001B57B8">
              <w:rPr>
                <w:rFonts w:ascii="Times New Roman" w:hAnsi="Times New Roman"/>
              </w:rPr>
              <w:t>6.25</w:t>
            </w:r>
          </w:p>
        </w:tc>
      </w:tr>
      <w:tr w:rsidR="00B41E2D" w:rsidRPr="00A07289" w14:paraId="0BFB3F17" w14:textId="77777777" w:rsidTr="00B41E2D">
        <w:trPr>
          <w:trHeight w:hRule="exact" w:val="432"/>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01B926" w14:textId="77777777" w:rsidR="00B41E2D" w:rsidRPr="001B57B8" w:rsidRDefault="00B41E2D" w:rsidP="00B76E85">
            <w:pPr>
              <w:rPr>
                <w:rFonts w:ascii="Times New Roman" w:hAnsi="Times New Roman"/>
                <w:strike/>
                <w:sz w:val="20"/>
                <w:szCs w:val="20"/>
              </w:rPr>
            </w:pPr>
            <w:r w:rsidRPr="001B57B8">
              <w:rPr>
                <w:rFonts w:ascii="Times New Roman" w:hAnsi="Times New Roman"/>
              </w:rPr>
              <w:t>Activities of Daily Living: Long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2228A2D3" w14:textId="77777777" w:rsidR="00B41E2D" w:rsidRPr="001B57B8" w:rsidRDefault="00B41E2D" w:rsidP="00B76E85">
            <w:pPr>
              <w:jc w:val="center"/>
              <w:rPr>
                <w:rFonts w:ascii="Times New Roman" w:hAnsi="Times New Roman"/>
                <w:strike/>
                <w:sz w:val="20"/>
                <w:szCs w:val="20"/>
              </w:rPr>
            </w:pPr>
            <w:r w:rsidRPr="001B57B8">
              <w:rPr>
                <w:rFonts w:ascii="Times New Roman" w:hAnsi="Times New Roman"/>
              </w:rPr>
              <w:t>12.5</w:t>
            </w:r>
          </w:p>
        </w:tc>
      </w:tr>
      <w:tr w:rsidR="00B41E2D" w:rsidRPr="00A07289" w14:paraId="7A2D238B" w14:textId="77777777" w:rsidTr="00B41E2D">
        <w:trPr>
          <w:trHeight w:hRule="exact" w:val="432"/>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AFFEF1" w14:textId="77777777" w:rsidR="00B41E2D" w:rsidRPr="001B57B8" w:rsidRDefault="00B41E2D" w:rsidP="00B76E85">
            <w:pPr>
              <w:rPr>
                <w:rFonts w:ascii="Times New Roman" w:hAnsi="Times New Roman"/>
                <w:strike/>
                <w:sz w:val="20"/>
                <w:szCs w:val="20"/>
              </w:rPr>
            </w:pPr>
            <w:r w:rsidRPr="001B57B8">
              <w:rPr>
                <w:rFonts w:ascii="Times New Roman" w:hAnsi="Times New Roman"/>
              </w:rPr>
              <w:t>California-specific Antipsychotic Medication: Long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3AD4361F" w14:textId="77777777" w:rsidR="00B41E2D" w:rsidRPr="001B57B8" w:rsidRDefault="00B41E2D" w:rsidP="00B76E85">
            <w:pPr>
              <w:jc w:val="center"/>
              <w:rPr>
                <w:rFonts w:ascii="Times New Roman" w:hAnsi="Times New Roman"/>
                <w:strike/>
                <w:sz w:val="20"/>
                <w:szCs w:val="20"/>
              </w:rPr>
            </w:pPr>
            <w:r w:rsidRPr="001B57B8">
              <w:rPr>
                <w:rFonts w:ascii="Times New Roman" w:hAnsi="Times New Roman"/>
              </w:rPr>
              <w:t>12.5</w:t>
            </w:r>
          </w:p>
        </w:tc>
      </w:tr>
      <w:tr w:rsidR="00B41E2D" w:rsidRPr="00A07289" w14:paraId="47DC0E8C" w14:textId="77777777" w:rsidTr="00B41E2D">
        <w:trPr>
          <w:trHeight w:hRule="exact" w:val="432"/>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B974FF" w14:textId="77777777" w:rsidR="00B41E2D" w:rsidRPr="001B57B8" w:rsidRDefault="00B41E2D" w:rsidP="00B76E85">
            <w:pPr>
              <w:rPr>
                <w:rFonts w:ascii="Times New Roman" w:hAnsi="Times New Roman"/>
                <w:strike/>
                <w:sz w:val="20"/>
                <w:szCs w:val="20"/>
              </w:rPr>
            </w:pPr>
            <w:r w:rsidRPr="001B57B8">
              <w:rPr>
                <w:rFonts w:ascii="Times New Roman" w:hAnsi="Times New Roman"/>
              </w:rPr>
              <w:t xml:space="preserve">30-day SNF </w:t>
            </w:r>
            <w:proofErr w:type="spellStart"/>
            <w:r w:rsidRPr="001B57B8">
              <w:rPr>
                <w:rFonts w:ascii="Times New Roman" w:hAnsi="Times New Roman"/>
              </w:rPr>
              <w:t>Rehospitalization</w:t>
            </w:r>
            <w:proofErr w:type="spellEnd"/>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55CA2AE2" w14:textId="77777777" w:rsidR="00B41E2D" w:rsidRPr="001B57B8" w:rsidRDefault="00B41E2D" w:rsidP="00B76E85">
            <w:pPr>
              <w:jc w:val="center"/>
              <w:rPr>
                <w:rFonts w:ascii="Times New Roman" w:hAnsi="Times New Roman"/>
                <w:strike/>
                <w:sz w:val="20"/>
                <w:szCs w:val="20"/>
              </w:rPr>
            </w:pPr>
            <w:r w:rsidRPr="001B57B8">
              <w:rPr>
                <w:rFonts w:ascii="Times New Roman" w:hAnsi="Times New Roman"/>
              </w:rPr>
              <w:t>12.5</w:t>
            </w:r>
          </w:p>
        </w:tc>
      </w:tr>
      <w:tr w:rsidR="00B41E2D" w:rsidRPr="00A07289" w14:paraId="715A8D11" w14:textId="77777777" w:rsidTr="00B41E2D">
        <w:trPr>
          <w:trHeight w:hRule="exact" w:val="432"/>
          <w:jc w:val="center"/>
        </w:trPr>
        <w:tc>
          <w:tcPr>
            <w:tcW w:w="5310"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6026E0A8" w14:textId="77777777" w:rsidR="00B41E2D" w:rsidRPr="001B57B8" w:rsidRDefault="00B41E2D" w:rsidP="00B76E85">
            <w:pPr>
              <w:rPr>
                <w:rFonts w:ascii="Times New Roman" w:hAnsi="Times New Roman"/>
                <w:strike/>
                <w:sz w:val="20"/>
                <w:szCs w:val="20"/>
              </w:rPr>
            </w:pPr>
            <w:r w:rsidRPr="001B57B8">
              <w:rPr>
                <w:rFonts w:ascii="Times New Roman" w:hAnsi="Times New Roman"/>
              </w:rPr>
              <w:t>Staff Retention</w:t>
            </w:r>
          </w:p>
        </w:tc>
        <w:tc>
          <w:tcPr>
            <w:tcW w:w="2510" w:type="dxa"/>
            <w:tcBorders>
              <w:top w:val="nil"/>
              <w:left w:val="nil"/>
              <w:bottom w:val="single" w:sz="4" w:space="0" w:color="auto"/>
              <w:right w:val="single" w:sz="8" w:space="0" w:color="auto"/>
            </w:tcBorders>
            <w:shd w:val="clear" w:color="auto" w:fill="FFFF00"/>
            <w:noWrap/>
            <w:tcMar>
              <w:top w:w="0" w:type="dxa"/>
              <w:left w:w="108" w:type="dxa"/>
              <w:bottom w:w="0" w:type="dxa"/>
              <w:right w:w="108" w:type="dxa"/>
            </w:tcMar>
            <w:hideMark/>
          </w:tcPr>
          <w:p w14:paraId="4E857807" w14:textId="77777777" w:rsidR="00B41E2D" w:rsidRPr="001B57B8" w:rsidRDefault="00B41E2D" w:rsidP="00B76E85">
            <w:pPr>
              <w:jc w:val="center"/>
              <w:rPr>
                <w:rFonts w:ascii="Times New Roman" w:hAnsi="Times New Roman"/>
                <w:strike/>
                <w:sz w:val="20"/>
                <w:szCs w:val="20"/>
              </w:rPr>
            </w:pPr>
            <w:r w:rsidRPr="001B57B8">
              <w:rPr>
                <w:rFonts w:ascii="Times New Roman" w:hAnsi="Times New Roman"/>
              </w:rPr>
              <w:t>12.5</w:t>
            </w:r>
          </w:p>
        </w:tc>
      </w:tr>
    </w:tbl>
    <w:p w14:paraId="1BCBE6A1" w14:textId="1157E8EB" w:rsidR="00C03FA7" w:rsidRDefault="00C03FA7" w:rsidP="00C03FA7">
      <w:pPr>
        <w:spacing w:after="0" w:line="240" w:lineRule="auto"/>
        <w:rPr>
          <w:rFonts w:ascii="Arial" w:eastAsia="Calibri" w:hAnsi="Arial" w:cs="Arial"/>
          <w:iCs/>
          <w:sz w:val="24"/>
          <w:szCs w:val="24"/>
        </w:rPr>
      </w:pPr>
    </w:p>
    <w:p w14:paraId="5F80ED53" w14:textId="392F20A7" w:rsidR="0097487E" w:rsidRPr="00FF3632" w:rsidRDefault="0097487E" w:rsidP="00C03FA7">
      <w:pPr>
        <w:spacing w:after="0" w:line="240" w:lineRule="auto"/>
        <w:rPr>
          <w:rFonts w:ascii="Arial" w:eastAsia="Calibri" w:hAnsi="Arial" w:cs="Arial"/>
          <w:iCs/>
          <w:sz w:val="24"/>
          <w:szCs w:val="24"/>
        </w:rPr>
      </w:pPr>
    </w:p>
    <w:p w14:paraId="16EEA200" w14:textId="26C46F10" w:rsidR="00A04668" w:rsidRDefault="00793993" w:rsidP="00234537">
      <w:pPr>
        <w:rPr>
          <w:rFonts w:ascii="Arial" w:hAnsi="Arial" w:cs="Arial"/>
          <w:iCs/>
          <w:sz w:val="24"/>
          <w:szCs w:val="24"/>
        </w:rPr>
      </w:pPr>
      <w:r>
        <w:rPr>
          <w:rFonts w:ascii="Arial" w:eastAsia="Calibri" w:hAnsi="Arial" w:cs="Arial"/>
          <w:iCs/>
          <w:sz w:val="24"/>
          <w:szCs w:val="24"/>
        </w:rPr>
        <w:t>Additionally, i</w:t>
      </w:r>
      <w:r w:rsidR="00765B45" w:rsidRPr="00FF3632">
        <w:rPr>
          <w:rFonts w:ascii="Arial" w:eastAsia="Calibri" w:hAnsi="Arial" w:cs="Arial"/>
          <w:iCs/>
          <w:sz w:val="24"/>
          <w:szCs w:val="24"/>
        </w:rPr>
        <w:t>n accordance with</w:t>
      </w:r>
      <w:r w:rsidR="00DC07E7">
        <w:rPr>
          <w:rFonts w:ascii="Arial" w:eastAsia="Calibri" w:hAnsi="Arial" w:cs="Arial"/>
          <w:iCs/>
          <w:sz w:val="24"/>
          <w:szCs w:val="24"/>
        </w:rPr>
        <w:t xml:space="preserve"> </w:t>
      </w:r>
      <w:r w:rsidR="00DC07E7" w:rsidRPr="00DC07E7">
        <w:rPr>
          <w:rFonts w:ascii="Arial" w:eastAsia="Calibri" w:hAnsi="Arial" w:cs="Arial"/>
          <w:iCs/>
          <w:sz w:val="24"/>
          <w:szCs w:val="24"/>
        </w:rPr>
        <w:t>the California State Plan</w:t>
      </w:r>
      <w:r w:rsidR="00DC07E7">
        <w:rPr>
          <w:rFonts w:ascii="Arial" w:eastAsia="Calibri" w:hAnsi="Arial" w:cs="Arial"/>
          <w:iCs/>
          <w:sz w:val="24"/>
          <w:szCs w:val="24"/>
        </w:rPr>
        <w:t>,</w:t>
      </w:r>
      <w:r w:rsidR="00765B45" w:rsidRPr="00FF3632">
        <w:rPr>
          <w:rFonts w:ascii="Arial" w:eastAsia="Calibri" w:hAnsi="Arial" w:cs="Arial"/>
          <w:iCs/>
          <w:sz w:val="24"/>
          <w:szCs w:val="24"/>
        </w:rPr>
        <w:t xml:space="preserve"> </w:t>
      </w:r>
      <w:r w:rsidR="00DC07E7">
        <w:rPr>
          <w:rFonts w:ascii="Arial" w:eastAsia="Calibri" w:hAnsi="Arial" w:cs="Arial"/>
          <w:iCs/>
          <w:sz w:val="24"/>
          <w:szCs w:val="24"/>
        </w:rPr>
        <w:t>Section</w:t>
      </w:r>
      <w:r w:rsidR="00765B45" w:rsidRPr="00FF3632">
        <w:rPr>
          <w:rFonts w:ascii="Arial" w:eastAsia="Calibri" w:hAnsi="Arial" w:cs="Arial"/>
          <w:iCs/>
          <w:sz w:val="24"/>
          <w:szCs w:val="24"/>
        </w:rPr>
        <w:t xml:space="preserve"> 4.19-D</w:t>
      </w:r>
      <w:r w:rsidR="0005281A">
        <w:rPr>
          <w:rFonts w:ascii="Arial" w:eastAsia="Calibri" w:hAnsi="Arial" w:cs="Arial"/>
          <w:iCs/>
          <w:sz w:val="24"/>
          <w:szCs w:val="24"/>
        </w:rPr>
        <w:t>,</w:t>
      </w:r>
      <w:r w:rsidR="00DC07E7">
        <w:rPr>
          <w:rFonts w:ascii="Arial" w:eastAsia="Calibri" w:hAnsi="Arial" w:cs="Arial"/>
          <w:iCs/>
          <w:sz w:val="24"/>
          <w:szCs w:val="24"/>
        </w:rPr>
        <w:t xml:space="preserve"> Supplement 4</w:t>
      </w:r>
      <w:r w:rsidR="00765B45" w:rsidRPr="00FF3632">
        <w:rPr>
          <w:rFonts w:ascii="Arial" w:eastAsia="Calibri" w:hAnsi="Arial" w:cs="Arial"/>
          <w:iCs/>
          <w:sz w:val="24"/>
          <w:szCs w:val="24"/>
        </w:rPr>
        <w:t xml:space="preserve">, facilities are ineligible to receive supplemental payments for </w:t>
      </w:r>
      <w:r w:rsidR="00E9326E">
        <w:rPr>
          <w:rFonts w:ascii="Arial" w:eastAsia="Calibri" w:hAnsi="Arial" w:cs="Arial"/>
          <w:iCs/>
          <w:sz w:val="24"/>
          <w:szCs w:val="24"/>
        </w:rPr>
        <w:t>the</w:t>
      </w:r>
      <w:r w:rsidR="00765B45" w:rsidRPr="00FF3632">
        <w:rPr>
          <w:rFonts w:ascii="Arial" w:eastAsia="Calibri" w:hAnsi="Arial" w:cs="Arial"/>
          <w:iCs/>
          <w:sz w:val="24"/>
          <w:szCs w:val="24"/>
        </w:rPr>
        <w:t xml:space="preserve"> performance period </w:t>
      </w:r>
      <w:r>
        <w:rPr>
          <w:rFonts w:ascii="Arial" w:eastAsia="Calibri" w:hAnsi="Arial" w:cs="Arial"/>
          <w:iCs/>
          <w:sz w:val="24"/>
          <w:szCs w:val="24"/>
        </w:rPr>
        <w:t>during</w:t>
      </w:r>
      <w:r w:rsidR="00DC07E7">
        <w:rPr>
          <w:rFonts w:ascii="Arial" w:eastAsia="Calibri" w:hAnsi="Arial" w:cs="Arial"/>
          <w:iCs/>
          <w:sz w:val="24"/>
          <w:szCs w:val="24"/>
        </w:rPr>
        <w:t xml:space="preserve"> which </w:t>
      </w:r>
      <w:r w:rsidR="0005281A">
        <w:rPr>
          <w:rFonts w:ascii="Arial" w:eastAsia="Calibri" w:hAnsi="Arial" w:cs="Arial"/>
          <w:iCs/>
          <w:sz w:val="24"/>
          <w:szCs w:val="24"/>
        </w:rPr>
        <w:t xml:space="preserve">the </w:t>
      </w:r>
      <w:r w:rsidR="00E9326E">
        <w:rPr>
          <w:rFonts w:ascii="Arial" w:eastAsia="Calibri" w:hAnsi="Arial" w:cs="Arial"/>
          <w:iCs/>
          <w:sz w:val="24"/>
          <w:szCs w:val="24"/>
        </w:rPr>
        <w:t>facility has</w:t>
      </w:r>
      <w:r w:rsidR="0005281A">
        <w:rPr>
          <w:rFonts w:ascii="Arial" w:eastAsia="Calibri" w:hAnsi="Arial" w:cs="Arial"/>
          <w:iCs/>
          <w:sz w:val="24"/>
          <w:szCs w:val="24"/>
        </w:rPr>
        <w:t xml:space="preserve"> </w:t>
      </w:r>
      <w:r w:rsidR="00DC07E7">
        <w:rPr>
          <w:rFonts w:ascii="Arial" w:eastAsia="Calibri" w:hAnsi="Arial" w:cs="Arial"/>
          <w:iCs/>
          <w:sz w:val="24"/>
          <w:szCs w:val="24"/>
        </w:rPr>
        <w:t>a</w:t>
      </w:r>
      <w:r w:rsidR="00765B45" w:rsidRPr="00FF3632">
        <w:rPr>
          <w:rFonts w:ascii="Arial" w:eastAsia="Calibri" w:hAnsi="Arial" w:cs="Arial"/>
          <w:iCs/>
          <w:sz w:val="24"/>
          <w:szCs w:val="24"/>
        </w:rPr>
        <w:t xml:space="preserve"> </w:t>
      </w:r>
      <w:r w:rsidR="0005281A">
        <w:rPr>
          <w:rFonts w:ascii="Arial" w:eastAsia="Calibri" w:hAnsi="Arial" w:cs="Arial"/>
          <w:iCs/>
          <w:sz w:val="24"/>
          <w:szCs w:val="24"/>
        </w:rPr>
        <w:t>Class A/AA citation</w:t>
      </w:r>
      <w:r w:rsidR="00765B45" w:rsidRPr="00FF3632">
        <w:rPr>
          <w:rFonts w:ascii="Arial" w:eastAsia="Calibri" w:hAnsi="Arial" w:cs="Arial"/>
          <w:iCs/>
          <w:sz w:val="24"/>
          <w:szCs w:val="24"/>
        </w:rPr>
        <w:t xml:space="preserve">.  </w:t>
      </w:r>
      <w:r w:rsidR="00556AE6">
        <w:rPr>
          <w:rFonts w:ascii="Arial" w:eastAsia="Calibri" w:hAnsi="Arial" w:cs="Arial"/>
          <w:iCs/>
          <w:sz w:val="24"/>
          <w:szCs w:val="24"/>
        </w:rPr>
        <w:t>Should</w:t>
      </w:r>
      <w:r w:rsidR="00AA5B3C">
        <w:rPr>
          <w:rFonts w:ascii="Arial" w:eastAsia="Calibri" w:hAnsi="Arial" w:cs="Arial"/>
          <w:iCs/>
          <w:sz w:val="24"/>
          <w:szCs w:val="24"/>
        </w:rPr>
        <w:t xml:space="preserve"> a facility </w:t>
      </w:r>
      <w:r w:rsidR="00A35121">
        <w:rPr>
          <w:rFonts w:ascii="Arial" w:eastAsia="Calibri" w:hAnsi="Arial" w:cs="Arial"/>
          <w:iCs/>
          <w:sz w:val="24"/>
          <w:szCs w:val="24"/>
        </w:rPr>
        <w:t xml:space="preserve">receive </w:t>
      </w:r>
      <w:r w:rsidR="00AA5B3C">
        <w:rPr>
          <w:rFonts w:ascii="Arial" w:eastAsia="Calibri" w:hAnsi="Arial" w:cs="Arial"/>
          <w:iCs/>
          <w:sz w:val="24"/>
          <w:szCs w:val="24"/>
        </w:rPr>
        <w:t>a Class A/AA citation</w:t>
      </w:r>
      <w:r w:rsidR="00A35121">
        <w:rPr>
          <w:rFonts w:ascii="Arial" w:eastAsia="Calibri" w:hAnsi="Arial" w:cs="Arial"/>
          <w:iCs/>
          <w:sz w:val="24"/>
          <w:szCs w:val="24"/>
        </w:rPr>
        <w:t xml:space="preserve"> making it ineligible to receive a QASP award </w:t>
      </w:r>
      <w:r w:rsidR="00556AE6">
        <w:rPr>
          <w:rFonts w:ascii="Arial" w:eastAsia="Calibri" w:hAnsi="Arial" w:cs="Arial"/>
          <w:iCs/>
          <w:sz w:val="24"/>
          <w:szCs w:val="24"/>
        </w:rPr>
        <w:t>after</w:t>
      </w:r>
      <w:r w:rsidR="00A35121">
        <w:rPr>
          <w:rFonts w:ascii="Arial" w:eastAsia="Calibri" w:hAnsi="Arial" w:cs="Arial"/>
          <w:iCs/>
          <w:sz w:val="24"/>
          <w:szCs w:val="24"/>
        </w:rPr>
        <w:t xml:space="preserve"> receipt of a QASP</w:t>
      </w:r>
      <w:r w:rsidR="00556AE6">
        <w:rPr>
          <w:rFonts w:ascii="Arial" w:eastAsia="Calibri" w:hAnsi="Arial" w:cs="Arial"/>
          <w:iCs/>
          <w:sz w:val="24"/>
          <w:szCs w:val="24"/>
        </w:rPr>
        <w:t xml:space="preserve"> award payment,</w:t>
      </w:r>
      <w:r w:rsidR="00AA5B3C">
        <w:rPr>
          <w:rFonts w:ascii="Arial" w:eastAsia="Calibri" w:hAnsi="Arial" w:cs="Arial"/>
          <w:iCs/>
          <w:sz w:val="24"/>
          <w:szCs w:val="24"/>
        </w:rPr>
        <w:t xml:space="preserve"> </w:t>
      </w:r>
      <w:r w:rsidR="00556AE6">
        <w:rPr>
          <w:rFonts w:ascii="Arial" w:eastAsia="Calibri" w:hAnsi="Arial" w:cs="Arial"/>
          <w:iCs/>
          <w:sz w:val="24"/>
          <w:szCs w:val="24"/>
        </w:rPr>
        <w:t>it would result</w:t>
      </w:r>
      <w:r w:rsidR="00AA5B3C">
        <w:rPr>
          <w:rFonts w:ascii="Arial" w:eastAsia="Calibri" w:hAnsi="Arial" w:cs="Arial"/>
          <w:iCs/>
          <w:sz w:val="24"/>
          <w:szCs w:val="24"/>
        </w:rPr>
        <w:t xml:space="preserve"> in an overpayment</w:t>
      </w:r>
      <w:r w:rsidR="003B620F">
        <w:rPr>
          <w:rFonts w:ascii="Arial" w:eastAsia="Calibri" w:hAnsi="Arial" w:cs="Arial"/>
          <w:iCs/>
          <w:sz w:val="24"/>
          <w:szCs w:val="24"/>
        </w:rPr>
        <w:t xml:space="preserve"> to the facility</w:t>
      </w:r>
      <w:r w:rsidR="00556AE6">
        <w:rPr>
          <w:rFonts w:ascii="Arial" w:eastAsia="Calibri" w:hAnsi="Arial" w:cs="Arial"/>
          <w:iCs/>
          <w:sz w:val="24"/>
          <w:szCs w:val="24"/>
        </w:rPr>
        <w:t>.</w:t>
      </w:r>
      <w:r w:rsidR="00AA5B3C">
        <w:rPr>
          <w:rFonts w:ascii="Arial" w:eastAsia="Calibri" w:hAnsi="Arial" w:cs="Arial"/>
          <w:iCs/>
          <w:sz w:val="24"/>
          <w:szCs w:val="24"/>
        </w:rPr>
        <w:t xml:space="preserve"> </w:t>
      </w:r>
      <w:r w:rsidR="00556AE6">
        <w:rPr>
          <w:rFonts w:ascii="Arial" w:eastAsia="Calibri" w:hAnsi="Arial" w:cs="Arial"/>
          <w:iCs/>
          <w:sz w:val="24"/>
          <w:szCs w:val="24"/>
        </w:rPr>
        <w:t xml:space="preserve"> Under these circumstances, </w:t>
      </w:r>
      <w:r w:rsidR="00AA5B3C">
        <w:rPr>
          <w:rFonts w:ascii="Arial" w:eastAsia="Calibri" w:hAnsi="Arial" w:cs="Arial"/>
          <w:iCs/>
          <w:sz w:val="24"/>
          <w:szCs w:val="24"/>
        </w:rPr>
        <w:t xml:space="preserve">subsequent </w:t>
      </w:r>
      <w:r w:rsidR="00DC07E7">
        <w:rPr>
          <w:rFonts w:ascii="Arial" w:eastAsia="Calibri" w:hAnsi="Arial" w:cs="Arial"/>
          <w:iCs/>
          <w:sz w:val="24"/>
          <w:szCs w:val="24"/>
        </w:rPr>
        <w:t>QASP award</w:t>
      </w:r>
      <w:r w:rsidR="00FF3632" w:rsidRPr="00FF3632">
        <w:rPr>
          <w:rFonts w:ascii="Arial" w:eastAsia="Calibri" w:hAnsi="Arial" w:cs="Arial"/>
          <w:iCs/>
          <w:sz w:val="24"/>
          <w:szCs w:val="24"/>
        </w:rPr>
        <w:t xml:space="preserve"> payment</w:t>
      </w:r>
      <w:r w:rsidR="00DC07E7">
        <w:rPr>
          <w:rFonts w:ascii="Arial" w:eastAsia="Calibri" w:hAnsi="Arial" w:cs="Arial"/>
          <w:iCs/>
          <w:sz w:val="24"/>
          <w:szCs w:val="24"/>
        </w:rPr>
        <w:t>s</w:t>
      </w:r>
      <w:r w:rsidR="00FF3632" w:rsidRPr="00FF3632">
        <w:rPr>
          <w:rFonts w:ascii="Arial" w:eastAsia="Calibri" w:hAnsi="Arial" w:cs="Arial"/>
          <w:iCs/>
          <w:sz w:val="24"/>
          <w:szCs w:val="24"/>
        </w:rPr>
        <w:t xml:space="preserve"> may be reduced by an amount equal to</w:t>
      </w:r>
      <w:r w:rsidR="00AA5B3C">
        <w:rPr>
          <w:rFonts w:ascii="Arial" w:eastAsia="Calibri" w:hAnsi="Arial" w:cs="Arial"/>
          <w:iCs/>
          <w:sz w:val="24"/>
          <w:szCs w:val="24"/>
        </w:rPr>
        <w:t xml:space="preserve"> the overpayment</w:t>
      </w:r>
      <w:r w:rsidR="0005281A">
        <w:rPr>
          <w:rFonts w:ascii="Arial" w:eastAsia="Calibri" w:hAnsi="Arial" w:cs="Arial"/>
          <w:iCs/>
          <w:sz w:val="24"/>
          <w:szCs w:val="24"/>
        </w:rPr>
        <w:t>.</w:t>
      </w:r>
      <w:r w:rsidR="009B17B4">
        <w:rPr>
          <w:rFonts w:ascii="Arial" w:eastAsia="Calibri" w:hAnsi="Arial" w:cs="Arial"/>
          <w:iCs/>
          <w:sz w:val="24"/>
          <w:szCs w:val="24"/>
        </w:rPr>
        <w:t xml:space="preserve"> </w:t>
      </w:r>
    </w:p>
    <w:sectPr w:rsidR="00A04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33D0"/>
    <w:multiLevelType w:val="hybridMultilevel"/>
    <w:tmpl w:val="C66A7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791D"/>
    <w:multiLevelType w:val="hybridMultilevel"/>
    <w:tmpl w:val="3752B0F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4F066181"/>
    <w:multiLevelType w:val="hybridMultilevel"/>
    <w:tmpl w:val="5DC4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123E3"/>
    <w:multiLevelType w:val="hybridMultilevel"/>
    <w:tmpl w:val="0E40F4A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 w15:restartNumberingAfterBreak="0">
    <w:nsid w:val="6E3E0908"/>
    <w:multiLevelType w:val="hybridMultilevel"/>
    <w:tmpl w:val="3520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A7"/>
    <w:rsid w:val="0003024F"/>
    <w:rsid w:val="00045445"/>
    <w:rsid w:val="0005281A"/>
    <w:rsid w:val="000635A7"/>
    <w:rsid w:val="000E56E7"/>
    <w:rsid w:val="00100A83"/>
    <w:rsid w:val="00121E73"/>
    <w:rsid w:val="0017274E"/>
    <w:rsid w:val="001E2FC4"/>
    <w:rsid w:val="001F4075"/>
    <w:rsid w:val="00221CB1"/>
    <w:rsid w:val="00234537"/>
    <w:rsid w:val="002621A6"/>
    <w:rsid w:val="0027004F"/>
    <w:rsid w:val="00294195"/>
    <w:rsid w:val="002A6231"/>
    <w:rsid w:val="002E5464"/>
    <w:rsid w:val="003712C3"/>
    <w:rsid w:val="003B620F"/>
    <w:rsid w:val="0042037C"/>
    <w:rsid w:val="00484596"/>
    <w:rsid w:val="00490C97"/>
    <w:rsid w:val="004C1B94"/>
    <w:rsid w:val="004D40D7"/>
    <w:rsid w:val="004E0A08"/>
    <w:rsid w:val="00522B1B"/>
    <w:rsid w:val="00556AE6"/>
    <w:rsid w:val="00596D7C"/>
    <w:rsid w:val="0059737E"/>
    <w:rsid w:val="005A293B"/>
    <w:rsid w:val="005C06B6"/>
    <w:rsid w:val="005E2D05"/>
    <w:rsid w:val="006911C3"/>
    <w:rsid w:val="00691784"/>
    <w:rsid w:val="00693ABD"/>
    <w:rsid w:val="006A0DBC"/>
    <w:rsid w:val="006A622A"/>
    <w:rsid w:val="006B50BC"/>
    <w:rsid w:val="006E17E3"/>
    <w:rsid w:val="00765B45"/>
    <w:rsid w:val="00782F7F"/>
    <w:rsid w:val="00790B0E"/>
    <w:rsid w:val="007933DC"/>
    <w:rsid w:val="00793993"/>
    <w:rsid w:val="00821279"/>
    <w:rsid w:val="00833E0F"/>
    <w:rsid w:val="008465EB"/>
    <w:rsid w:val="008A5299"/>
    <w:rsid w:val="008B2EA5"/>
    <w:rsid w:val="008D5B02"/>
    <w:rsid w:val="00935591"/>
    <w:rsid w:val="00936524"/>
    <w:rsid w:val="0097487E"/>
    <w:rsid w:val="0098091D"/>
    <w:rsid w:val="00990F7E"/>
    <w:rsid w:val="009A4D27"/>
    <w:rsid w:val="009B17B4"/>
    <w:rsid w:val="009C1BB2"/>
    <w:rsid w:val="009D7110"/>
    <w:rsid w:val="009D7C1B"/>
    <w:rsid w:val="00A04668"/>
    <w:rsid w:val="00A1453E"/>
    <w:rsid w:val="00A35121"/>
    <w:rsid w:val="00A51A6B"/>
    <w:rsid w:val="00A80DF5"/>
    <w:rsid w:val="00A838FC"/>
    <w:rsid w:val="00A8501C"/>
    <w:rsid w:val="00AA5B3C"/>
    <w:rsid w:val="00B41E2D"/>
    <w:rsid w:val="00B472AE"/>
    <w:rsid w:val="00B57DB6"/>
    <w:rsid w:val="00B77373"/>
    <w:rsid w:val="00BC52C8"/>
    <w:rsid w:val="00C015FC"/>
    <w:rsid w:val="00C03FA7"/>
    <w:rsid w:val="00C560EB"/>
    <w:rsid w:val="00C87E28"/>
    <w:rsid w:val="00CB125D"/>
    <w:rsid w:val="00CF3D73"/>
    <w:rsid w:val="00D17387"/>
    <w:rsid w:val="00D52F35"/>
    <w:rsid w:val="00D64041"/>
    <w:rsid w:val="00D92CD8"/>
    <w:rsid w:val="00D94DB9"/>
    <w:rsid w:val="00DC07E7"/>
    <w:rsid w:val="00E15F51"/>
    <w:rsid w:val="00E22FED"/>
    <w:rsid w:val="00E2483C"/>
    <w:rsid w:val="00E44759"/>
    <w:rsid w:val="00E9326E"/>
    <w:rsid w:val="00EC2AF8"/>
    <w:rsid w:val="00EC3943"/>
    <w:rsid w:val="00ED2F64"/>
    <w:rsid w:val="00EE13B8"/>
    <w:rsid w:val="00EF50D7"/>
    <w:rsid w:val="00EF6E4C"/>
    <w:rsid w:val="00F10488"/>
    <w:rsid w:val="00F456B1"/>
    <w:rsid w:val="00FA50D2"/>
    <w:rsid w:val="00FE039D"/>
    <w:rsid w:val="00FE2C26"/>
    <w:rsid w:val="00FE6FD6"/>
    <w:rsid w:val="00FF3632"/>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A225"/>
  <w15:chartTrackingRefBased/>
  <w15:docId w15:val="{F1099884-B727-4C4A-BE8C-C4A3C71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387"/>
    <w:rPr>
      <w:sz w:val="16"/>
      <w:szCs w:val="16"/>
    </w:rPr>
  </w:style>
  <w:style w:type="paragraph" w:styleId="CommentText">
    <w:name w:val="annotation text"/>
    <w:basedOn w:val="Normal"/>
    <w:link w:val="CommentTextChar"/>
    <w:uiPriority w:val="99"/>
    <w:semiHidden/>
    <w:unhideWhenUsed/>
    <w:rsid w:val="00D17387"/>
    <w:pPr>
      <w:spacing w:line="240" w:lineRule="auto"/>
    </w:pPr>
    <w:rPr>
      <w:sz w:val="20"/>
      <w:szCs w:val="20"/>
    </w:rPr>
  </w:style>
  <w:style w:type="character" w:customStyle="1" w:styleId="CommentTextChar">
    <w:name w:val="Comment Text Char"/>
    <w:basedOn w:val="DefaultParagraphFont"/>
    <w:link w:val="CommentText"/>
    <w:uiPriority w:val="99"/>
    <w:semiHidden/>
    <w:rsid w:val="00D17387"/>
    <w:rPr>
      <w:sz w:val="20"/>
      <w:szCs w:val="20"/>
    </w:rPr>
  </w:style>
  <w:style w:type="paragraph" w:styleId="CommentSubject">
    <w:name w:val="annotation subject"/>
    <w:basedOn w:val="CommentText"/>
    <w:next w:val="CommentText"/>
    <w:link w:val="CommentSubjectChar"/>
    <w:uiPriority w:val="99"/>
    <w:semiHidden/>
    <w:unhideWhenUsed/>
    <w:rsid w:val="00D17387"/>
    <w:rPr>
      <w:b/>
      <w:bCs/>
    </w:rPr>
  </w:style>
  <w:style w:type="character" w:customStyle="1" w:styleId="CommentSubjectChar">
    <w:name w:val="Comment Subject Char"/>
    <w:basedOn w:val="CommentTextChar"/>
    <w:link w:val="CommentSubject"/>
    <w:uiPriority w:val="99"/>
    <w:semiHidden/>
    <w:rsid w:val="00D17387"/>
    <w:rPr>
      <w:b/>
      <w:bCs/>
      <w:sz w:val="20"/>
      <w:szCs w:val="20"/>
    </w:rPr>
  </w:style>
  <w:style w:type="paragraph" w:styleId="BalloonText">
    <w:name w:val="Balloon Text"/>
    <w:basedOn w:val="Normal"/>
    <w:link w:val="BalloonTextChar"/>
    <w:uiPriority w:val="99"/>
    <w:semiHidden/>
    <w:unhideWhenUsed/>
    <w:rsid w:val="00D17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87"/>
    <w:rPr>
      <w:rFonts w:ascii="Segoe UI" w:hAnsi="Segoe UI" w:cs="Segoe UI"/>
      <w:sz w:val="18"/>
      <w:szCs w:val="18"/>
    </w:rPr>
  </w:style>
  <w:style w:type="paragraph" w:styleId="ListParagraph">
    <w:name w:val="List Paragraph"/>
    <w:basedOn w:val="Normal"/>
    <w:uiPriority w:val="34"/>
    <w:qFormat/>
    <w:rsid w:val="00FE2C26"/>
    <w:pPr>
      <w:ind w:left="720"/>
      <w:contextualSpacing/>
    </w:pPr>
  </w:style>
  <w:style w:type="paragraph" w:styleId="Revision">
    <w:name w:val="Revision"/>
    <w:hidden/>
    <w:uiPriority w:val="99"/>
    <w:semiHidden/>
    <w:rsid w:val="00ED2F64"/>
    <w:pPr>
      <w:spacing w:after="0" w:line="240" w:lineRule="auto"/>
    </w:pPr>
  </w:style>
  <w:style w:type="character" w:styleId="Hyperlink">
    <w:name w:val="Hyperlink"/>
    <w:basedOn w:val="DefaultParagraphFont"/>
    <w:uiPriority w:val="99"/>
    <w:unhideWhenUsed/>
    <w:rsid w:val="002E5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2814">
      <w:bodyDiv w:val="1"/>
      <w:marLeft w:val="0"/>
      <w:marRight w:val="0"/>
      <w:marTop w:val="0"/>
      <w:marBottom w:val="0"/>
      <w:divBdr>
        <w:top w:val="none" w:sz="0" w:space="0" w:color="auto"/>
        <w:left w:val="none" w:sz="0" w:space="0" w:color="auto"/>
        <w:bottom w:val="none" w:sz="0" w:space="0" w:color="auto"/>
        <w:right w:val="none" w:sz="0" w:space="0" w:color="auto"/>
      </w:divBdr>
    </w:div>
    <w:div w:id="655496395">
      <w:bodyDiv w:val="1"/>
      <w:marLeft w:val="0"/>
      <w:marRight w:val="0"/>
      <w:marTop w:val="0"/>
      <w:marBottom w:val="0"/>
      <w:divBdr>
        <w:top w:val="none" w:sz="0" w:space="0" w:color="auto"/>
        <w:left w:val="none" w:sz="0" w:space="0" w:color="auto"/>
        <w:bottom w:val="none" w:sz="0" w:space="0" w:color="auto"/>
        <w:right w:val="none" w:sz="0" w:space="0" w:color="auto"/>
      </w:divBdr>
    </w:div>
    <w:div w:id="681277169">
      <w:bodyDiv w:val="1"/>
      <w:marLeft w:val="0"/>
      <w:marRight w:val="0"/>
      <w:marTop w:val="0"/>
      <w:marBottom w:val="0"/>
      <w:divBdr>
        <w:top w:val="none" w:sz="0" w:space="0" w:color="auto"/>
        <w:left w:val="none" w:sz="0" w:space="0" w:color="auto"/>
        <w:bottom w:val="none" w:sz="0" w:space="0" w:color="auto"/>
        <w:right w:val="none" w:sz="0" w:space="0" w:color="auto"/>
      </w:divBdr>
    </w:div>
    <w:div w:id="1247692292">
      <w:bodyDiv w:val="1"/>
      <w:marLeft w:val="0"/>
      <w:marRight w:val="0"/>
      <w:marTop w:val="0"/>
      <w:marBottom w:val="0"/>
      <w:divBdr>
        <w:top w:val="none" w:sz="0" w:space="0" w:color="auto"/>
        <w:left w:val="none" w:sz="0" w:space="0" w:color="auto"/>
        <w:bottom w:val="none" w:sz="0" w:space="0" w:color="auto"/>
        <w:right w:val="none" w:sz="0" w:space="0" w:color="auto"/>
      </w:divBdr>
    </w:div>
    <w:div w:id="1414862211">
      <w:bodyDiv w:val="1"/>
      <w:marLeft w:val="0"/>
      <w:marRight w:val="0"/>
      <w:marTop w:val="0"/>
      <w:marBottom w:val="0"/>
      <w:divBdr>
        <w:top w:val="none" w:sz="0" w:space="0" w:color="auto"/>
        <w:left w:val="none" w:sz="0" w:space="0" w:color="auto"/>
        <w:bottom w:val="none" w:sz="0" w:space="0" w:color="auto"/>
        <w:right w:val="none" w:sz="0" w:space="0" w:color="auto"/>
      </w:divBdr>
    </w:div>
    <w:div w:id="19475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hcs.ca.gov/services/medi-cal/Pages/LTCAB1629QAP.aspx"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C1B0756F4142146B82915D6DE592518" ma:contentTypeVersion="36" ma:contentTypeDescription="This is the Custom Document Type for use by DHCS" ma:contentTypeScope="" ma:versionID="385d975179cb362f4d35d34eb0a48512">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Abstract xmlns="69bc34b3-1921-46c7-8c7a-d18363374b4b" xsi:nil="true"/>
    <PublishingContactName xmlns="http://schemas.microsoft.com/sharepoint/v3" xsi:nil="true"/>
    <TAGAge xmlns="69bc34b3-1921-46c7-8c7a-d18363374b4b" xsi:nil="true"/>
    <_dlc_DocId xmlns="69bc34b3-1921-46c7-8c7a-d18363374b4b">DHCSDOC-491057189-1037</_dlc_DocId>
    <_dlc_DocIdUrl xmlns="69bc34b3-1921-46c7-8c7a-d18363374b4b">
      <Url>https://dhcscagovauthoring/services/medi-cal/_layouts/15/DocIdRedir.aspx?ID=DHCSDOC-491057189-1037</Url>
      <Description>DHCSDOC-491057189-1037</Description>
    </_dlc_DocIdUrl>
    <TaxCatchAll xmlns="69bc34b3-1921-46c7-8c7a-d18363374b4b">
      <Value>30</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Fee-For-Service Rates Development</TermName>
          <TermId xmlns="http://schemas.microsoft.com/office/infopath/2007/PartnerControls">f4b3987f-d379-4ea2-9325-ab5a79e49e9a</TermId>
        </TermInfo>
      </Terms>
    </o68eaf9243684232b2418c37bbb152dc>
  </documentManagement>
</p:properties>
</file>

<file path=customXml/itemProps1.xml><?xml version="1.0" encoding="utf-8"?>
<ds:datastoreItem xmlns:ds="http://schemas.openxmlformats.org/officeDocument/2006/customXml" ds:itemID="{6602ACE0-600A-4861-A87D-BF920E0A3417}">
  <ds:schemaRefs>
    <ds:schemaRef ds:uri="http://schemas.openxmlformats.org/officeDocument/2006/bibliography"/>
  </ds:schemaRefs>
</ds:datastoreItem>
</file>

<file path=customXml/itemProps2.xml><?xml version="1.0" encoding="utf-8"?>
<ds:datastoreItem xmlns:ds="http://schemas.openxmlformats.org/officeDocument/2006/customXml" ds:itemID="{52CFC882-7552-489D-B311-C8F5A77B4DCB}"/>
</file>

<file path=customXml/itemProps3.xml><?xml version="1.0" encoding="utf-8"?>
<ds:datastoreItem xmlns:ds="http://schemas.openxmlformats.org/officeDocument/2006/customXml" ds:itemID="{AD9D972A-4BA7-4069-B02B-586011CA0C72}"/>
</file>

<file path=customXml/itemProps4.xml><?xml version="1.0" encoding="utf-8"?>
<ds:datastoreItem xmlns:ds="http://schemas.openxmlformats.org/officeDocument/2006/customXml" ds:itemID="{E5647447-C027-41E2-BC29-7369B0E4FEF9}"/>
</file>

<file path=customXml/itemProps5.xml><?xml version="1.0" encoding="utf-8"?>
<ds:datastoreItem xmlns:ds="http://schemas.openxmlformats.org/officeDocument/2006/customXml" ds:itemID="{6EB20975-222B-4C6A-A0E4-0F562B71D200}"/>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QASP 19-20 Award Notice Revision</dc:title>
  <dc:subject/>
  <dc:creator>Singh, Michael (FFSRD)@DHCS</dc:creator>
  <cp:keywords/>
  <dc:description/>
  <cp:lastModifiedBy>Seawright, Kenneth@DHCS</cp:lastModifiedBy>
  <cp:revision>2</cp:revision>
  <cp:lastPrinted>2018-04-20T16:59:00Z</cp:lastPrinted>
  <dcterms:created xsi:type="dcterms:W3CDTF">2020-11-06T15:18:00Z</dcterms:created>
  <dcterms:modified xsi:type="dcterms:W3CDTF">2020-11-06T15:18:00Z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0x010100EEE380F46F125946A8B4C4C90D9FFCDC00EC1B0756F4142146B82915D6DE592518</vt:lpwstr>
  </property>
  <property fmtid="{D5CDD505-2E9C-101B-9397-08002B2CF9AE}" pid="3" name="_dlc_DocIdItemGuid">
    <vt:lpwstr>b9ae0fd6-9bc4-454a-80ab-d2d89b7202ed</vt:lpwstr>
  </property>
  <property fmtid="{D5CDD505-2E9C-101B-9397-08002B2CF9AE}" pid="4" name="Division">
    <vt:lpwstr>30;#Fee-For-Service Rates Development|f4b3987f-d379-4ea2-9325-ab5a79e49e9a</vt:lpwstr>
  </property>
  <property fmtid="{D5CDD505-2E9C-101B-9397-08002B2CF9AE}" pid="5" name="Organization">
    <vt:lpwstr>81</vt:lpwstr>
  </property>
</Properties>
</file>